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楷体_GB2312" w:cs="Arial"/>
          <w:lang w:val="fr-FR"/>
        </w:rPr>
      </w:pPr>
    </w:p>
    <w:tbl>
      <w:tblPr>
        <w:tblStyle w:val="9"/>
        <w:tblW w:w="10654" w:type="dxa"/>
        <w:jc w:val="right"/>
        <w:tblBorders>
          <w:top w:val="single" w:color="008000" w:sz="12" w:space="0"/>
          <w:left w:val="none" w:color="auto" w:sz="0" w:space="0"/>
          <w:bottom w:val="none" w:color="auto" w:sz="0" w:space="0"/>
          <w:right w:val="none" w:color="auto" w:sz="0" w:space="0"/>
          <w:insideH w:val="none" w:color="auto" w:sz="0" w:space="0"/>
          <w:insideV w:val="none" w:color="auto" w:sz="0" w:space="0"/>
        </w:tblBorders>
        <w:shd w:val="clear" w:color="auto" w:fill="CCFF99"/>
        <w:tblLayout w:type="autofit"/>
        <w:tblCellMar>
          <w:top w:w="0" w:type="dxa"/>
          <w:left w:w="108" w:type="dxa"/>
          <w:bottom w:w="0" w:type="dxa"/>
          <w:right w:w="108" w:type="dxa"/>
        </w:tblCellMar>
      </w:tblPr>
      <w:tblGrid>
        <w:gridCol w:w="2552"/>
        <w:gridCol w:w="2268"/>
        <w:gridCol w:w="2410"/>
        <w:gridCol w:w="1417"/>
        <w:gridCol w:w="2007"/>
      </w:tblGrid>
      <w:tr>
        <w:tblPrEx>
          <w:tblBorders>
            <w:top w:val="single" w:color="008000" w:sz="12" w:space="0"/>
            <w:left w:val="none" w:color="auto" w:sz="0" w:space="0"/>
            <w:bottom w:val="none" w:color="auto" w:sz="0" w:space="0"/>
            <w:right w:val="none" w:color="auto" w:sz="0" w:space="0"/>
            <w:insideH w:val="none" w:color="auto" w:sz="0" w:space="0"/>
            <w:insideV w:val="none" w:color="auto" w:sz="0" w:space="0"/>
          </w:tblBorders>
          <w:shd w:val="clear" w:color="auto" w:fill="CCFF99"/>
          <w:tblCellMar>
            <w:top w:w="0" w:type="dxa"/>
            <w:left w:w="108" w:type="dxa"/>
            <w:bottom w:w="0" w:type="dxa"/>
            <w:right w:w="108" w:type="dxa"/>
          </w:tblCellMar>
        </w:tblPrEx>
        <w:trPr>
          <w:trHeight w:val="20" w:hRule="exact"/>
          <w:jc w:val="right"/>
        </w:trPr>
        <w:tc>
          <w:tcPr>
            <w:tcW w:w="2552" w:type="dxa"/>
            <w:tcBorders>
              <w:top w:val="single" w:color="008000" w:sz="12" w:space="0"/>
              <w:bottom w:val="nil"/>
            </w:tcBorders>
            <w:shd w:val="clear" w:color="auto" w:fill="CCFF99"/>
          </w:tcPr>
          <w:p>
            <w:pPr>
              <w:pStyle w:val="16"/>
              <w:jc w:val="both"/>
              <w:rPr>
                <w:rFonts w:ascii="Arial" w:hAnsi="Arial" w:eastAsia="楷体_GB2312" w:cs="Arial"/>
                <w:b/>
                <w:sz w:val="21"/>
                <w:szCs w:val="21"/>
              </w:rPr>
            </w:pPr>
            <w:r>
              <w:rPr>
                <w:rFonts w:hint="eastAsia" w:ascii="Arial" w:hAnsi="Arial" w:eastAsia="楷体_GB2312" w:cs="Arial"/>
                <w:b/>
                <w:sz w:val="21"/>
                <w:szCs w:val="21"/>
              </w:rPr>
              <w:t>[Table_MainInfo]</w:t>
            </w:r>
          </w:p>
        </w:tc>
        <w:tc>
          <w:tcPr>
            <w:tcW w:w="8102" w:type="dxa"/>
            <w:gridSpan w:val="4"/>
            <w:tcBorders>
              <w:top w:val="single" w:color="008000" w:sz="12" w:space="0"/>
              <w:bottom w:val="nil"/>
            </w:tcBorders>
            <w:shd w:val="clear" w:color="auto" w:fill="CCFF99"/>
          </w:tcPr>
          <w:p>
            <w:pPr>
              <w:pStyle w:val="16"/>
              <w:jc w:val="right"/>
              <w:rPr>
                <w:rFonts w:ascii="Arial" w:hAnsi="Arial" w:eastAsia="楷体_GB2312" w:cs="Arial"/>
                <w:b/>
                <w:sz w:val="21"/>
                <w:szCs w:val="21"/>
              </w:rPr>
            </w:pPr>
          </w:p>
        </w:tc>
      </w:tr>
      <w:tr>
        <w:tblPrEx>
          <w:tblBorders>
            <w:top w:val="single" w:color="008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right"/>
        </w:trPr>
        <w:tc>
          <w:tcPr>
            <w:tcW w:w="2552" w:type="dxa"/>
            <w:tcBorders>
              <w:top w:val="single" w:color="008000" w:sz="12" w:space="0"/>
              <w:bottom w:val="nil"/>
            </w:tcBorders>
            <w:shd w:val="clear" w:color="auto" w:fill="CCFF99"/>
          </w:tcPr>
          <w:p>
            <w:pPr>
              <w:pStyle w:val="16"/>
              <w:jc w:val="both"/>
              <w:rPr>
                <w:rFonts w:hint="default" w:ascii="Arial" w:hAnsi="Arial" w:eastAsia="楷体_GB2312" w:cs="Arial"/>
                <w:b/>
                <w:sz w:val="21"/>
                <w:szCs w:val="21"/>
                <w:lang w:val="en-US" w:eastAsia="zh-CN"/>
              </w:rPr>
            </w:pPr>
          </w:p>
        </w:tc>
        <w:tc>
          <w:tcPr>
            <w:tcW w:w="8102" w:type="dxa"/>
            <w:gridSpan w:val="4"/>
            <w:tcBorders>
              <w:top w:val="single" w:color="008000" w:sz="12" w:space="0"/>
              <w:bottom w:val="nil"/>
            </w:tcBorders>
            <w:shd w:val="clear" w:color="auto" w:fill="CCFF99"/>
          </w:tcPr>
          <w:p>
            <w:pPr>
              <w:pStyle w:val="16"/>
              <w:jc w:val="right"/>
              <w:rPr>
                <w:rFonts w:ascii="Arial" w:hAnsi="Arial" w:eastAsia="楷体_GB2312" w:cs="Arial"/>
                <w:b/>
                <w:sz w:val="21"/>
                <w:szCs w:val="21"/>
              </w:rPr>
            </w:pPr>
            <w:r>
              <w:rPr>
                <w:rFonts w:hint="eastAsia" w:ascii="Arial" w:hAnsi="Arial" w:eastAsia="楷体_GB2312" w:cs="Arial"/>
                <w:b/>
                <w:sz w:val="21"/>
                <w:szCs w:val="21"/>
              </w:rPr>
              <w:t>公司研究报告</w:t>
            </w:r>
          </w:p>
        </w:tc>
      </w:tr>
      <w:tr>
        <w:tblPrEx>
          <w:tblBorders>
            <w:top w:val="single" w:color="008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right"/>
        </w:trPr>
        <w:tc>
          <w:tcPr>
            <w:tcW w:w="2552" w:type="dxa"/>
            <w:tcBorders>
              <w:top w:val="nil"/>
              <w:bottom w:val="nil"/>
            </w:tcBorders>
            <w:shd w:val="clear" w:color="auto" w:fill="auto"/>
            <w:vAlign w:val="center"/>
          </w:tcPr>
          <w:p>
            <w:pPr>
              <w:pStyle w:val="16"/>
              <w:jc w:val="center"/>
              <w:rPr>
                <w:rFonts w:ascii="Arial" w:hAnsi="Arial" w:eastAsia="楷体_GB2312" w:cs="Arial"/>
                <w:b/>
              </w:rPr>
            </w:pPr>
            <w:r>
              <w:rPr>
                <w:rFonts w:hint="eastAsia" w:ascii="Arial" w:hAnsi="Arial" w:eastAsia="楷体_GB2312" w:cs="Arial"/>
                <w:b/>
                <w:lang w:val="en-US" w:eastAsia="zh-CN"/>
              </w:rPr>
              <w:t>鼎龙科技</w:t>
            </w:r>
            <w:r>
              <w:rPr>
                <w:rFonts w:hint="eastAsia" w:ascii="Arial" w:hAnsi="Arial" w:eastAsia="楷体_GB2312" w:cs="Arial"/>
                <w:b/>
              </w:rPr>
              <w:t>(</w:t>
            </w:r>
            <w:r>
              <w:rPr>
                <w:rFonts w:ascii="Arial" w:hAnsi="Arial" w:eastAsia="楷体_GB2312" w:cs="Arial"/>
                <w:b/>
              </w:rPr>
              <w:t>6030</w:t>
            </w:r>
            <w:r>
              <w:rPr>
                <w:rFonts w:hint="eastAsia" w:ascii="Arial" w:hAnsi="Arial" w:eastAsia="楷体_GB2312" w:cs="Arial"/>
                <w:b/>
                <w:lang w:val="en-US" w:eastAsia="zh-CN"/>
              </w:rPr>
              <w:t>04</w:t>
            </w:r>
            <w:r>
              <w:rPr>
                <w:rFonts w:ascii="Arial" w:hAnsi="Arial" w:eastAsia="楷体_GB2312" w:cs="Arial"/>
                <w:b/>
              </w:rPr>
              <w:t>.SH</w:t>
            </w:r>
            <w:r>
              <w:rPr>
                <w:rFonts w:hint="eastAsia" w:ascii="Arial" w:hAnsi="Arial" w:eastAsia="楷体_GB2312" w:cs="Arial"/>
                <w:b/>
              </w:rPr>
              <w:t>)</w:t>
            </w:r>
          </w:p>
        </w:tc>
        <w:tc>
          <w:tcPr>
            <w:tcW w:w="6095" w:type="dxa"/>
            <w:gridSpan w:val="3"/>
            <w:tcBorders>
              <w:top w:val="nil"/>
              <w:bottom w:val="nil"/>
            </w:tcBorders>
            <w:shd w:val="clear" w:color="auto" w:fill="auto"/>
            <w:vAlign w:val="center"/>
          </w:tcPr>
          <w:p>
            <w:pPr>
              <w:pStyle w:val="16"/>
              <w:jc w:val="center"/>
              <w:rPr>
                <w:rFonts w:ascii="Arial" w:hAnsi="Arial" w:eastAsia="楷体_GB2312" w:cs="Arial"/>
                <w:b/>
              </w:rPr>
            </w:pPr>
          </w:p>
        </w:tc>
        <w:tc>
          <w:tcPr>
            <w:tcW w:w="2007" w:type="dxa"/>
            <w:tcBorders>
              <w:top w:val="nil"/>
              <w:bottom w:val="nil"/>
            </w:tcBorders>
            <w:shd w:val="clear" w:color="auto" w:fill="auto"/>
            <w:vAlign w:val="center"/>
          </w:tcPr>
          <w:p>
            <w:pPr>
              <w:pStyle w:val="16"/>
              <w:jc w:val="right"/>
              <w:rPr>
                <w:rFonts w:ascii="Arial" w:hAnsi="Arial" w:eastAsia="楷体_GB2312" w:cs="Arial"/>
                <w:b/>
              </w:rPr>
            </w:pPr>
            <w:r>
              <w:rPr>
                <w:rFonts w:hint="eastAsia" w:ascii="Arial" w:hAnsi="Arial" w:eastAsia="楷体_GB2312" w:cs="Arial"/>
                <w:b/>
                <w:color w:val="FF0000"/>
                <w:u w:val="single"/>
              </w:rPr>
              <w:t>“</w:t>
            </w:r>
            <w:r>
              <w:rPr>
                <w:rFonts w:hint="eastAsia" w:ascii="Arial" w:hAnsi="Arial" w:eastAsia="楷体_GB2312" w:cs="Arial"/>
                <w:b/>
                <w:color w:val="FF0000"/>
                <w:u w:val="single"/>
                <w:lang w:val="en-US" w:eastAsia="zh-CN"/>
              </w:rPr>
              <w:t>买入</w:t>
            </w:r>
            <w:r>
              <w:rPr>
                <w:rFonts w:hint="eastAsia" w:ascii="Arial" w:hAnsi="Arial" w:eastAsia="楷体_GB2312" w:cs="Arial"/>
                <w:b/>
                <w:color w:val="FF0000"/>
                <w:u w:val="single"/>
              </w:rPr>
              <w:t>”</w:t>
            </w:r>
          </w:p>
        </w:tc>
      </w:tr>
      <w:tr>
        <w:tblPrEx>
          <w:tblBorders>
            <w:top w:val="single" w:color="008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jc w:val="right"/>
        </w:trPr>
        <w:tc>
          <w:tcPr>
            <w:tcW w:w="2552" w:type="dxa"/>
            <w:tcBorders>
              <w:top w:val="nil"/>
              <w:bottom w:val="single" w:color="339966" w:sz="18" w:space="0"/>
            </w:tcBorders>
            <w:shd w:val="clear" w:color="auto" w:fill="auto"/>
          </w:tcPr>
          <w:p>
            <w:pPr>
              <w:pStyle w:val="16"/>
              <w:jc w:val="both"/>
              <w:rPr>
                <w:rFonts w:hint="default" w:ascii="Arial" w:hAnsi="Arial" w:eastAsia="楷体_GB2312" w:cs="Arial"/>
                <w:sz w:val="21"/>
                <w:szCs w:val="21"/>
                <w:lang w:val="en-US"/>
              </w:rPr>
            </w:pPr>
            <w:r>
              <w:rPr>
                <w:rFonts w:hint="eastAsia" w:ascii="Arial" w:hAnsi="Arial" w:eastAsia="楷体_GB2312" w:cs="Arial"/>
                <w:sz w:val="21"/>
                <w:szCs w:val="21"/>
              </w:rPr>
              <w:t>日期：2</w:t>
            </w:r>
            <w:r>
              <w:rPr>
                <w:rFonts w:ascii="Arial" w:hAnsi="Arial" w:eastAsia="楷体_GB2312" w:cs="Arial"/>
                <w:sz w:val="21"/>
                <w:szCs w:val="21"/>
              </w:rPr>
              <w:t>02</w:t>
            </w:r>
            <w:r>
              <w:rPr>
                <w:rFonts w:hint="eastAsia" w:ascii="Arial" w:hAnsi="Arial" w:eastAsia="楷体_GB2312" w:cs="Arial"/>
                <w:sz w:val="21"/>
                <w:szCs w:val="21"/>
                <w:lang w:val="en-US" w:eastAsia="zh-CN"/>
              </w:rPr>
              <w:t>4</w:t>
            </w:r>
            <w:r>
              <w:rPr>
                <w:rFonts w:ascii="Arial" w:hAnsi="Arial" w:eastAsia="楷体_GB2312" w:cs="Arial"/>
                <w:sz w:val="21"/>
                <w:szCs w:val="21"/>
              </w:rPr>
              <w:t>.</w:t>
            </w:r>
            <w:r>
              <w:rPr>
                <w:rFonts w:hint="eastAsia" w:ascii="Arial" w:hAnsi="Arial" w:eastAsia="楷体_GB2312" w:cs="Arial"/>
                <w:sz w:val="21"/>
                <w:szCs w:val="21"/>
                <w:lang w:val="en-US" w:eastAsia="zh-CN"/>
              </w:rPr>
              <w:t>07</w:t>
            </w:r>
            <w:r>
              <w:rPr>
                <w:rFonts w:ascii="Arial" w:hAnsi="Arial" w:eastAsia="楷体_GB2312" w:cs="Arial"/>
                <w:sz w:val="21"/>
                <w:szCs w:val="21"/>
              </w:rPr>
              <w:t>.</w:t>
            </w:r>
            <w:r>
              <w:rPr>
                <w:rFonts w:hint="eastAsia" w:ascii="Arial" w:hAnsi="Arial" w:eastAsia="楷体_GB2312" w:cs="Arial"/>
                <w:sz w:val="21"/>
                <w:szCs w:val="21"/>
                <w:lang w:val="en-US" w:eastAsia="zh-CN"/>
              </w:rPr>
              <w:t>10</w:t>
            </w:r>
          </w:p>
        </w:tc>
        <w:tc>
          <w:tcPr>
            <w:tcW w:w="2268" w:type="dxa"/>
            <w:tcBorders>
              <w:top w:val="nil"/>
              <w:bottom w:val="single" w:color="339966" w:sz="18" w:space="0"/>
            </w:tcBorders>
            <w:shd w:val="clear" w:color="auto" w:fill="auto"/>
          </w:tcPr>
          <w:p>
            <w:pPr>
              <w:pStyle w:val="16"/>
              <w:wordWrap w:val="0"/>
              <w:ind w:right="70"/>
              <w:jc w:val="right"/>
              <w:rPr>
                <w:rFonts w:ascii="Arial" w:hAnsi="Arial" w:eastAsia="楷体_GB2312" w:cs="Arial"/>
                <w:sz w:val="21"/>
                <w:szCs w:val="21"/>
                <w:lang w:val="fr-FR"/>
              </w:rPr>
            </w:pPr>
            <w:r>
              <w:rPr>
                <w:rFonts w:hint="eastAsia" w:ascii="Arial" w:hAnsi="Arial" w:eastAsia="楷体_GB2312" w:cs="Arial"/>
                <w:sz w:val="21"/>
                <w:szCs w:val="21"/>
                <w:lang w:val="fr-FR"/>
              </w:rPr>
              <w:t>研究员姓名：</w:t>
            </w:r>
          </w:p>
        </w:tc>
        <w:tc>
          <w:tcPr>
            <w:tcW w:w="2410" w:type="dxa"/>
            <w:tcBorders>
              <w:top w:val="nil"/>
              <w:bottom w:val="single" w:color="339966" w:sz="18" w:space="0"/>
            </w:tcBorders>
            <w:shd w:val="clear" w:color="auto" w:fill="auto"/>
          </w:tcPr>
          <w:p>
            <w:pPr>
              <w:pStyle w:val="16"/>
              <w:wordWrap w:val="0"/>
              <w:ind w:right="280"/>
              <w:jc w:val="right"/>
              <w:rPr>
                <w:rFonts w:ascii="Arial" w:hAnsi="Arial" w:eastAsia="楷体_GB2312" w:cs="Arial"/>
                <w:sz w:val="21"/>
                <w:szCs w:val="21"/>
                <w:lang w:val="fr-FR"/>
              </w:rPr>
            </w:pPr>
            <w:r>
              <w:rPr>
                <w:rFonts w:hint="eastAsia" w:ascii="Arial" w:hAnsi="Arial" w:eastAsia="楷体_GB2312" w:cs="Arial"/>
                <w:sz w:val="21"/>
                <w:szCs w:val="21"/>
                <w:lang w:val="fr-FR"/>
              </w:rPr>
              <w:t>Tel：</w:t>
            </w:r>
          </w:p>
        </w:tc>
        <w:tc>
          <w:tcPr>
            <w:tcW w:w="3424" w:type="dxa"/>
            <w:gridSpan w:val="2"/>
            <w:tcBorders>
              <w:top w:val="nil"/>
              <w:bottom w:val="single" w:color="339966" w:sz="18" w:space="0"/>
            </w:tcBorders>
            <w:shd w:val="clear" w:color="auto" w:fill="auto"/>
          </w:tcPr>
          <w:p>
            <w:pPr>
              <w:pStyle w:val="16"/>
              <w:wordWrap w:val="0"/>
              <w:ind w:right="280"/>
              <w:jc w:val="right"/>
              <w:rPr>
                <w:rFonts w:ascii="Arial" w:hAnsi="Arial" w:eastAsia="楷体_GB2312" w:cs="Arial"/>
                <w:sz w:val="21"/>
                <w:szCs w:val="21"/>
                <w:lang w:val="fr-FR"/>
              </w:rPr>
            </w:pPr>
            <w:r>
              <w:rPr>
                <w:rFonts w:hint="eastAsia" w:ascii="Arial" w:hAnsi="Arial" w:eastAsia="楷体_GB2312" w:cs="Arial"/>
                <w:sz w:val="21"/>
                <w:szCs w:val="21"/>
                <w:lang w:val="fr-FR"/>
              </w:rPr>
              <w:t>Mail：</w:t>
            </w:r>
          </w:p>
        </w:tc>
      </w:tr>
    </w:tbl>
    <w:p>
      <w:pPr>
        <w:rPr>
          <w:rFonts w:ascii="Arial" w:hAnsi="Arial" w:eastAsia="楷体_GB2312" w:cs="Arial"/>
          <w:lang w:val="fr-FR"/>
        </w:rPr>
      </w:pPr>
    </w:p>
    <w:tbl>
      <w:tblPr>
        <w:tblStyle w:val="9"/>
        <w:tblW w:w="10708" w:type="dxa"/>
        <w:tblInd w:w="0" w:type="dxa"/>
        <w:tblLayout w:type="fixed"/>
        <w:tblCellMar>
          <w:top w:w="0" w:type="dxa"/>
          <w:left w:w="28" w:type="dxa"/>
          <w:bottom w:w="0" w:type="dxa"/>
          <w:right w:w="11" w:type="dxa"/>
        </w:tblCellMar>
      </w:tblPr>
      <w:tblGrid>
        <w:gridCol w:w="2257"/>
        <w:gridCol w:w="8451"/>
      </w:tblGrid>
      <w:tr>
        <w:tblPrEx>
          <w:tblCellMar>
            <w:top w:w="0" w:type="dxa"/>
            <w:left w:w="28" w:type="dxa"/>
            <w:bottom w:w="0" w:type="dxa"/>
            <w:right w:w="11" w:type="dxa"/>
          </w:tblCellMar>
        </w:tblPrEx>
        <w:trPr>
          <w:trHeight w:val="20" w:hRule="exact"/>
        </w:trPr>
        <w:tc>
          <w:tcPr>
            <w:tcW w:w="10708" w:type="dxa"/>
            <w:gridSpan w:val="2"/>
          </w:tcPr>
          <w:p>
            <w:pPr>
              <w:pStyle w:val="16"/>
              <w:jc w:val="both"/>
              <w:rPr>
                <w:rFonts w:ascii="Arial" w:hAnsi="Arial" w:eastAsia="楷体_GB2312" w:cs="Arial"/>
                <w:sz w:val="18"/>
              </w:rPr>
            </w:pPr>
            <w:r>
              <w:rPr>
                <w:rFonts w:ascii="Arial" w:hAnsi="Arial" w:eastAsia="楷体_GB2312" w:cs="Arial"/>
                <w:sz w:val="18"/>
              </w:rPr>
              <w:t>[</w:t>
            </w:r>
            <w:r>
              <w:rPr>
                <w:rFonts w:hint="eastAsia" w:ascii="Arial" w:hAnsi="Arial" w:eastAsia="楷体_GB2312" w:cs="Arial"/>
                <w:sz w:val="18"/>
              </w:rPr>
              <w:t>Table_Summary</w:t>
            </w:r>
            <w:r>
              <w:rPr>
                <w:rFonts w:ascii="Arial" w:hAnsi="Arial" w:eastAsia="楷体_GB2312" w:cs="Arial"/>
                <w:sz w:val="18"/>
              </w:rPr>
              <w:t>]</w:t>
            </w:r>
          </w:p>
        </w:tc>
      </w:tr>
      <w:tr>
        <w:tblPrEx>
          <w:tblCellMar>
            <w:top w:w="0" w:type="dxa"/>
            <w:left w:w="28" w:type="dxa"/>
            <w:bottom w:w="0" w:type="dxa"/>
            <w:right w:w="11" w:type="dxa"/>
          </w:tblCellMar>
        </w:tblPrEx>
        <w:trPr>
          <w:trHeight w:val="406" w:hRule="exact"/>
        </w:trPr>
        <w:tc>
          <w:tcPr>
            <w:tcW w:w="2257" w:type="dxa"/>
            <w:vMerge w:val="restart"/>
          </w:tcPr>
          <w:tbl>
            <w:tblPr>
              <w:tblStyle w:val="9"/>
              <w:tblW w:w="3258" w:type="dxa"/>
              <w:tblInd w:w="0" w:type="dxa"/>
              <w:tblLayout w:type="fixed"/>
              <w:tblCellMar>
                <w:top w:w="0" w:type="dxa"/>
                <w:left w:w="28" w:type="dxa"/>
                <w:bottom w:w="0" w:type="dxa"/>
                <w:right w:w="108" w:type="dxa"/>
              </w:tblCellMar>
            </w:tblPr>
            <w:tblGrid>
              <w:gridCol w:w="1475"/>
              <w:gridCol w:w="1783"/>
            </w:tblGrid>
            <w:tr>
              <w:tblPrEx>
                <w:tblCellMar>
                  <w:top w:w="0" w:type="dxa"/>
                  <w:left w:w="28" w:type="dxa"/>
                  <w:bottom w:w="0" w:type="dxa"/>
                  <w:right w:w="108" w:type="dxa"/>
                </w:tblCellMar>
              </w:tblPrEx>
              <w:trPr>
                <w:trHeight w:val="20" w:hRule="exact"/>
              </w:trPr>
              <w:tc>
                <w:tcPr>
                  <w:tcW w:w="3258" w:type="dxa"/>
                  <w:gridSpan w:val="2"/>
                  <w:shd w:val="clear" w:color="auto" w:fill="auto"/>
                </w:tcPr>
                <w:p>
                  <w:pPr>
                    <w:rPr>
                      <w:rFonts w:ascii="Arial" w:hAnsi="Arial" w:eastAsia="楷体_GB2312" w:cs="Arial"/>
                      <w:sz w:val="18"/>
                      <w:szCs w:val="18"/>
                    </w:rPr>
                  </w:pPr>
                  <w:r>
                    <w:rPr>
                      <w:rFonts w:hint="eastAsia" w:ascii="Arial" w:hAnsi="Arial" w:eastAsia="楷体_GB2312" w:cs="Arial"/>
                      <w:sz w:val="18"/>
                      <w:szCs w:val="18"/>
                    </w:rPr>
                    <w:t>[Table_BaseInfo]</w:t>
                  </w:r>
                </w:p>
              </w:tc>
            </w:tr>
            <w:tr>
              <w:tblPrEx>
                <w:tblCellMar>
                  <w:top w:w="0" w:type="dxa"/>
                  <w:left w:w="28" w:type="dxa"/>
                  <w:bottom w:w="0" w:type="dxa"/>
                  <w:right w:w="108" w:type="dxa"/>
                </w:tblCellMar>
              </w:tblPrEx>
              <w:trPr>
                <w:trHeight w:val="340" w:hRule="exact"/>
              </w:trPr>
              <w:tc>
                <w:tcPr>
                  <w:tcW w:w="3258" w:type="dxa"/>
                  <w:gridSpan w:val="2"/>
                  <w:shd w:val="clear" w:color="auto" w:fill="E6E6E6"/>
                  <w:vAlign w:val="center"/>
                </w:tcPr>
                <w:p>
                  <w:pPr>
                    <w:rPr>
                      <w:rFonts w:hint="default" w:ascii="Arial" w:hAnsi="Arial" w:eastAsia="楷体_GB2312" w:cs="Arial"/>
                      <w:b/>
                      <w:szCs w:val="21"/>
                      <w:lang w:val="en-US" w:eastAsia="zh-CN"/>
                    </w:rPr>
                  </w:pPr>
                  <w:r>
                    <w:rPr>
                      <w:rFonts w:hint="eastAsia" w:ascii="Arial" w:eastAsia="楷体_GB2312" w:cs="Arial"/>
                      <w:b/>
                      <w:szCs w:val="21"/>
                    </w:rPr>
                    <w:t>基本资料</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总股本（百万股）</w:t>
                  </w:r>
                </w:p>
              </w:tc>
              <w:tc>
                <w:tcPr>
                  <w:tcW w:w="1783"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235.52</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流通股（百万股）</w:t>
                  </w:r>
                </w:p>
              </w:tc>
              <w:tc>
                <w:tcPr>
                  <w:tcW w:w="1783"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58.88</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流通市值（百万）</w:t>
                  </w:r>
                </w:p>
              </w:tc>
              <w:tc>
                <w:tcPr>
                  <w:tcW w:w="1783" w:type="dxa"/>
                  <w:shd w:val="clear" w:color="auto" w:fill="auto"/>
                </w:tcPr>
                <w:p>
                  <w:pPr>
                    <w:pStyle w:val="33"/>
                    <w:spacing w:before="0" w:beforeLines="0" w:after="0" w:afterLines="0"/>
                    <w:rPr>
                      <w:rFonts w:hint="default" w:ascii="Arial" w:hAnsi="Arial" w:eastAsia="楷体_GB2312" w:cs="Arial"/>
                      <w:sz w:val="18"/>
                      <w:szCs w:val="18"/>
                      <w:lang w:val="en-US"/>
                    </w:rPr>
                  </w:pPr>
                  <w:r>
                    <w:rPr>
                      <w:rFonts w:hint="eastAsia" w:ascii="Arial" w:hAnsi="Arial" w:eastAsia="楷体_GB2312" w:cs="Arial"/>
                      <w:sz w:val="18"/>
                      <w:szCs w:val="18"/>
                    </w:rPr>
                    <w:t>961.51</w:t>
                  </w:r>
                </w:p>
              </w:tc>
            </w:tr>
            <w:tr>
              <w:tblPrEx>
                <w:tblCellMar>
                  <w:top w:w="0" w:type="dxa"/>
                  <w:left w:w="28" w:type="dxa"/>
                  <w:bottom w:w="0" w:type="dxa"/>
                  <w:right w:w="108" w:type="dxa"/>
                </w:tblCellMar>
              </w:tblPrEx>
              <w:trPr>
                <w:trHeight w:val="688"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每股经营现金流</w:t>
                  </w:r>
                </w:p>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lang w:val="en-US" w:eastAsia="zh-CN"/>
                    </w:rPr>
                    <w:t>(EPS/TTM)</w:t>
                  </w:r>
                  <w:r>
                    <w:rPr>
                      <w:rFonts w:hint="eastAsia" w:ascii="Arial" w:hAnsi="Arial" w:eastAsia="楷体_GB2312" w:cs="Arial"/>
                      <w:sz w:val="18"/>
                      <w:szCs w:val="18"/>
                    </w:rPr>
                    <w:t>（元）</w:t>
                  </w:r>
                </w:p>
              </w:tc>
              <w:tc>
                <w:tcPr>
                  <w:tcW w:w="1783"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0.71</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资产负债率</w:t>
                  </w:r>
                </w:p>
              </w:tc>
              <w:tc>
                <w:tcPr>
                  <w:tcW w:w="1783"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22.43%</w:t>
                  </w:r>
                </w:p>
              </w:tc>
            </w:tr>
            <w:tr>
              <w:tblPrEx>
                <w:tblCellMar>
                  <w:top w:w="0" w:type="dxa"/>
                  <w:left w:w="28" w:type="dxa"/>
                  <w:bottom w:w="0" w:type="dxa"/>
                  <w:right w:w="108" w:type="dxa"/>
                </w:tblCellMar>
              </w:tblPrEx>
              <w:trPr>
                <w:trHeight w:val="721"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净资产收益率</w:t>
                  </w:r>
                </w:p>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lang w:val="en-US" w:eastAsia="zh-CN"/>
                    </w:rPr>
                    <w:t>(ROE)</w:t>
                  </w:r>
                  <w:r>
                    <w:rPr>
                      <w:rFonts w:hint="eastAsia" w:ascii="Arial" w:hAnsi="Arial" w:eastAsia="楷体_GB2312" w:cs="Arial"/>
                      <w:sz w:val="18"/>
                      <w:szCs w:val="18"/>
                    </w:rPr>
                    <w:t>（%）</w:t>
                  </w:r>
                </w:p>
              </w:tc>
              <w:tc>
                <w:tcPr>
                  <w:tcW w:w="1783" w:type="dxa"/>
                  <w:shd w:val="clear" w:color="auto" w:fill="auto"/>
                  <w:vAlign w:val="center"/>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2.2%</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rPr>
                    <w:t>市盈率</w:t>
                  </w:r>
                  <w:r>
                    <w:rPr>
                      <w:rFonts w:hint="eastAsia" w:ascii="Arial" w:hAnsi="Arial" w:eastAsia="楷体_GB2312" w:cs="Arial"/>
                      <w:sz w:val="18"/>
                      <w:szCs w:val="18"/>
                      <w:lang w:val="en-US" w:eastAsia="zh-CN"/>
                    </w:rPr>
                    <w:t>(P/E)</w:t>
                  </w:r>
                </w:p>
              </w:tc>
              <w:tc>
                <w:tcPr>
                  <w:tcW w:w="1783" w:type="dxa"/>
                  <w:shd w:val="clear" w:color="auto" w:fill="auto"/>
                  <w:vAlign w:val="center"/>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22.71</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rPr>
                    <w:t>市净率</w:t>
                  </w:r>
                  <w:r>
                    <w:rPr>
                      <w:rFonts w:hint="eastAsia" w:ascii="Arial" w:hAnsi="Arial" w:eastAsia="楷体_GB2312" w:cs="Arial"/>
                      <w:sz w:val="18"/>
                      <w:szCs w:val="18"/>
                      <w:lang w:val="en-US" w:eastAsia="zh-CN"/>
                    </w:rPr>
                    <w:t>(P/B)</w:t>
                  </w:r>
                </w:p>
              </w:tc>
              <w:tc>
                <w:tcPr>
                  <w:tcW w:w="1783"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2.00</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收盘价</w:t>
                  </w:r>
                </w:p>
              </w:tc>
              <w:tc>
                <w:tcPr>
                  <w:tcW w:w="1783" w:type="dxa"/>
                  <w:shd w:val="clear" w:color="auto" w:fill="auto"/>
                </w:tcPr>
                <w:p>
                  <w:pPr>
                    <w:pStyle w:val="33"/>
                    <w:spacing w:before="0" w:beforeLines="0" w:after="0" w:afterLines="0"/>
                    <w:rPr>
                      <w:rFonts w:hint="default" w:ascii="Arial" w:hAnsi="Arial" w:eastAsia="楷体_GB2312" w:cs="Arial"/>
                      <w:sz w:val="18"/>
                      <w:szCs w:val="18"/>
                      <w:lang w:val="en-US" w:eastAsia="zh-CN"/>
                    </w:rPr>
                  </w:pPr>
                  <w:r>
                    <w:rPr>
                      <w:rFonts w:hint="eastAsia" w:ascii="Arial" w:hAnsi="Arial" w:eastAsia="楷体_GB2312" w:cs="Arial"/>
                      <w:sz w:val="18"/>
                      <w:szCs w:val="18"/>
                      <w:lang w:val="en-US" w:eastAsia="zh-CN"/>
                    </w:rPr>
                    <w:t>16.33</w:t>
                  </w:r>
                </w:p>
              </w:tc>
            </w:tr>
            <w:tr>
              <w:tblPrEx>
                <w:tblCellMar>
                  <w:top w:w="0" w:type="dxa"/>
                  <w:left w:w="28" w:type="dxa"/>
                  <w:bottom w:w="0" w:type="dxa"/>
                  <w:right w:w="108" w:type="dxa"/>
                </w:tblCellMar>
              </w:tblPrEx>
              <w:trPr>
                <w:trHeight w:val="284" w:hRule="exact"/>
              </w:trPr>
              <w:tc>
                <w:tcPr>
                  <w:tcW w:w="1475" w:type="dxa"/>
                  <w:shd w:val="clear" w:color="auto" w:fill="auto"/>
                </w:tcPr>
                <w:p>
                  <w:pPr>
                    <w:pStyle w:val="33"/>
                    <w:spacing w:before="0" w:beforeLines="0" w:after="0" w:afterLines="0"/>
                    <w:rPr>
                      <w:rFonts w:hint="eastAsia" w:ascii="Arial" w:hAnsi="Arial" w:eastAsia="楷体_GB2312" w:cs="Arial"/>
                      <w:sz w:val="18"/>
                      <w:szCs w:val="18"/>
                    </w:rPr>
                  </w:pPr>
                  <w:r>
                    <w:rPr>
                      <w:rFonts w:hint="eastAsia" w:ascii="Arial" w:hAnsi="Arial" w:eastAsia="楷体_GB2312" w:cs="Arial"/>
                      <w:sz w:val="18"/>
                      <w:szCs w:val="18"/>
                    </w:rPr>
                    <w:t xml:space="preserve">目标价 </w:t>
                  </w:r>
                </w:p>
                <w:p>
                  <w:pPr>
                    <w:pStyle w:val="33"/>
                    <w:spacing w:before="0" w:beforeLines="0" w:after="0" w:afterLines="0"/>
                    <w:rPr>
                      <w:rFonts w:hint="eastAsia" w:ascii="Arial" w:hAnsi="Arial" w:eastAsia="楷体_GB2312" w:cs="Arial"/>
                      <w:sz w:val="18"/>
                      <w:szCs w:val="18"/>
                    </w:rPr>
                  </w:pPr>
                </w:p>
                <w:p>
                  <w:pPr>
                    <w:pStyle w:val="33"/>
                    <w:spacing w:before="0" w:beforeLines="0" w:after="0" w:afterLines="0"/>
                    <w:rPr>
                      <w:rFonts w:hint="eastAsia" w:ascii="Arial" w:hAnsi="Arial" w:eastAsia="楷体_GB2312" w:cs="Arial"/>
                      <w:sz w:val="18"/>
                      <w:szCs w:val="18"/>
                    </w:rPr>
                  </w:pPr>
                </w:p>
              </w:tc>
              <w:tc>
                <w:tcPr>
                  <w:tcW w:w="1783" w:type="dxa"/>
                  <w:shd w:val="clear" w:color="auto" w:fill="auto"/>
                </w:tcPr>
                <w:p>
                  <w:pPr>
                    <w:pStyle w:val="33"/>
                    <w:spacing w:before="0" w:beforeLines="0" w:after="0" w:afterLines="0"/>
                    <w:rPr>
                      <w:rFonts w:hint="eastAsia" w:ascii="Arial" w:hAnsi="Arial" w:eastAsia="楷体_GB2312" w:cs="Arial"/>
                      <w:sz w:val="18"/>
                      <w:szCs w:val="18"/>
                      <w:lang w:eastAsia="zh-CN"/>
                    </w:rPr>
                  </w:pPr>
                </w:p>
              </w:tc>
            </w:tr>
            <w:tr>
              <w:tblPrEx>
                <w:tblCellMar>
                  <w:top w:w="0" w:type="dxa"/>
                  <w:left w:w="28" w:type="dxa"/>
                  <w:bottom w:w="0" w:type="dxa"/>
                  <w:right w:w="108" w:type="dxa"/>
                </w:tblCellMar>
              </w:tblPrEx>
              <w:trPr>
                <w:trHeight w:val="340" w:hRule="exact"/>
              </w:trPr>
              <w:tc>
                <w:tcPr>
                  <w:tcW w:w="3258" w:type="dxa"/>
                  <w:gridSpan w:val="2"/>
                  <w:shd w:val="clear" w:color="auto" w:fill="E6E6E6"/>
                  <w:vAlign w:val="center"/>
                </w:tcPr>
                <w:p>
                  <w:pPr>
                    <w:rPr>
                      <w:rFonts w:ascii="Arial" w:hAnsi="Arial" w:eastAsia="楷体_GB2312" w:cs="Arial"/>
                      <w:b/>
                      <w:szCs w:val="21"/>
                    </w:rPr>
                  </w:pPr>
                </w:p>
              </w:tc>
            </w:tr>
            <w:tr>
              <w:tblPrEx>
                <w:tblCellMar>
                  <w:top w:w="0" w:type="dxa"/>
                  <w:left w:w="108" w:type="dxa"/>
                  <w:bottom w:w="0" w:type="dxa"/>
                  <w:right w:w="108" w:type="dxa"/>
                </w:tblCellMar>
              </w:tblPrEx>
              <w:trPr>
                <w:trHeight w:val="3282" w:hRule="exact"/>
              </w:trPr>
              <w:tc>
                <w:tcPr>
                  <w:tcW w:w="3258" w:type="dxa"/>
                  <w:gridSpan w:val="2"/>
                  <w:shd w:val="clear" w:color="auto" w:fill="auto"/>
                </w:tcPr>
                <w:p>
                  <w:pPr>
                    <w:rPr>
                      <w:rFonts w:ascii="Arial" w:hAnsi="Arial" w:eastAsia="楷体_GB2312" w:cs="Arial"/>
                    </w:rPr>
                  </w:pPr>
                </w:p>
              </w:tc>
            </w:tr>
          </w:tbl>
          <w:p>
            <w:pPr>
              <w:rPr>
                <w:rFonts w:ascii="Arial" w:hAnsi="Arial" w:eastAsia="楷体_GB2312" w:cs="Arial"/>
                <w:lang w:val="fr-FR"/>
              </w:rPr>
            </w:pPr>
          </w:p>
        </w:tc>
        <w:tc>
          <w:tcPr>
            <w:tcW w:w="8451" w:type="dxa"/>
            <w:shd w:val="clear" w:color="auto" w:fill="E6E6E6"/>
            <w:vAlign w:val="center"/>
          </w:tcPr>
          <w:p>
            <w:pPr>
              <w:rPr>
                <w:rFonts w:ascii="Arial" w:hAnsi="Arial" w:eastAsia="楷体_GB2312" w:cs="Arial"/>
                <w:b/>
              </w:rPr>
            </w:pPr>
            <w:r>
              <w:rPr>
                <w:rFonts w:hint="eastAsia" w:ascii="Arial" w:hAnsi="Arial" w:eastAsia="楷体_GB2312" w:cs="Arial"/>
                <w:b/>
              </w:rPr>
              <w:t>投资要点</w:t>
            </w:r>
          </w:p>
        </w:tc>
      </w:tr>
      <w:tr>
        <w:tblPrEx>
          <w:tblCellMar>
            <w:top w:w="0" w:type="dxa"/>
            <w:left w:w="28" w:type="dxa"/>
            <w:bottom w:w="0" w:type="dxa"/>
            <w:right w:w="11" w:type="dxa"/>
          </w:tblCellMar>
        </w:tblPrEx>
        <w:trPr>
          <w:trHeight w:val="11891" w:hRule="exact"/>
        </w:trPr>
        <w:tc>
          <w:tcPr>
            <w:tcW w:w="2257" w:type="dxa"/>
            <w:vMerge w:val="continue"/>
          </w:tcPr>
          <w:p>
            <w:pPr>
              <w:rPr>
                <w:rFonts w:ascii="Arial" w:hAnsi="Arial" w:eastAsia="楷体_GB2312" w:cs="Arial"/>
                <w:sz w:val="18"/>
                <w:szCs w:val="18"/>
              </w:rPr>
            </w:pPr>
          </w:p>
        </w:tc>
        <w:tc>
          <w:tcPr>
            <w:tcW w:w="8451" w:type="dxa"/>
            <w:shd w:val="clear" w:color="auto" w:fill="auto"/>
          </w:tcPr>
          <w:p>
            <w:pPr>
              <w:numPr>
                <w:ilvl w:val="0"/>
                <w:numId w:val="0"/>
              </w:numPr>
              <w:ind w:leftChars="0"/>
              <w:rPr>
                <w:rFonts w:hint="eastAsia" w:ascii="Arial" w:eastAsia="楷体_GB2312" w:cs="Arial"/>
                <w:b/>
                <w:szCs w:val="21"/>
                <w:lang w:val="en-US" w:eastAsia="zh-CN"/>
              </w:rPr>
            </w:pPr>
          </w:p>
          <w:p>
            <w:pPr>
              <w:numPr>
                <w:ilvl w:val="0"/>
                <w:numId w:val="2"/>
              </w:numPr>
              <w:rPr>
                <w:rFonts w:hint="eastAsia" w:ascii="楷体" w:hAnsi="楷体" w:eastAsia="楷体" w:cs="楷体"/>
                <w:b/>
                <w:bCs/>
                <w:color w:val="9C4B45"/>
                <w:kern w:val="0"/>
                <w:sz w:val="24"/>
                <w:szCs w:val="24"/>
                <w:lang w:val="en-US" w:eastAsia="zh-CN" w:bidi="ar"/>
              </w:rPr>
            </w:pPr>
            <w:r>
              <w:rPr>
                <w:rFonts w:hint="eastAsia" w:ascii="楷体" w:hAnsi="楷体" w:eastAsia="楷体" w:cs="楷体"/>
                <w:b/>
                <w:bCs/>
                <w:color w:val="9C4B45"/>
                <w:kern w:val="0"/>
                <w:sz w:val="24"/>
                <w:szCs w:val="24"/>
                <w:lang w:val="en-US" w:eastAsia="zh-CN" w:bidi="ar"/>
              </w:rPr>
              <w:t>市场表现</w:t>
            </w:r>
          </w:p>
          <w:p>
            <w:pPr>
              <w:keepNext w:val="0"/>
              <w:keepLines w:val="0"/>
              <w:widowControl/>
              <w:suppressLineNumbers w:val="0"/>
              <w:jc w:val="left"/>
              <w:rPr>
                <w:rFonts w:hint="eastAsia" w:ascii="楷体" w:hAnsi="楷体" w:eastAsia="楷体" w:cs="楷体"/>
                <w:b/>
                <w:bCs/>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鼎龙科技1年涨跌幅在行业内名列第24（所属行业：化学制品），强于行业指数，强于上证指数。</w:t>
            </w:r>
          </w:p>
          <w:p>
            <w:pPr>
              <w:numPr>
                <w:ilvl w:val="0"/>
                <w:numId w:val="0"/>
              </w:numPr>
              <w:ind w:leftChars="0"/>
              <w:jc w:val="center"/>
            </w:pPr>
            <w:r>
              <w:drawing>
                <wp:inline distT="0" distB="0" distL="114300" distR="114300">
                  <wp:extent cx="3964305" cy="1953895"/>
                  <wp:effectExtent l="0" t="0" r="82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964305" cy="1953895"/>
                          </a:xfrm>
                          <a:prstGeom prst="rect">
                            <a:avLst/>
                          </a:prstGeom>
                          <a:noFill/>
                          <a:ln>
                            <a:noFill/>
                          </a:ln>
                        </pic:spPr>
                      </pic:pic>
                    </a:graphicData>
                  </a:graphic>
                </wp:inline>
              </w:drawing>
            </w:r>
          </w:p>
          <w:p>
            <w:pPr>
              <w:widowControl w:val="0"/>
              <w:numPr>
                <w:ilvl w:val="0"/>
                <w:numId w:val="0"/>
              </w:numPr>
              <w:tabs>
                <w:tab w:val="left" w:pos="420"/>
              </w:tabs>
              <w:jc w:val="both"/>
              <w:rPr>
                <w:rFonts w:hint="default" w:ascii="Times New Roman" w:hAnsi="Times New Roman" w:eastAsia="楷体_GB2312" w:cs="Times New Roman"/>
                <w:sz w:val="18"/>
                <w:szCs w:val="21"/>
                <w:lang w:val="en-US" w:eastAsia="zh-CN"/>
              </w:rPr>
            </w:pPr>
            <w:r>
              <w:rPr>
                <w:rFonts w:hint="default" w:ascii="Times New Roman" w:hAnsi="Times New Roman" w:eastAsia="楷体_GB2312" w:cs="Times New Roman"/>
                <w:sz w:val="18"/>
                <w:szCs w:val="21"/>
                <w:lang w:val="en-US" w:eastAsia="zh-CN"/>
              </w:rPr>
              <w:t>数据来源：同花顺iFinD</w:t>
            </w:r>
          </w:p>
          <w:p>
            <w:pPr>
              <w:widowControl w:val="0"/>
              <w:numPr>
                <w:ilvl w:val="0"/>
                <w:numId w:val="0"/>
              </w:numPr>
              <w:tabs>
                <w:tab w:val="left" w:pos="420"/>
              </w:tabs>
              <w:jc w:val="both"/>
              <w:rPr>
                <w:rFonts w:hint="default" w:ascii="Times New Roman" w:hAnsi="Times New Roman" w:eastAsia="楷体_GB2312" w:cs="Times New Roman"/>
                <w:sz w:val="18"/>
                <w:szCs w:val="21"/>
                <w:lang w:val="en-US" w:eastAsia="zh-CN"/>
              </w:rPr>
            </w:pPr>
            <w:bookmarkStart w:id="0" w:name="_GoBack"/>
            <w:bookmarkEnd w:id="0"/>
          </w:p>
          <w:p>
            <w:pPr>
              <w:numPr>
                <w:ilvl w:val="0"/>
                <w:numId w:val="2"/>
              </w:numPr>
            </w:pPr>
            <w:r>
              <w:rPr>
                <w:rFonts w:ascii="楷体" w:hAnsi="楷体" w:eastAsia="楷体" w:cs="楷体"/>
                <w:b/>
                <w:bCs/>
                <w:color w:val="9C4B45"/>
                <w:kern w:val="0"/>
                <w:sz w:val="24"/>
                <w:szCs w:val="24"/>
                <w:lang w:val="en-US" w:eastAsia="zh-CN" w:bidi="ar"/>
              </w:rPr>
              <w:t>公司业绩稳健成长</w:t>
            </w:r>
            <w:r>
              <w:rPr>
                <w:rFonts w:hint="eastAsia" w:ascii="楷体" w:hAnsi="楷体" w:eastAsia="楷体" w:cs="楷体"/>
                <w:b/>
                <w:bCs/>
                <w:color w:val="9C4B45"/>
                <w:kern w:val="0"/>
                <w:sz w:val="24"/>
                <w:szCs w:val="24"/>
                <w:lang w:val="en-US" w:eastAsia="zh-CN" w:bidi="ar"/>
              </w:rPr>
              <w:t>：</w:t>
            </w:r>
          </w:p>
          <w:p>
            <w:pPr>
              <w:keepNext w:val="0"/>
              <w:keepLines w:val="0"/>
              <w:widowControl/>
              <w:suppressLineNumbers w:val="0"/>
              <w:jc w:val="left"/>
              <w:rPr>
                <w:rFonts w:hint="default" w:ascii="Times New Roman" w:hAnsi="Times New Roman" w:cs="Times New Roman"/>
              </w:rPr>
            </w:pPr>
            <w:r>
              <w:rPr>
                <w:rFonts w:ascii="楷体" w:hAnsi="楷体" w:eastAsia="楷体" w:cs="楷体"/>
                <w:b/>
                <w:bCs/>
                <w:color w:val="000000"/>
                <w:kern w:val="0"/>
                <w:sz w:val="21"/>
                <w:szCs w:val="21"/>
                <w:lang w:val="en-US" w:eastAsia="zh-CN" w:bidi="ar"/>
              </w:rPr>
              <w:t>公司营收及</w:t>
            </w:r>
            <w:r>
              <w:rPr>
                <w:rFonts w:hint="eastAsia" w:ascii="楷体" w:hAnsi="楷体" w:eastAsia="楷体" w:cs="楷体"/>
                <w:b/>
                <w:bCs/>
                <w:color w:val="000000"/>
                <w:kern w:val="0"/>
                <w:sz w:val="21"/>
                <w:szCs w:val="21"/>
                <w:lang w:val="en-US" w:eastAsia="zh-CN" w:bidi="ar"/>
              </w:rPr>
              <w:t>归母净利润整体呈现出波动但整体向好的态势</w:t>
            </w:r>
            <w:r>
              <w:rPr>
                <w:rFonts w:hint="eastAsia" w:ascii="楷体" w:hAnsi="楷体" w:eastAsia="楷体" w:cs="楷体"/>
                <w:b w:val="0"/>
                <w:bCs w:val="0"/>
                <w:color w:val="000000"/>
                <w:kern w:val="0"/>
                <w:sz w:val="21"/>
                <w:szCs w:val="21"/>
                <w:lang w:val="en-US" w:eastAsia="zh-CN" w:bidi="ar"/>
              </w:rPr>
              <w:t>。</w:t>
            </w:r>
            <w:r>
              <w:rPr>
                <w:rFonts w:hint="default" w:ascii="Times New Roman" w:hAnsi="Times New Roman" w:eastAsia="楷体" w:cs="Times New Roman"/>
                <w:b w:val="0"/>
                <w:bCs w:val="0"/>
                <w:color w:val="000000"/>
                <w:kern w:val="0"/>
                <w:sz w:val="21"/>
                <w:szCs w:val="21"/>
                <w:lang w:val="en-US" w:eastAsia="zh-CN" w:bidi="ar"/>
              </w:rPr>
              <w:t>公司营业总收入从2019年的63,043.27万元增长至2023年的74,154.96万元，虽然在2023年出现了10.74%的下滑，但整体增长趋势明显。同时，归属于母公司股东的净利润也从2019年的9,334.13万元增长至2023年的17,406.83万元，显示出公司盈利能力的提升。2022 年，因美元对人民币的升值幅度较大，公司大量以美元结算的染发剂原料收入增加，从而使得销售单价出现上升，营业收入及归母净利润显著提升，2022 年公司营收实现 8.31 亿元，同比增长 18.48%，归母净利润同比增长 58.58%。受杭州亚运会期间公司生产负荷有所降低、2023 年 8 月公司对部分产线进行检修、贸易业务的客户需求有所波动等因素影响，导致 2023 公司营收有所下降，但净利润仍然保持增长。</w:t>
            </w:r>
            <w:r>
              <w:rPr>
                <w:rFonts w:hint="default" w:ascii="Times New Roman" w:hAnsi="Times New Roman" w:eastAsia="楷体" w:cs="Times New Roman"/>
                <w:color w:val="000000"/>
                <w:kern w:val="0"/>
                <w:sz w:val="21"/>
                <w:szCs w:val="21"/>
                <w:lang w:val="en-US" w:eastAsia="zh-CN" w:bidi="ar"/>
              </w:rPr>
              <w:t xml:space="preserve"> </w:t>
            </w:r>
          </w:p>
          <w:p>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pPr>
              <w:widowControl w:val="0"/>
              <w:numPr>
                <w:ilvl w:val="0"/>
                <w:numId w:val="0"/>
              </w:numPr>
              <w:tabs>
                <w:tab w:val="left" w:pos="420"/>
              </w:tabs>
              <w:jc w:val="both"/>
              <w:rPr>
                <w:rFonts w:hint="eastAsia" w:ascii="Arial" w:eastAsia="楷体_GB2312" w:cs="Arial"/>
              </w:rPr>
            </w:pPr>
            <w:r>
              <w:drawing>
                <wp:inline distT="0" distB="0" distL="114300" distR="114300">
                  <wp:extent cx="2536825" cy="1615440"/>
                  <wp:effectExtent l="0" t="0" r="0" b="38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2536825" cy="16154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47950" cy="1647825"/>
                  <wp:effectExtent l="0" t="0" r="7620" b="381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2647950" cy="1647825"/>
                          </a:xfrm>
                          <a:prstGeom prst="rect">
                            <a:avLst/>
                          </a:prstGeom>
                          <a:noFill/>
                          <a:ln>
                            <a:noFill/>
                          </a:ln>
                        </pic:spPr>
                      </pic:pic>
                    </a:graphicData>
                  </a:graphic>
                </wp:inline>
              </w:drawing>
            </w:r>
          </w:p>
          <w:p>
            <w:pPr>
              <w:widowControl w:val="0"/>
              <w:numPr>
                <w:ilvl w:val="0"/>
                <w:numId w:val="0"/>
              </w:numPr>
              <w:tabs>
                <w:tab w:val="left" w:pos="420"/>
              </w:tabs>
              <w:jc w:val="both"/>
              <w:rPr>
                <w:rFonts w:hint="default" w:ascii="Times New Roman" w:hAnsi="Times New Roman" w:eastAsia="楷体_GB2312" w:cs="Times New Roman"/>
                <w:sz w:val="18"/>
                <w:szCs w:val="21"/>
                <w:lang w:val="en-US" w:eastAsia="zh-CN"/>
              </w:rPr>
            </w:pPr>
            <w:r>
              <w:rPr>
                <w:rFonts w:hint="default" w:ascii="Times New Roman" w:hAnsi="Times New Roman" w:eastAsia="楷体_GB2312" w:cs="Times New Roman"/>
                <w:sz w:val="18"/>
                <w:szCs w:val="21"/>
                <w:lang w:val="en-US" w:eastAsia="zh-CN"/>
              </w:rPr>
              <w:t>数据来源：同花顺iFinD</w:t>
            </w:r>
          </w:p>
          <w:p>
            <w:pPr>
              <w:widowControl w:val="0"/>
              <w:numPr>
                <w:ilvl w:val="0"/>
                <w:numId w:val="0"/>
              </w:numPr>
              <w:tabs>
                <w:tab w:val="left" w:pos="420"/>
              </w:tabs>
              <w:jc w:val="both"/>
              <w:rPr>
                <w:rFonts w:hint="eastAsia" w:ascii="Arial" w:eastAsia="楷体_GB2312" w:cs="Arial"/>
              </w:rPr>
            </w:pPr>
          </w:p>
          <w:p>
            <w:pPr>
              <w:rPr>
                <w:rFonts w:hint="eastAsia" w:ascii="Arial" w:eastAsia="楷体_GB2312" w:cs="Arial"/>
                <w:szCs w:val="21"/>
              </w:rPr>
            </w:pPr>
          </w:p>
          <w:p>
            <w:pPr>
              <w:rPr>
                <w:rFonts w:hint="eastAsia" w:ascii="Arial" w:eastAsia="楷体_GB2312" w:cs="Arial"/>
                <w:szCs w:val="21"/>
              </w:rPr>
            </w:pPr>
          </w:p>
          <w:p>
            <w:pPr>
              <w:rPr>
                <w:rFonts w:ascii="Arial" w:eastAsia="楷体_GB2312" w:cs="Arial"/>
              </w:rPr>
            </w:pPr>
          </w:p>
          <w:p>
            <w:pPr>
              <w:rPr>
                <w:rFonts w:ascii="Arial" w:eastAsia="楷体_GB2312" w:cs="Arial"/>
              </w:rPr>
            </w:pPr>
          </w:p>
        </w:tc>
      </w:tr>
      <w:tr>
        <w:tblPrEx>
          <w:tblCellMar>
            <w:top w:w="0" w:type="dxa"/>
            <w:left w:w="28" w:type="dxa"/>
            <w:bottom w:w="0" w:type="dxa"/>
            <w:right w:w="11" w:type="dxa"/>
          </w:tblCellMar>
        </w:tblPrEx>
        <w:trPr>
          <w:trHeight w:val="14227" w:hRule="exact"/>
        </w:trPr>
        <w:tc>
          <w:tcPr>
            <w:tcW w:w="2257" w:type="dxa"/>
            <w:vMerge w:val="continue"/>
          </w:tcPr>
          <w:p>
            <w:pPr>
              <w:rPr>
                <w:rFonts w:ascii="Arial" w:hAnsi="Arial" w:eastAsia="楷体_GB2312" w:cs="Arial"/>
                <w:sz w:val="18"/>
                <w:szCs w:val="18"/>
              </w:rPr>
            </w:pPr>
          </w:p>
        </w:tc>
        <w:tc>
          <w:tcPr>
            <w:tcW w:w="8451" w:type="dxa"/>
            <w:tcBorders>
              <w:top w:val="single" w:color="auto" w:sz="4" w:space="0"/>
            </w:tcBorders>
            <w:shd w:val="clear" w:color="auto" w:fill="auto"/>
            <w:vAlign w:val="center"/>
          </w:tcPr>
          <w:p>
            <w:pPr>
              <w:numPr>
                <w:ilvl w:val="0"/>
                <w:numId w:val="2"/>
              </w:numPr>
            </w:pPr>
            <w:r>
              <w:rPr>
                <w:rFonts w:hint="eastAsia" w:ascii="楷体" w:hAnsi="楷体" w:eastAsia="楷体" w:cs="楷体"/>
                <w:b/>
                <w:bCs/>
                <w:color w:val="9C4B45"/>
                <w:kern w:val="0"/>
                <w:sz w:val="24"/>
                <w:szCs w:val="24"/>
                <w:lang w:val="en-US" w:eastAsia="zh-CN" w:bidi="ar"/>
              </w:rPr>
              <w:t>盈利能力稳定向好：</w:t>
            </w:r>
          </w:p>
          <w:p>
            <w:pPr>
              <w:pStyle w:val="41"/>
              <w:numPr>
                <w:ilvl w:val="0"/>
                <w:numId w:val="0"/>
              </w:numPr>
              <w:ind w:leftChars="0"/>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bCs/>
                <w:color w:val="000000"/>
                <w:kern w:val="0"/>
                <w:sz w:val="21"/>
                <w:szCs w:val="21"/>
                <w:lang w:val="en-US" w:eastAsia="zh-CN" w:bidi="ar"/>
              </w:rPr>
              <w:t>公司在2019年至2023年间经历了波动但总体向好的盈利能力。</w:t>
            </w:r>
            <w:r>
              <w:rPr>
                <w:rFonts w:hint="default" w:ascii="Times New Roman" w:hAnsi="Times New Roman" w:eastAsia="楷体" w:cs="Times New Roman"/>
                <w:b w:val="0"/>
                <w:bCs w:val="0"/>
                <w:color w:val="000000"/>
                <w:kern w:val="0"/>
                <w:sz w:val="21"/>
                <w:szCs w:val="21"/>
                <w:lang w:val="en-US" w:eastAsia="zh-CN" w:bidi="ar"/>
              </w:rPr>
              <w:t>2019年毛利率为34.30%，2020年上升至37.86%，表明成本控制和产品定价策略有效。然而，2021年毛利率下降至31.04%。2022年毛利率略有下降至30.62%，但2023年显著回升至40.33%，同比增长31.71%。净利率方面，从2019年的13.90%逐年增长至2023年的23.44%，反映出公司在提高运营效率和盈利能力方面的成功。特别是2022年和2023年净利率的显著提升，同比增长率分别为43.28%和27.11%。整体来看，鼎龙科技在盈利能力上表现出较强的适应性和成长性。</w:t>
            </w:r>
          </w:p>
          <w:p>
            <w:pPr>
              <w:pStyle w:val="41"/>
              <w:numPr>
                <w:ilvl w:val="0"/>
                <w:numId w:val="0"/>
              </w:numPr>
              <w:ind w:leftChars="0"/>
              <w:rPr>
                <w:rFonts w:hint="default" w:ascii="Arial" w:eastAsia="楷体_GB2312" w:cs="Arial"/>
                <w:b/>
                <w:bCs/>
                <w:szCs w:val="21"/>
                <w:highlight w:val="yellow"/>
                <w:lang w:val="en-US" w:eastAsia="zh-CN"/>
              </w:rPr>
            </w:pPr>
            <w:r>
              <w:drawing>
                <wp:inline distT="0" distB="0" distL="114300" distR="114300">
                  <wp:extent cx="2580005" cy="1775460"/>
                  <wp:effectExtent l="0" t="0" r="0" b="571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2580005" cy="17754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31110" cy="1737360"/>
                  <wp:effectExtent l="0" t="0" r="5715" b="63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2531110" cy="1737360"/>
                          </a:xfrm>
                          <a:prstGeom prst="rect">
                            <a:avLst/>
                          </a:prstGeom>
                          <a:noFill/>
                          <a:ln>
                            <a:noFill/>
                          </a:ln>
                        </pic:spPr>
                      </pic:pic>
                    </a:graphicData>
                  </a:graphic>
                </wp:inline>
              </w:drawing>
            </w:r>
          </w:p>
          <w:p>
            <w:pPr>
              <w:widowControl w:val="0"/>
              <w:numPr>
                <w:ilvl w:val="0"/>
                <w:numId w:val="0"/>
              </w:numPr>
              <w:tabs>
                <w:tab w:val="left" w:pos="420"/>
              </w:tabs>
              <w:jc w:val="both"/>
              <w:rPr>
                <w:rFonts w:hint="default" w:ascii="Times New Roman" w:hAnsi="Times New Roman" w:eastAsia="楷体_GB2312" w:cs="Times New Roman"/>
                <w:sz w:val="18"/>
                <w:szCs w:val="21"/>
                <w:lang w:val="en-US" w:eastAsia="zh-CN"/>
              </w:rPr>
            </w:pPr>
            <w:r>
              <w:rPr>
                <w:rFonts w:hint="default" w:ascii="Times New Roman" w:hAnsi="Times New Roman" w:eastAsia="楷体_GB2312" w:cs="Times New Roman"/>
                <w:sz w:val="18"/>
                <w:szCs w:val="21"/>
                <w:lang w:val="en-US" w:eastAsia="zh-CN"/>
              </w:rPr>
              <w:t>数据来源：同花顺iFinD</w:t>
            </w:r>
          </w:p>
          <w:p>
            <w:pPr>
              <w:widowControl w:val="0"/>
              <w:numPr>
                <w:ilvl w:val="0"/>
                <w:numId w:val="0"/>
              </w:numPr>
              <w:tabs>
                <w:tab w:val="left" w:pos="420"/>
              </w:tabs>
              <w:jc w:val="both"/>
              <w:rPr>
                <w:rFonts w:hint="eastAsia" w:ascii="Times New Roman" w:hAnsi="Times New Roman" w:eastAsia="楷体_GB2312" w:cs="Times New Roman"/>
                <w:sz w:val="18"/>
                <w:szCs w:val="21"/>
                <w:lang w:val="en-US" w:eastAsia="zh-CN"/>
              </w:rPr>
            </w:pPr>
          </w:p>
          <w:p>
            <w:pPr>
              <w:numPr>
                <w:ilvl w:val="0"/>
                <w:numId w:val="2"/>
              </w:numPr>
              <w:rPr>
                <w:rFonts w:hint="eastAsia" w:ascii="楷体" w:hAnsi="楷体" w:eastAsia="楷体" w:cs="楷体"/>
                <w:b/>
                <w:bCs/>
                <w:color w:val="9C4B45"/>
                <w:kern w:val="0"/>
                <w:sz w:val="24"/>
                <w:szCs w:val="24"/>
                <w:lang w:val="en-US" w:eastAsia="zh-CN" w:bidi="ar"/>
              </w:rPr>
            </w:pPr>
            <w:r>
              <w:rPr>
                <w:rFonts w:hint="eastAsia" w:ascii="楷体" w:hAnsi="楷体" w:eastAsia="楷体" w:cs="楷体"/>
                <w:b/>
                <w:bCs/>
                <w:color w:val="9C4B45"/>
                <w:kern w:val="0"/>
                <w:sz w:val="24"/>
                <w:szCs w:val="24"/>
                <w:lang w:val="en-US" w:eastAsia="zh-CN" w:bidi="ar"/>
              </w:rPr>
              <w:t>主营业务持续增长：</w:t>
            </w:r>
          </w:p>
          <w:p>
            <w:pPr>
              <w:keepNext w:val="0"/>
              <w:keepLines w:val="0"/>
              <w:widowControl/>
              <w:suppressLineNumbers w:val="0"/>
              <w:jc w:val="left"/>
              <w:rPr>
                <w:rFonts w:hint="default" w:ascii="Times New Roman" w:hAnsi="Times New Roman" w:eastAsia="楷体" w:cs="Times New Roman"/>
                <w:b w:val="0"/>
                <w:bCs w:val="0"/>
                <w:color w:val="000000"/>
                <w:kern w:val="0"/>
                <w:sz w:val="21"/>
                <w:szCs w:val="21"/>
                <w:lang w:val="en-US" w:eastAsia="zh-CN" w:bidi="ar"/>
              </w:rPr>
            </w:pPr>
            <w:r>
              <w:rPr>
                <w:rFonts w:ascii="楷体" w:hAnsi="楷体" w:eastAsia="楷体" w:cs="楷体"/>
                <w:b/>
                <w:bCs/>
                <w:color w:val="000000"/>
                <w:kern w:val="0"/>
                <w:sz w:val="21"/>
                <w:szCs w:val="21"/>
                <w:lang w:val="en-US" w:eastAsia="zh-CN" w:bidi="ar"/>
              </w:rPr>
              <w:t>公司主营业务稳定，以染发剂原料为主，兼顾多领域发展。</w:t>
            </w:r>
            <w:r>
              <w:rPr>
                <w:rFonts w:hint="default" w:ascii="Times New Roman" w:hAnsi="Times New Roman" w:eastAsia="楷体" w:cs="Times New Roman"/>
                <w:b w:val="0"/>
                <w:bCs w:val="0"/>
                <w:color w:val="000000"/>
                <w:kern w:val="0"/>
                <w:sz w:val="21"/>
                <w:szCs w:val="21"/>
                <w:lang w:val="en-US" w:eastAsia="zh-CN" w:bidi="ar"/>
              </w:rPr>
              <w:t>公司主营业务在2019至2023年间保持稳定增长，其中染发剂原料作为公司的核心业务，其收入占比和毛利占比均显示出其在公司盈利中的主导地位。2020至2022年，染发剂原料的收入占比分别为67.51%、68.26%、70.39%，毛利占比则为71.91%、71.53%、81.10%。植保材料业务虽然规模较小，但占比在2020至2022年分别为17.54%、14.27%、12.94%，显示出一定程度的波动。特种工程材料单体业务在2020至2022年的收入占比呈上升趋势，分别为7.82%、9.48%、9.94%。2023年，公司在染发剂原料领域的收入占比进一步上升至73.54%，而植保材料和特种工程材料单体的占比分别为11.12%和10.81%，反映出公司在维持核心业务的同时，也在积极拓展其他领域的业务。总体来看，鼎龙科技在精细化工产品领域保持了较强的市场竞争力和盈利能力。</w:t>
            </w:r>
          </w:p>
          <w:p>
            <w:pPr>
              <w:keepNext w:val="0"/>
              <w:keepLines w:val="0"/>
              <w:widowControl/>
              <w:suppressLineNumbers w:val="0"/>
              <w:jc w:val="left"/>
              <w:rPr>
                <w:rFonts w:hint="default" w:ascii="Times New Roman" w:hAnsi="Times New Roman" w:eastAsia="楷体" w:cs="Times New Roman"/>
                <w:b w:val="0"/>
                <w:bCs w:val="0"/>
                <w:color w:val="000000"/>
                <w:kern w:val="0"/>
                <w:sz w:val="21"/>
                <w:szCs w:val="21"/>
                <w:lang w:val="en-US" w:eastAsia="zh-CN" w:bidi="ar"/>
              </w:rPr>
            </w:pPr>
            <w:r>
              <w:rPr>
                <w:sz w:val="21"/>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40640</wp:posOffset>
                      </wp:positionV>
                      <wp:extent cx="5354955" cy="3453765"/>
                      <wp:effectExtent l="0" t="0" r="10160" b="635"/>
                      <wp:wrapNone/>
                      <wp:docPr id="20" name="文本框 20"/>
                      <wp:cNvGraphicFramePr/>
                      <a:graphic xmlns:a="http://schemas.openxmlformats.org/drawingml/2006/main">
                        <a:graphicData uri="http://schemas.microsoft.com/office/word/2010/wordprocessingShape">
                          <wps:wsp>
                            <wps:cNvSpPr txBox="1"/>
                            <wps:spPr>
                              <a:xfrm>
                                <a:off x="2068830" y="7748270"/>
                                <a:ext cx="5354955" cy="3453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8141" w:type="dxa"/>
                                    <w:tblInd w:w="-1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1328"/>
                                    <w:gridCol w:w="660"/>
                                    <w:gridCol w:w="626"/>
                                    <w:gridCol w:w="672"/>
                                    <w:gridCol w:w="685"/>
                                    <w:gridCol w:w="636"/>
                                    <w:gridCol w:w="643"/>
                                    <w:gridCol w:w="628"/>
                                    <w:gridCol w:w="643"/>
                                    <w:gridCol w:w="822"/>
                                    <w:gridCol w:w="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1333" w:type="dxa"/>
                                        <w:gridSpan w:val="2"/>
                                        <w:vMerge w:val="restart"/>
                                        <w:tcBorders>
                                          <w:top w:val="nil"/>
                                          <w:left w:val="single" w:color="auto" w:sz="4" w:space="0"/>
                                          <w:bottom w:val="single" w:color="auto" w:sz="4" w:space="0"/>
                                          <w:right w:val="single" w:color="auto" w:sz="4" w:space="0"/>
                                        </w:tcBorders>
                                        <w:shd w:val="clear" w:color="000000" w:fill="002060"/>
                                        <w:vAlign w:val="center"/>
                                      </w:tcPr>
                                      <w:p>
                                        <w:pPr>
                                          <w:keepNext w:val="0"/>
                                          <w:keepLines w:val="0"/>
                                          <w:widowControl/>
                                          <w:suppressLineNumbers w:val="0"/>
                                          <w:jc w:val="left"/>
                                          <w:textAlignment w:val="center"/>
                                          <w:rPr>
                                            <w:rFonts w:hint="default" w:ascii="Times New Roman" w:hAnsi="Times New Roman" w:eastAsia="等线" w:cs="Times New Roman"/>
                                            <w:b/>
                                            <w:bCs/>
                                            <w:i w:val="0"/>
                                            <w:iCs w:val="0"/>
                                            <w:color w:val="FFFFFF"/>
                                            <w:sz w:val="10"/>
                                            <w:szCs w:val="10"/>
                                            <w:u w:val="none"/>
                                          </w:rPr>
                                        </w:pPr>
                                        <w:r>
                                          <w:rPr>
                                            <w:rFonts w:hint="eastAsia" w:ascii="楷体_GB2312" w:eastAsia="楷体_GB2312" w:cs="楷体_GB2312"/>
                                            <w:b/>
                                            <w:bCs/>
                                            <w:i w:val="0"/>
                                            <w:iCs w:val="0"/>
                                            <w:color w:val="FFFFFF"/>
                                            <w:kern w:val="0"/>
                                            <w:sz w:val="10"/>
                                            <w:szCs w:val="10"/>
                                            <w:u w:val="none"/>
                                            <w:lang w:val="en-US" w:eastAsia="zh-CN" w:bidi="ar"/>
                                          </w:rPr>
                                          <w:t>营业收入</w:t>
                                        </w:r>
                                      </w:p>
                                    </w:tc>
                                    <w:tc>
                                      <w:tcPr>
                                        <w:tcW w:w="1286"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2019</w:t>
                                        </w:r>
                                        <w:r>
                                          <w:rPr>
                                            <w:rFonts w:ascii="楷体_GB2312" w:hAnsi="Times New Roman" w:eastAsia="楷体_GB2312" w:cs="楷体_GB2312"/>
                                            <w:b/>
                                            <w:bCs/>
                                            <w:i w:val="0"/>
                                            <w:iCs w:val="0"/>
                                            <w:color w:val="FFFFFF"/>
                                            <w:kern w:val="0"/>
                                            <w:sz w:val="10"/>
                                            <w:szCs w:val="10"/>
                                            <w:u w:val="none"/>
                                            <w:lang w:val="en-US" w:eastAsia="zh-CN" w:bidi="ar"/>
                                          </w:rPr>
                                          <w:t>年</w:t>
                                        </w:r>
                                      </w:p>
                                    </w:tc>
                                    <w:tc>
                                      <w:tcPr>
                                        <w:tcW w:w="1357"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2020</w:t>
                                        </w:r>
                                        <w:r>
                                          <w:rPr>
                                            <w:rFonts w:ascii="楷体_GB2312" w:hAnsi="Times New Roman" w:eastAsia="楷体_GB2312" w:cs="楷体_GB2312"/>
                                            <w:b/>
                                            <w:bCs/>
                                            <w:i w:val="0"/>
                                            <w:iCs w:val="0"/>
                                            <w:color w:val="FFFFFF"/>
                                            <w:kern w:val="0"/>
                                            <w:sz w:val="10"/>
                                            <w:szCs w:val="10"/>
                                            <w:u w:val="none"/>
                                            <w:lang w:val="en-US" w:eastAsia="zh-CN" w:bidi="ar"/>
                                          </w:rPr>
                                          <w:t>年</w:t>
                                        </w:r>
                                      </w:p>
                                    </w:tc>
                                    <w:tc>
                                      <w:tcPr>
                                        <w:tcW w:w="1279"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2021</w:t>
                                        </w:r>
                                        <w:r>
                                          <w:rPr>
                                            <w:rFonts w:ascii="楷体_GB2312" w:hAnsi="Times New Roman" w:eastAsia="楷体_GB2312" w:cs="楷体_GB2312"/>
                                            <w:b/>
                                            <w:bCs/>
                                            <w:i w:val="0"/>
                                            <w:iCs w:val="0"/>
                                            <w:color w:val="FFFFFF"/>
                                            <w:kern w:val="0"/>
                                            <w:sz w:val="10"/>
                                            <w:szCs w:val="10"/>
                                            <w:u w:val="none"/>
                                            <w:lang w:val="en-US" w:eastAsia="zh-CN" w:bidi="ar"/>
                                          </w:rPr>
                                          <w:t>年</w:t>
                                        </w:r>
                                      </w:p>
                                    </w:tc>
                                    <w:tc>
                                      <w:tcPr>
                                        <w:tcW w:w="1271"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2022</w:t>
                                        </w:r>
                                        <w:r>
                                          <w:rPr>
                                            <w:rFonts w:ascii="楷体_GB2312" w:hAnsi="Times New Roman" w:eastAsia="楷体_GB2312" w:cs="楷体_GB2312"/>
                                            <w:b/>
                                            <w:bCs/>
                                            <w:i w:val="0"/>
                                            <w:iCs w:val="0"/>
                                            <w:color w:val="FFFFFF"/>
                                            <w:kern w:val="0"/>
                                            <w:sz w:val="10"/>
                                            <w:szCs w:val="10"/>
                                            <w:u w:val="none"/>
                                            <w:lang w:val="en-US" w:eastAsia="zh-CN" w:bidi="ar"/>
                                          </w:rPr>
                                          <w:t>年</w:t>
                                        </w:r>
                                      </w:p>
                                    </w:tc>
                                    <w:tc>
                                      <w:tcPr>
                                        <w:tcW w:w="1615"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2023</w:t>
                                        </w:r>
                                        <w:r>
                                          <w:rPr>
                                            <w:rFonts w:ascii="楷体_GB2312" w:hAnsi="Times New Roman" w:eastAsia="楷体_GB2312" w:cs="楷体_GB2312"/>
                                            <w:b/>
                                            <w:bCs/>
                                            <w:i w:val="0"/>
                                            <w:iCs w:val="0"/>
                                            <w:color w:val="FFFFFF"/>
                                            <w:kern w:val="0"/>
                                            <w:sz w:val="10"/>
                                            <w:szCs w:val="10"/>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9" w:hRule="atLeast"/>
                                    </w:trPr>
                                    <w:tc>
                                      <w:tcPr>
                                        <w:tcW w:w="1333" w:type="dxa"/>
                                        <w:gridSpan w:val="2"/>
                                        <w:vMerge w:val="continue"/>
                                        <w:tcBorders>
                                          <w:top w:val="nil"/>
                                          <w:left w:val="single" w:color="auto" w:sz="4" w:space="0"/>
                                          <w:bottom w:val="single" w:color="auto" w:sz="4" w:space="0"/>
                                          <w:right w:val="single" w:color="auto" w:sz="4" w:space="0"/>
                                        </w:tcBorders>
                                        <w:shd w:val="clear" w:color="000000" w:fill="002060"/>
                                        <w:vAlign w:val="center"/>
                                      </w:tcPr>
                                      <w:p>
                                        <w:pPr>
                                          <w:jc w:val="left"/>
                                          <w:rPr>
                                            <w:rFonts w:hint="default" w:ascii="Times New Roman" w:hAnsi="Times New Roman" w:eastAsia="等线" w:cs="Times New Roman"/>
                                            <w:b/>
                                            <w:bCs/>
                                            <w:i w:val="0"/>
                                            <w:iCs w:val="0"/>
                                            <w:color w:val="FFFFFF"/>
                                            <w:sz w:val="10"/>
                                            <w:szCs w:val="10"/>
                                            <w:u w:val="none"/>
                                          </w:rPr>
                                        </w:pPr>
                                      </w:p>
                                    </w:tc>
                                    <w:tc>
                                      <w:tcPr>
                                        <w:tcW w:w="660"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2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72"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85"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3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28"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822"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79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92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染发剂原料、植保材料、特种工程材料单体等精细化工产品的研发、生产及销售</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62,460.28</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99.08%</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63,904.09</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99.29%</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69,164.02</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98.64%</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82,641.86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99.48%</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70,800.73</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39,241.64</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62.25%</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43,450.66</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67.51%</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47,858.83</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68.26%</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58,474.61</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70.39%</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54,536.92</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植保材料</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12,715.42</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20.17%</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11,291.76</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17.54%</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10,004.51</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14.27%</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10,746.86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12.94%</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8,248.06</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特种工程材料单体</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4,913.36</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7.79%</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5,029.85</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7.82%</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6,647.52</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9.48%</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8,255.13</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9.94%</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8,015.75</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5,589.86</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8.87%</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4,131.83</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6.42%</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4,653.16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6.64%</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5,165.26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6.22%</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其他材料</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2,836.59</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其他业务</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582.99</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0.92%</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455.85</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0.71%</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953.26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1.36%</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434.20</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0.52%</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517.64</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174" w:hRule="atLeast"/>
                                    </w:trPr>
                                    <w:tc>
                                      <w:tcPr>
                                        <w:tcW w:w="1328" w:type="dxa"/>
                                        <w:tcBorders>
                                          <w:top w:val="nil"/>
                                          <w:left w:val="nil"/>
                                          <w:bottom w:val="single" w:color="auto" w:sz="12" w:space="0"/>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 xml:space="preserve">  </w:t>
                                        </w:r>
                                        <w:r>
                                          <w:rPr>
                                            <w:rFonts w:hint="eastAsia" w:ascii="楷体_GB2312" w:hAnsi="Times New Roman" w:eastAsia="楷体_GB2312" w:cs="楷体_GB2312"/>
                                            <w:b/>
                                            <w:bCs/>
                                            <w:i w:val="0"/>
                                            <w:iCs w:val="0"/>
                                            <w:color w:val="000000"/>
                                            <w:kern w:val="0"/>
                                            <w:sz w:val="10"/>
                                            <w:szCs w:val="10"/>
                                            <w:u w:val="none"/>
                                            <w:lang w:val="en-US" w:eastAsia="zh-CN" w:bidi="ar"/>
                                          </w:rPr>
                                          <w:t>合计</w:t>
                                        </w:r>
                                      </w:p>
                                    </w:tc>
                                    <w:tc>
                                      <w:tcPr>
                                        <w:tcW w:w="660"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63,043.27</w:t>
                                        </w:r>
                                      </w:p>
                                    </w:tc>
                                    <w:tc>
                                      <w:tcPr>
                                        <w:tcW w:w="62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72"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64,359.94</w:t>
                                        </w:r>
                                      </w:p>
                                    </w:tc>
                                    <w:tc>
                                      <w:tcPr>
                                        <w:tcW w:w="685"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3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70,117.29</w:t>
                                        </w:r>
                                      </w:p>
                                    </w:tc>
                                    <w:tc>
                                      <w:tcPr>
                                        <w:tcW w:w="64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28"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83,076.06</w:t>
                                        </w:r>
                                      </w:p>
                                    </w:tc>
                                    <w:tc>
                                      <w:tcPr>
                                        <w:tcW w:w="64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822"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74,154.96</w:t>
                                        </w:r>
                                      </w:p>
                                    </w:tc>
                                    <w:tc>
                                      <w:tcPr>
                                        <w:tcW w:w="79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r>
                                </w:tbl>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3.2pt;height:271.95pt;width:421.65pt;z-index:251660288;mso-width-relative:page;mso-height-relative:page;" fillcolor="#FFFFFF [3201]" filled="t" stroked="f" coordsize="21600,21600" o:gfxdata="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o7ISv&#10;1QAAAAgBAAAPAAAAAAAAAAEAIAAAACIAAABkcnMvZG93bnJldi54bWxQSwECFAAUAAAACACHTuJA&#10;bcBo6F0CAACeBAAADgAAAAAAAAABACAAAAAkAQAAZHJzL2Uyb0RvYy54bWxQSwUGAAAAAAYABgBZ&#10;AQAA8wUAAAAA&#10;">
                      <v:fill on="t" focussize="0,0"/>
                      <v:stroke on="f" weight="0.5pt"/>
                      <v:imagedata o:title=""/>
                      <o:lock v:ext="edit" aspectratio="f"/>
                      <v:textbox>
                        <w:txbxContent>
                          <w:tbl>
                            <w:tblPr>
                              <w:tblStyle w:val="9"/>
                              <w:tblW w:w="8141" w:type="dxa"/>
                              <w:tblInd w:w="-1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1328"/>
                              <w:gridCol w:w="660"/>
                              <w:gridCol w:w="626"/>
                              <w:gridCol w:w="672"/>
                              <w:gridCol w:w="685"/>
                              <w:gridCol w:w="636"/>
                              <w:gridCol w:w="643"/>
                              <w:gridCol w:w="628"/>
                              <w:gridCol w:w="643"/>
                              <w:gridCol w:w="822"/>
                              <w:gridCol w:w="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1333" w:type="dxa"/>
                                  <w:gridSpan w:val="2"/>
                                  <w:vMerge w:val="restart"/>
                                  <w:tcBorders>
                                    <w:top w:val="nil"/>
                                    <w:left w:val="single" w:color="auto" w:sz="4" w:space="0"/>
                                    <w:bottom w:val="single" w:color="auto" w:sz="4" w:space="0"/>
                                    <w:right w:val="single" w:color="auto" w:sz="4" w:space="0"/>
                                  </w:tcBorders>
                                  <w:shd w:val="clear" w:color="000000" w:fill="002060"/>
                                  <w:vAlign w:val="center"/>
                                </w:tcPr>
                                <w:p>
                                  <w:pPr>
                                    <w:keepNext w:val="0"/>
                                    <w:keepLines w:val="0"/>
                                    <w:widowControl/>
                                    <w:suppressLineNumbers w:val="0"/>
                                    <w:jc w:val="left"/>
                                    <w:textAlignment w:val="center"/>
                                    <w:rPr>
                                      <w:rFonts w:hint="default" w:ascii="Times New Roman" w:hAnsi="Times New Roman" w:eastAsia="等线" w:cs="Times New Roman"/>
                                      <w:b/>
                                      <w:bCs/>
                                      <w:i w:val="0"/>
                                      <w:iCs w:val="0"/>
                                      <w:color w:val="FFFFFF"/>
                                      <w:sz w:val="10"/>
                                      <w:szCs w:val="10"/>
                                      <w:u w:val="none"/>
                                    </w:rPr>
                                  </w:pPr>
                                  <w:r>
                                    <w:rPr>
                                      <w:rFonts w:hint="eastAsia" w:ascii="楷体_GB2312" w:eastAsia="楷体_GB2312" w:cs="楷体_GB2312"/>
                                      <w:b/>
                                      <w:bCs/>
                                      <w:i w:val="0"/>
                                      <w:iCs w:val="0"/>
                                      <w:color w:val="FFFFFF"/>
                                      <w:kern w:val="0"/>
                                      <w:sz w:val="10"/>
                                      <w:szCs w:val="10"/>
                                      <w:u w:val="none"/>
                                      <w:lang w:val="en-US" w:eastAsia="zh-CN" w:bidi="ar"/>
                                    </w:rPr>
                                    <w:t>营业收入</w:t>
                                  </w:r>
                                </w:p>
                              </w:tc>
                              <w:tc>
                                <w:tcPr>
                                  <w:tcW w:w="1286"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2019</w:t>
                                  </w:r>
                                  <w:r>
                                    <w:rPr>
                                      <w:rFonts w:ascii="楷体_GB2312" w:hAnsi="Times New Roman" w:eastAsia="楷体_GB2312" w:cs="楷体_GB2312"/>
                                      <w:b/>
                                      <w:bCs/>
                                      <w:i w:val="0"/>
                                      <w:iCs w:val="0"/>
                                      <w:color w:val="FFFFFF"/>
                                      <w:kern w:val="0"/>
                                      <w:sz w:val="10"/>
                                      <w:szCs w:val="10"/>
                                      <w:u w:val="none"/>
                                      <w:lang w:val="en-US" w:eastAsia="zh-CN" w:bidi="ar"/>
                                    </w:rPr>
                                    <w:t>年</w:t>
                                  </w:r>
                                </w:p>
                              </w:tc>
                              <w:tc>
                                <w:tcPr>
                                  <w:tcW w:w="1357"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2020</w:t>
                                  </w:r>
                                  <w:r>
                                    <w:rPr>
                                      <w:rFonts w:ascii="楷体_GB2312" w:hAnsi="Times New Roman" w:eastAsia="楷体_GB2312" w:cs="楷体_GB2312"/>
                                      <w:b/>
                                      <w:bCs/>
                                      <w:i w:val="0"/>
                                      <w:iCs w:val="0"/>
                                      <w:color w:val="FFFFFF"/>
                                      <w:kern w:val="0"/>
                                      <w:sz w:val="10"/>
                                      <w:szCs w:val="10"/>
                                      <w:u w:val="none"/>
                                      <w:lang w:val="en-US" w:eastAsia="zh-CN" w:bidi="ar"/>
                                    </w:rPr>
                                    <w:t>年</w:t>
                                  </w:r>
                                </w:p>
                              </w:tc>
                              <w:tc>
                                <w:tcPr>
                                  <w:tcW w:w="1279"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2021</w:t>
                                  </w:r>
                                  <w:r>
                                    <w:rPr>
                                      <w:rFonts w:ascii="楷体_GB2312" w:hAnsi="Times New Roman" w:eastAsia="楷体_GB2312" w:cs="楷体_GB2312"/>
                                      <w:b/>
                                      <w:bCs/>
                                      <w:i w:val="0"/>
                                      <w:iCs w:val="0"/>
                                      <w:color w:val="FFFFFF"/>
                                      <w:kern w:val="0"/>
                                      <w:sz w:val="10"/>
                                      <w:szCs w:val="10"/>
                                      <w:u w:val="none"/>
                                      <w:lang w:val="en-US" w:eastAsia="zh-CN" w:bidi="ar"/>
                                    </w:rPr>
                                    <w:t>年</w:t>
                                  </w:r>
                                </w:p>
                              </w:tc>
                              <w:tc>
                                <w:tcPr>
                                  <w:tcW w:w="1271"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2022</w:t>
                                  </w:r>
                                  <w:r>
                                    <w:rPr>
                                      <w:rFonts w:ascii="楷体_GB2312" w:hAnsi="Times New Roman" w:eastAsia="楷体_GB2312" w:cs="楷体_GB2312"/>
                                      <w:b/>
                                      <w:bCs/>
                                      <w:i w:val="0"/>
                                      <w:iCs w:val="0"/>
                                      <w:color w:val="FFFFFF"/>
                                      <w:kern w:val="0"/>
                                      <w:sz w:val="10"/>
                                      <w:szCs w:val="10"/>
                                      <w:u w:val="none"/>
                                      <w:lang w:val="en-US" w:eastAsia="zh-CN" w:bidi="ar"/>
                                    </w:rPr>
                                    <w:t>年</w:t>
                                  </w:r>
                                </w:p>
                              </w:tc>
                              <w:tc>
                                <w:tcPr>
                                  <w:tcW w:w="1615"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2023</w:t>
                                  </w:r>
                                  <w:r>
                                    <w:rPr>
                                      <w:rFonts w:ascii="楷体_GB2312" w:hAnsi="Times New Roman" w:eastAsia="楷体_GB2312" w:cs="楷体_GB2312"/>
                                      <w:b/>
                                      <w:bCs/>
                                      <w:i w:val="0"/>
                                      <w:iCs w:val="0"/>
                                      <w:color w:val="FFFFFF"/>
                                      <w:kern w:val="0"/>
                                      <w:sz w:val="10"/>
                                      <w:szCs w:val="10"/>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9" w:hRule="atLeast"/>
                              </w:trPr>
                              <w:tc>
                                <w:tcPr>
                                  <w:tcW w:w="1333" w:type="dxa"/>
                                  <w:gridSpan w:val="2"/>
                                  <w:vMerge w:val="continue"/>
                                  <w:tcBorders>
                                    <w:top w:val="nil"/>
                                    <w:left w:val="single" w:color="auto" w:sz="4" w:space="0"/>
                                    <w:bottom w:val="single" w:color="auto" w:sz="4" w:space="0"/>
                                    <w:right w:val="single" w:color="auto" w:sz="4" w:space="0"/>
                                  </w:tcBorders>
                                  <w:shd w:val="clear" w:color="000000" w:fill="002060"/>
                                  <w:vAlign w:val="center"/>
                                </w:tcPr>
                                <w:p>
                                  <w:pPr>
                                    <w:jc w:val="left"/>
                                    <w:rPr>
                                      <w:rFonts w:hint="default" w:ascii="Times New Roman" w:hAnsi="Times New Roman" w:eastAsia="等线" w:cs="Times New Roman"/>
                                      <w:b/>
                                      <w:bCs/>
                                      <w:i w:val="0"/>
                                      <w:iCs w:val="0"/>
                                      <w:color w:val="FFFFFF"/>
                                      <w:sz w:val="10"/>
                                      <w:szCs w:val="10"/>
                                      <w:u w:val="none"/>
                                    </w:rPr>
                                  </w:pPr>
                                </w:p>
                              </w:tc>
                              <w:tc>
                                <w:tcPr>
                                  <w:tcW w:w="660"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2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72"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85"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3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28"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822"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79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92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染发剂原料、植保材料、特种工程材料单体等精细化工产品的研发、生产及销售</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62,460.28</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99.08%</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63,904.09</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99.29%</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69,164.02</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98.64%</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82,641.86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99.48%</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70,800.73</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39,241.64</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62.25%</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43,450.66</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67.51%</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47,858.83</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68.26%</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58,474.61</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70.39%</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54,536.92</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植保材料</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12,715.42</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20.17%</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11,291.76</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17.54%</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10,004.51</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14.27%</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10,746.86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12.94%</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8,248.06</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特种工程材料单体</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4,913.36</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7.79%</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5,029.85</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7.82%</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6,647.52</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9.48%</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8,255.13</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9.94%</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8,015.75</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5,589.86</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8.87%</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4,131.83</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6.42%</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4,653.16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6.64%</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5,165.26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6.22%</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其他材料</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0.00%</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2,836.59</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其他业务</w:t>
                                  </w:r>
                                </w:p>
                              </w:tc>
                              <w:tc>
                                <w:tcPr>
                                  <w:tcW w:w="66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582.99</w:t>
                                  </w:r>
                                </w:p>
                              </w:tc>
                              <w:tc>
                                <w:tcPr>
                                  <w:tcW w:w="6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0.92%</w:t>
                                  </w:r>
                                </w:p>
                              </w:tc>
                              <w:tc>
                                <w:tcPr>
                                  <w:tcW w:w="67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455.85</w:t>
                                  </w:r>
                                </w:p>
                              </w:tc>
                              <w:tc>
                                <w:tcPr>
                                  <w:tcW w:w="68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0.71%</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953.26</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1.36%</w:t>
                                  </w:r>
                                </w:p>
                              </w:tc>
                              <w:tc>
                                <w:tcPr>
                                  <w:tcW w:w="6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434.20</w:t>
                                  </w:r>
                                </w:p>
                              </w:tc>
                              <w:tc>
                                <w:tcPr>
                                  <w:tcW w:w="6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0.52%</w:t>
                                  </w:r>
                                </w:p>
                              </w:tc>
                              <w:tc>
                                <w:tcPr>
                                  <w:tcW w:w="82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517.64</w:t>
                                  </w:r>
                                </w:p>
                              </w:tc>
                              <w:tc>
                                <w:tcPr>
                                  <w:tcW w:w="79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174" w:hRule="atLeast"/>
                              </w:trPr>
                              <w:tc>
                                <w:tcPr>
                                  <w:tcW w:w="1328" w:type="dxa"/>
                                  <w:tcBorders>
                                    <w:top w:val="nil"/>
                                    <w:left w:val="nil"/>
                                    <w:bottom w:val="single" w:color="auto" w:sz="12" w:space="0"/>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 xml:space="preserve">  </w:t>
                                  </w:r>
                                  <w:r>
                                    <w:rPr>
                                      <w:rFonts w:hint="eastAsia" w:ascii="楷体_GB2312" w:hAnsi="Times New Roman" w:eastAsia="楷体_GB2312" w:cs="楷体_GB2312"/>
                                      <w:b/>
                                      <w:bCs/>
                                      <w:i w:val="0"/>
                                      <w:iCs w:val="0"/>
                                      <w:color w:val="000000"/>
                                      <w:kern w:val="0"/>
                                      <w:sz w:val="10"/>
                                      <w:szCs w:val="10"/>
                                      <w:u w:val="none"/>
                                      <w:lang w:val="en-US" w:eastAsia="zh-CN" w:bidi="ar"/>
                                    </w:rPr>
                                    <w:t>合计</w:t>
                                  </w:r>
                                </w:p>
                              </w:tc>
                              <w:tc>
                                <w:tcPr>
                                  <w:tcW w:w="660"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63,043.27</w:t>
                                  </w:r>
                                </w:p>
                              </w:tc>
                              <w:tc>
                                <w:tcPr>
                                  <w:tcW w:w="62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72"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64,359.94</w:t>
                                  </w:r>
                                </w:p>
                              </w:tc>
                              <w:tc>
                                <w:tcPr>
                                  <w:tcW w:w="685"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3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70,117.29</w:t>
                                  </w:r>
                                </w:p>
                              </w:tc>
                              <w:tc>
                                <w:tcPr>
                                  <w:tcW w:w="64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28"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83,076.06</w:t>
                                  </w:r>
                                </w:p>
                              </w:tc>
                              <w:tc>
                                <w:tcPr>
                                  <w:tcW w:w="64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822"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74,154.96</w:t>
                                  </w:r>
                                </w:p>
                              </w:tc>
                              <w:tc>
                                <w:tcPr>
                                  <w:tcW w:w="79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r>
                          </w:tbl>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txbxContent>
                      </v:textbox>
                    </v:shape>
                  </w:pict>
                </mc:Fallback>
              </mc:AlternateContent>
            </w:r>
          </w:p>
          <w:p>
            <w:pPr>
              <w:keepNext w:val="0"/>
              <w:keepLines w:val="0"/>
              <w:widowControl/>
              <w:suppressLineNumbers w:val="0"/>
              <w:jc w:val="left"/>
              <w:rPr>
                <w:rFonts w:hint="default" w:ascii="Times New Roman" w:hAnsi="Times New Roman" w:eastAsia="楷体" w:cs="Times New Roman"/>
                <w:b w:val="0"/>
                <w:bCs w:val="0"/>
                <w:color w:val="000000"/>
                <w:kern w:val="0"/>
                <w:sz w:val="21"/>
                <w:szCs w:val="21"/>
                <w:lang w:val="en-US" w:eastAsia="zh-CN" w:bidi="ar"/>
              </w:rPr>
            </w:pPr>
          </w:p>
          <w:p>
            <w:pPr>
              <w:keepNext w:val="0"/>
              <w:keepLines w:val="0"/>
              <w:widowControl/>
              <w:suppressLineNumbers w:val="0"/>
              <w:jc w:val="left"/>
              <w:rPr>
                <w:rFonts w:hint="default" w:ascii="Times New Roman" w:hAnsi="Times New Roman" w:eastAsia="楷体" w:cs="Times New Roman"/>
                <w:b w:val="0"/>
                <w:bCs w:val="0"/>
                <w:color w:val="000000"/>
                <w:kern w:val="0"/>
                <w:sz w:val="21"/>
                <w:szCs w:val="21"/>
                <w:lang w:val="en-US" w:eastAsia="zh-CN" w:bidi="ar"/>
              </w:rPr>
            </w:pPr>
          </w:p>
          <w:p>
            <w:pPr>
              <w:keepNext w:val="0"/>
              <w:keepLines w:val="0"/>
              <w:widowControl/>
              <w:suppressLineNumbers w:val="0"/>
              <w:jc w:val="left"/>
              <w:rPr>
                <w:rFonts w:hint="default" w:ascii="Times New Roman" w:hAnsi="Times New Roman" w:eastAsia="楷体" w:cs="Times New Roman"/>
                <w:b w:val="0"/>
                <w:bCs w:val="0"/>
                <w:color w:val="000000"/>
                <w:kern w:val="0"/>
                <w:sz w:val="21"/>
                <w:szCs w:val="21"/>
                <w:lang w:val="en-US" w:eastAsia="zh-CN" w:bidi="ar"/>
              </w:rPr>
            </w:pPr>
          </w:p>
          <w:p>
            <w:pPr>
              <w:keepNext w:val="0"/>
              <w:keepLines w:val="0"/>
              <w:widowControl/>
              <w:suppressLineNumbers w:val="0"/>
              <w:jc w:val="left"/>
              <w:rPr>
                <w:rFonts w:hint="default" w:ascii="Times New Roman" w:hAnsi="Times New Roman" w:eastAsia="楷体" w:cs="Times New Roman"/>
                <w:b w:val="0"/>
                <w:bCs w:val="0"/>
                <w:color w:val="000000"/>
                <w:kern w:val="0"/>
                <w:sz w:val="21"/>
                <w:szCs w:val="21"/>
                <w:lang w:val="en-US" w:eastAsia="zh-CN" w:bidi="ar"/>
              </w:rPr>
            </w:pPr>
          </w:p>
          <w:p>
            <w:pPr>
              <w:keepNext w:val="0"/>
              <w:keepLines w:val="0"/>
              <w:widowControl/>
              <w:suppressLineNumbers w:val="0"/>
              <w:jc w:val="left"/>
              <w:rPr>
                <w:rFonts w:hint="eastAsia" w:ascii="Times New Roman" w:hAnsi="Times New Roman" w:eastAsia="楷体" w:cs="Times New Roman"/>
                <w:b w:val="0"/>
                <w:bCs w:val="0"/>
                <w:color w:val="000000"/>
                <w:kern w:val="0"/>
                <w:sz w:val="21"/>
                <w:szCs w:val="21"/>
                <w:lang w:val="en-US" w:eastAsia="zh-CN" w:bidi="ar"/>
              </w:rPr>
            </w:pPr>
          </w:p>
          <w:p>
            <w:pPr>
              <w:keepNext w:val="0"/>
              <w:keepLines w:val="0"/>
              <w:widowControl/>
              <w:suppressLineNumbers w:val="0"/>
              <w:jc w:val="left"/>
              <w:rPr>
                <w:rFonts w:hint="default" w:ascii="Arial" w:cs="Arial"/>
                <w:b/>
                <w:bCs/>
                <w:szCs w:val="21"/>
                <w:highlight w:val="yellow"/>
                <w:lang w:val="en-US"/>
              </w:rPr>
            </w:pPr>
          </w:p>
          <w:p>
            <w:pPr>
              <w:pStyle w:val="41"/>
              <w:numPr>
                <w:ilvl w:val="0"/>
                <w:numId w:val="0"/>
              </w:numPr>
              <w:ind w:leftChars="0"/>
              <w:rPr>
                <w:rFonts w:hint="eastAsia" w:ascii="Arial" w:cs="Arial"/>
                <w:b/>
                <w:bCs/>
                <w:szCs w:val="21"/>
                <w:highlight w:val="yellow"/>
              </w:rPr>
            </w:pPr>
          </w:p>
          <w:p>
            <w:pPr>
              <w:pStyle w:val="41"/>
              <w:numPr>
                <w:ilvl w:val="0"/>
                <w:numId w:val="0"/>
              </w:numPr>
              <w:ind w:leftChars="0"/>
              <w:rPr>
                <w:rFonts w:hint="eastAsia" w:ascii="Arial" w:cs="Arial"/>
                <w:b/>
                <w:bCs/>
                <w:szCs w:val="21"/>
                <w:highlight w:val="yellow"/>
              </w:rPr>
            </w:pPr>
          </w:p>
          <w:p>
            <w:pPr>
              <w:rPr>
                <w:rFonts w:ascii="Arial" w:eastAsia="楷体_GB2312" w:cs="Arial"/>
              </w:rPr>
            </w:pPr>
          </w:p>
          <w:p>
            <w:pPr>
              <w:rPr>
                <w:rFonts w:ascii="Arial" w:hAnsi="Arial" w:eastAsia="楷体_GB2312" w:cs="Arial"/>
                <w:bCs/>
              </w:rPr>
            </w:pPr>
          </w:p>
        </w:tc>
      </w:tr>
      <w:tr>
        <w:tblPrEx>
          <w:tblCellMar>
            <w:top w:w="0" w:type="dxa"/>
            <w:left w:w="28" w:type="dxa"/>
            <w:bottom w:w="0" w:type="dxa"/>
            <w:right w:w="11" w:type="dxa"/>
          </w:tblCellMar>
        </w:tblPrEx>
        <w:trPr>
          <w:trHeight w:val="13616" w:hRule="exact"/>
        </w:trPr>
        <w:tc>
          <w:tcPr>
            <w:tcW w:w="2257" w:type="dxa"/>
            <w:vMerge w:val="continue"/>
          </w:tcPr>
          <w:p>
            <w:pPr>
              <w:rPr>
                <w:rFonts w:ascii="Arial" w:hAnsi="Arial" w:eastAsia="楷体_GB2312" w:cs="Arial"/>
                <w:sz w:val="18"/>
                <w:szCs w:val="18"/>
              </w:rPr>
            </w:pPr>
          </w:p>
        </w:tc>
        <w:tc>
          <w:tcPr>
            <w:tcW w:w="8451" w:type="dxa"/>
            <w:shd w:val="clear" w:color="auto" w:fill="auto"/>
          </w:tcPr>
          <w:p>
            <w:pPr>
              <w:numPr>
                <w:ilvl w:val="0"/>
                <w:numId w:val="0"/>
              </w:numPr>
              <w:ind w:leftChars="0"/>
              <w:rPr>
                <w:rFonts w:ascii="Arial" w:hAnsi="Arial" w:eastAsia="楷体_GB2312" w:cs="Arial"/>
              </w:rPr>
            </w:pPr>
            <w:r>
              <w:rPr>
                <w:sz w:val="21"/>
              </w:rPr>
              <mc:AlternateContent>
                <mc:Choice Requires="wps">
                  <w:drawing>
                    <wp:anchor distT="0" distB="0" distL="114300" distR="114300" simplePos="0" relativeHeight="251661312" behindDoc="0" locked="0" layoutInCell="1" allowOverlap="1">
                      <wp:simplePos x="0" y="0"/>
                      <wp:positionH relativeFrom="column">
                        <wp:posOffset>58420</wp:posOffset>
                      </wp:positionH>
                      <wp:positionV relativeFrom="paragraph">
                        <wp:posOffset>21590</wp:posOffset>
                      </wp:positionV>
                      <wp:extent cx="5181600" cy="2920365"/>
                      <wp:effectExtent l="0" t="0" r="0" b="5080"/>
                      <wp:wrapNone/>
                      <wp:docPr id="21" name="文本框 21"/>
                      <wp:cNvGraphicFramePr/>
                      <a:graphic xmlns:a="http://schemas.openxmlformats.org/drawingml/2006/main">
                        <a:graphicData uri="http://schemas.microsoft.com/office/word/2010/wordprocessingShape">
                          <wps:wsp>
                            <wps:cNvSpPr txBox="1"/>
                            <wps:spPr>
                              <a:xfrm>
                                <a:off x="1948815" y="1117600"/>
                                <a:ext cx="5181600" cy="2920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8148" w:type="dxa"/>
                                    <w:tblInd w:w="-1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1328"/>
                                    <w:gridCol w:w="686"/>
                                    <w:gridCol w:w="645"/>
                                    <w:gridCol w:w="696"/>
                                    <w:gridCol w:w="640"/>
                                    <w:gridCol w:w="636"/>
                                    <w:gridCol w:w="605"/>
                                    <w:gridCol w:w="678"/>
                                    <w:gridCol w:w="607"/>
                                    <w:gridCol w:w="743"/>
                                    <w:gridCol w:w="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1333" w:type="dxa"/>
                                        <w:gridSpan w:val="2"/>
                                        <w:vMerge w:val="restart"/>
                                        <w:tcBorders>
                                          <w:top w:val="nil"/>
                                          <w:left w:val="single" w:color="auto" w:sz="4" w:space="0"/>
                                          <w:bottom w:val="single" w:color="auto" w:sz="4" w:space="0"/>
                                          <w:right w:val="single" w:color="auto" w:sz="4" w:space="0"/>
                                        </w:tcBorders>
                                        <w:shd w:val="clear" w:color="000000" w:fill="002060"/>
                                        <w:vAlign w:val="center"/>
                                      </w:tcPr>
                                      <w:p>
                                        <w:pPr>
                                          <w:keepNext w:val="0"/>
                                          <w:keepLines w:val="0"/>
                                          <w:widowControl/>
                                          <w:suppressLineNumbers w:val="0"/>
                                          <w:jc w:val="left"/>
                                          <w:textAlignment w:val="center"/>
                                          <w:rPr>
                                            <w:rFonts w:hint="eastAsia" w:ascii="Times New Roman" w:hAnsi="Times New Roman" w:eastAsia="等线" w:cs="Times New Roman"/>
                                            <w:b/>
                                            <w:bCs/>
                                            <w:i w:val="0"/>
                                            <w:iCs w:val="0"/>
                                            <w:color w:val="FFFFFF"/>
                                            <w:sz w:val="10"/>
                                            <w:szCs w:val="10"/>
                                            <w:u w:val="none"/>
                                            <w:lang w:val="en-US" w:eastAsia="zh-CN"/>
                                          </w:rPr>
                                        </w:pPr>
                                        <w:r>
                                          <w:rPr>
                                            <w:rFonts w:hint="eastAsia" w:ascii="楷体_GB2312" w:hAnsi="等线" w:eastAsia="楷体_GB2312" w:cs="楷体_GB2312"/>
                                            <w:b/>
                                            <w:bCs/>
                                            <w:i w:val="0"/>
                                            <w:iCs w:val="0"/>
                                            <w:color w:val="FFFFFF"/>
                                            <w:kern w:val="0"/>
                                            <w:sz w:val="10"/>
                                            <w:szCs w:val="10"/>
                                            <w:u w:val="none"/>
                                            <w:lang w:val="en-US" w:eastAsia="zh-CN" w:bidi="ar"/>
                                          </w:rPr>
                                          <w:t>毛利</w:t>
                                        </w:r>
                                      </w:p>
                                    </w:tc>
                                    <w:tc>
                                      <w:tcPr>
                                        <w:tcW w:w="1331"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2019</w:t>
                                        </w:r>
                                        <w:r>
                                          <w:rPr>
                                            <w:rFonts w:ascii="楷体_GB2312" w:hAnsi="Times New Roman" w:eastAsia="楷体_GB2312" w:cs="楷体_GB2312"/>
                                            <w:b/>
                                            <w:bCs/>
                                            <w:i w:val="0"/>
                                            <w:iCs w:val="0"/>
                                            <w:color w:val="FFFFFF"/>
                                            <w:kern w:val="0"/>
                                            <w:sz w:val="10"/>
                                            <w:szCs w:val="10"/>
                                            <w:u w:val="none"/>
                                            <w:lang w:val="en-US" w:eastAsia="zh-CN" w:bidi="ar"/>
                                          </w:rPr>
                                          <w:t>年</w:t>
                                        </w:r>
                                      </w:p>
                                    </w:tc>
                                    <w:tc>
                                      <w:tcPr>
                                        <w:tcW w:w="1336"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2020</w:t>
                                        </w:r>
                                        <w:r>
                                          <w:rPr>
                                            <w:rFonts w:ascii="楷体_GB2312" w:hAnsi="Times New Roman" w:eastAsia="楷体_GB2312" w:cs="楷体_GB2312"/>
                                            <w:b/>
                                            <w:bCs/>
                                            <w:i w:val="0"/>
                                            <w:iCs w:val="0"/>
                                            <w:color w:val="FFFFFF"/>
                                            <w:kern w:val="0"/>
                                            <w:sz w:val="10"/>
                                            <w:szCs w:val="10"/>
                                            <w:u w:val="none"/>
                                            <w:lang w:val="en-US" w:eastAsia="zh-CN" w:bidi="ar"/>
                                          </w:rPr>
                                          <w:t>年</w:t>
                                        </w:r>
                                      </w:p>
                                    </w:tc>
                                    <w:tc>
                                      <w:tcPr>
                                        <w:tcW w:w="1241"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2021</w:t>
                                        </w:r>
                                        <w:r>
                                          <w:rPr>
                                            <w:rFonts w:ascii="楷体_GB2312" w:hAnsi="Times New Roman" w:eastAsia="楷体_GB2312" w:cs="楷体_GB2312"/>
                                            <w:b/>
                                            <w:bCs/>
                                            <w:i w:val="0"/>
                                            <w:iCs w:val="0"/>
                                            <w:color w:val="FFFFFF"/>
                                            <w:kern w:val="0"/>
                                            <w:sz w:val="10"/>
                                            <w:szCs w:val="10"/>
                                            <w:u w:val="none"/>
                                            <w:lang w:val="en-US" w:eastAsia="zh-CN" w:bidi="ar"/>
                                          </w:rPr>
                                          <w:t>年</w:t>
                                        </w:r>
                                      </w:p>
                                    </w:tc>
                                    <w:tc>
                                      <w:tcPr>
                                        <w:tcW w:w="1285"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2022</w:t>
                                        </w:r>
                                        <w:r>
                                          <w:rPr>
                                            <w:rFonts w:ascii="楷体_GB2312" w:hAnsi="Times New Roman" w:eastAsia="楷体_GB2312" w:cs="楷体_GB2312"/>
                                            <w:b/>
                                            <w:bCs/>
                                            <w:i w:val="0"/>
                                            <w:iCs w:val="0"/>
                                            <w:color w:val="FFFFFF"/>
                                            <w:kern w:val="0"/>
                                            <w:sz w:val="10"/>
                                            <w:szCs w:val="10"/>
                                            <w:u w:val="none"/>
                                            <w:lang w:val="en-US" w:eastAsia="zh-CN" w:bidi="ar"/>
                                          </w:rPr>
                                          <w:t>年</w:t>
                                        </w:r>
                                      </w:p>
                                    </w:tc>
                                    <w:tc>
                                      <w:tcPr>
                                        <w:tcW w:w="1622"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2023</w:t>
                                        </w:r>
                                        <w:r>
                                          <w:rPr>
                                            <w:rFonts w:ascii="楷体_GB2312" w:hAnsi="Times New Roman" w:eastAsia="楷体_GB2312" w:cs="楷体_GB2312"/>
                                            <w:b/>
                                            <w:bCs/>
                                            <w:i w:val="0"/>
                                            <w:iCs w:val="0"/>
                                            <w:color w:val="FFFFFF"/>
                                            <w:kern w:val="0"/>
                                            <w:sz w:val="10"/>
                                            <w:szCs w:val="10"/>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3" w:hRule="atLeast"/>
                                    </w:trPr>
                                    <w:tc>
                                      <w:tcPr>
                                        <w:tcW w:w="1333" w:type="dxa"/>
                                        <w:gridSpan w:val="2"/>
                                        <w:vMerge w:val="continue"/>
                                        <w:tcBorders>
                                          <w:top w:val="nil"/>
                                          <w:left w:val="single" w:color="auto" w:sz="4" w:space="0"/>
                                          <w:bottom w:val="single" w:color="auto" w:sz="4" w:space="0"/>
                                          <w:right w:val="single" w:color="auto" w:sz="4" w:space="0"/>
                                        </w:tcBorders>
                                        <w:shd w:val="clear" w:color="000000" w:fill="002060"/>
                                        <w:vAlign w:val="center"/>
                                      </w:tcPr>
                                      <w:p>
                                        <w:pPr>
                                          <w:jc w:val="left"/>
                                          <w:rPr>
                                            <w:rFonts w:hint="default" w:ascii="Times New Roman" w:hAnsi="Times New Roman" w:eastAsia="等线" w:cs="Times New Roman"/>
                                            <w:b/>
                                            <w:bCs/>
                                            <w:i w:val="0"/>
                                            <w:iCs w:val="0"/>
                                            <w:color w:val="FFFFFF"/>
                                            <w:sz w:val="10"/>
                                            <w:szCs w:val="10"/>
                                            <w:u w:val="none"/>
                                          </w:rPr>
                                        </w:pPr>
                                      </w:p>
                                    </w:tc>
                                    <w:tc>
                                      <w:tcPr>
                                        <w:tcW w:w="68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5"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9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0"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3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05"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78"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07"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74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879"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1001"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染发剂原料、植保材料、特种工程材料单体等精细化工产品的研发、生产及销售</w:t>
                                        </w:r>
                                      </w:p>
                                    </w:tc>
                                    <w:tc>
                                      <w:tcPr>
                                        <w:tcW w:w="68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21,525.98</w:t>
                                        </w:r>
                                      </w:p>
                                    </w:tc>
                                    <w:tc>
                                      <w:tcPr>
                                        <w:tcW w:w="64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99.55%</w:t>
                                        </w:r>
                                      </w:p>
                                    </w:tc>
                                    <w:tc>
                                      <w:tcPr>
                                        <w:tcW w:w="69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24,331.82</w:t>
                                        </w:r>
                                      </w:p>
                                    </w:tc>
                                    <w:tc>
                                      <w:tcPr>
                                        <w:tcW w:w="64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99.85%</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21,663.65</w:t>
                                        </w:r>
                                      </w:p>
                                    </w:tc>
                                    <w:tc>
                                      <w:tcPr>
                                        <w:tcW w:w="60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99.53%</w:t>
                                        </w:r>
                                      </w:p>
                                    </w:tc>
                                    <w:tc>
                                      <w:tcPr>
                                        <w:tcW w:w="6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25,373.40</w:t>
                                        </w:r>
                                      </w:p>
                                    </w:tc>
                                    <w:tc>
                                      <w:tcPr>
                                        <w:tcW w:w="607"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99.76%</w:t>
                                        </w: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29,326.27</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23,907.83</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植保材料</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2,369.14</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特种工程材料单体</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3,049.30</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其他材料</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546.09</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其他业务</w:t>
                                        </w:r>
                                      </w:p>
                                    </w:tc>
                                    <w:tc>
                                      <w:tcPr>
                                        <w:tcW w:w="68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97.71</w:t>
                                        </w:r>
                                      </w:p>
                                    </w:tc>
                                    <w:tc>
                                      <w:tcPr>
                                        <w:tcW w:w="64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0.45%</w:t>
                                        </w:r>
                                      </w:p>
                                    </w:tc>
                                    <w:tc>
                                      <w:tcPr>
                                        <w:tcW w:w="69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36.69</w:t>
                                        </w:r>
                                      </w:p>
                                    </w:tc>
                                    <w:tc>
                                      <w:tcPr>
                                        <w:tcW w:w="64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0.15%</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102.92</w:t>
                                        </w:r>
                                      </w:p>
                                    </w:tc>
                                    <w:tc>
                                      <w:tcPr>
                                        <w:tcW w:w="60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0.47%</w:t>
                                        </w:r>
                                      </w:p>
                                    </w:tc>
                                    <w:tc>
                                      <w:tcPr>
                                        <w:tcW w:w="6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61.65</w:t>
                                        </w:r>
                                      </w:p>
                                    </w:tc>
                                    <w:tc>
                                      <w:tcPr>
                                        <w:tcW w:w="607"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0.24%</w:t>
                                        </w: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37.38</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90" w:hRule="atLeast"/>
                                    </w:trPr>
                                    <w:tc>
                                      <w:tcPr>
                                        <w:tcW w:w="1328" w:type="dxa"/>
                                        <w:tcBorders>
                                          <w:top w:val="nil"/>
                                          <w:left w:val="nil"/>
                                          <w:bottom w:val="single" w:color="auto" w:sz="12" w:space="0"/>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 xml:space="preserve">  </w:t>
                                        </w:r>
                                        <w:r>
                                          <w:rPr>
                                            <w:rFonts w:hint="eastAsia" w:ascii="楷体_GB2312" w:hAnsi="Times New Roman" w:eastAsia="楷体_GB2312" w:cs="楷体_GB2312"/>
                                            <w:b/>
                                            <w:bCs/>
                                            <w:i w:val="0"/>
                                            <w:iCs w:val="0"/>
                                            <w:color w:val="000000"/>
                                            <w:kern w:val="0"/>
                                            <w:sz w:val="10"/>
                                            <w:szCs w:val="10"/>
                                            <w:u w:val="none"/>
                                            <w:lang w:val="en-US" w:eastAsia="zh-CN" w:bidi="ar"/>
                                          </w:rPr>
                                          <w:t>合计</w:t>
                                        </w:r>
                                      </w:p>
                                    </w:tc>
                                    <w:tc>
                                      <w:tcPr>
                                        <w:tcW w:w="68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21,623.69</w:t>
                                        </w:r>
                                      </w:p>
                                    </w:tc>
                                    <w:tc>
                                      <w:tcPr>
                                        <w:tcW w:w="645"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9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24,368.52</w:t>
                                        </w:r>
                                      </w:p>
                                    </w:tc>
                                    <w:tc>
                                      <w:tcPr>
                                        <w:tcW w:w="640"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3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21,766.57</w:t>
                                        </w:r>
                                      </w:p>
                                    </w:tc>
                                    <w:tc>
                                      <w:tcPr>
                                        <w:tcW w:w="605"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78"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25,435.05</w:t>
                                        </w:r>
                                      </w:p>
                                    </w:tc>
                                    <w:tc>
                                      <w:tcPr>
                                        <w:tcW w:w="607"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74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29,909.73</w:t>
                                        </w:r>
                                      </w:p>
                                    </w:tc>
                                    <w:tc>
                                      <w:tcPr>
                                        <w:tcW w:w="879"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r>
                                </w:tbl>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pt;margin-top:1.7pt;height:229.95pt;width:408pt;z-index:251661312;mso-width-relative:page;mso-height-relative:page;" fillcolor="#FFFFFF [3201]" filled="t" stroked="f" coordsize="21600,21600" o:gfxdata="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QgQDtIAAAAH&#10;AQAADwAAAAAAAAABACAAAAAiAAAAZHJzL2Rvd25yZXYueG1sUEsBAhQAFAAAAAgAh07iQPb3jPNb&#10;AgAAngQAAA4AAAAAAAAAAQAgAAAAIQEAAGRycy9lMm9Eb2MueG1sUEsFBgAAAAAGAAYAWQEAAO4F&#10;AAAAAA==&#10;">
                      <v:fill on="t" focussize="0,0"/>
                      <v:stroke on="f" weight="0.5pt"/>
                      <v:imagedata o:title=""/>
                      <o:lock v:ext="edit" aspectratio="f"/>
                      <v:textbox>
                        <w:txbxContent>
                          <w:tbl>
                            <w:tblPr>
                              <w:tblStyle w:val="9"/>
                              <w:tblW w:w="8148" w:type="dxa"/>
                              <w:tblInd w:w="-1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1328"/>
                              <w:gridCol w:w="686"/>
                              <w:gridCol w:w="645"/>
                              <w:gridCol w:w="696"/>
                              <w:gridCol w:w="640"/>
                              <w:gridCol w:w="636"/>
                              <w:gridCol w:w="605"/>
                              <w:gridCol w:w="678"/>
                              <w:gridCol w:w="607"/>
                              <w:gridCol w:w="743"/>
                              <w:gridCol w:w="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1333" w:type="dxa"/>
                                  <w:gridSpan w:val="2"/>
                                  <w:vMerge w:val="restart"/>
                                  <w:tcBorders>
                                    <w:top w:val="nil"/>
                                    <w:left w:val="single" w:color="auto" w:sz="4" w:space="0"/>
                                    <w:bottom w:val="single" w:color="auto" w:sz="4" w:space="0"/>
                                    <w:right w:val="single" w:color="auto" w:sz="4" w:space="0"/>
                                  </w:tcBorders>
                                  <w:shd w:val="clear" w:color="000000" w:fill="002060"/>
                                  <w:vAlign w:val="center"/>
                                </w:tcPr>
                                <w:p>
                                  <w:pPr>
                                    <w:keepNext w:val="0"/>
                                    <w:keepLines w:val="0"/>
                                    <w:widowControl/>
                                    <w:suppressLineNumbers w:val="0"/>
                                    <w:jc w:val="left"/>
                                    <w:textAlignment w:val="center"/>
                                    <w:rPr>
                                      <w:rFonts w:hint="eastAsia" w:ascii="Times New Roman" w:hAnsi="Times New Roman" w:eastAsia="等线" w:cs="Times New Roman"/>
                                      <w:b/>
                                      <w:bCs/>
                                      <w:i w:val="0"/>
                                      <w:iCs w:val="0"/>
                                      <w:color w:val="FFFFFF"/>
                                      <w:sz w:val="10"/>
                                      <w:szCs w:val="10"/>
                                      <w:u w:val="none"/>
                                      <w:lang w:val="en-US" w:eastAsia="zh-CN"/>
                                    </w:rPr>
                                  </w:pPr>
                                  <w:r>
                                    <w:rPr>
                                      <w:rFonts w:hint="eastAsia" w:ascii="楷体_GB2312" w:hAnsi="等线" w:eastAsia="楷体_GB2312" w:cs="楷体_GB2312"/>
                                      <w:b/>
                                      <w:bCs/>
                                      <w:i w:val="0"/>
                                      <w:iCs w:val="0"/>
                                      <w:color w:val="FFFFFF"/>
                                      <w:kern w:val="0"/>
                                      <w:sz w:val="10"/>
                                      <w:szCs w:val="10"/>
                                      <w:u w:val="none"/>
                                      <w:lang w:val="en-US" w:eastAsia="zh-CN" w:bidi="ar"/>
                                    </w:rPr>
                                    <w:t>毛利</w:t>
                                  </w:r>
                                </w:p>
                              </w:tc>
                              <w:tc>
                                <w:tcPr>
                                  <w:tcW w:w="1331"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2019</w:t>
                                  </w:r>
                                  <w:r>
                                    <w:rPr>
                                      <w:rFonts w:ascii="楷体_GB2312" w:hAnsi="Times New Roman" w:eastAsia="楷体_GB2312" w:cs="楷体_GB2312"/>
                                      <w:b/>
                                      <w:bCs/>
                                      <w:i w:val="0"/>
                                      <w:iCs w:val="0"/>
                                      <w:color w:val="FFFFFF"/>
                                      <w:kern w:val="0"/>
                                      <w:sz w:val="10"/>
                                      <w:szCs w:val="10"/>
                                      <w:u w:val="none"/>
                                      <w:lang w:val="en-US" w:eastAsia="zh-CN" w:bidi="ar"/>
                                    </w:rPr>
                                    <w:t>年</w:t>
                                  </w:r>
                                </w:p>
                              </w:tc>
                              <w:tc>
                                <w:tcPr>
                                  <w:tcW w:w="1336"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2020</w:t>
                                  </w:r>
                                  <w:r>
                                    <w:rPr>
                                      <w:rFonts w:ascii="楷体_GB2312" w:hAnsi="Times New Roman" w:eastAsia="楷体_GB2312" w:cs="楷体_GB2312"/>
                                      <w:b/>
                                      <w:bCs/>
                                      <w:i w:val="0"/>
                                      <w:iCs w:val="0"/>
                                      <w:color w:val="FFFFFF"/>
                                      <w:kern w:val="0"/>
                                      <w:sz w:val="10"/>
                                      <w:szCs w:val="10"/>
                                      <w:u w:val="none"/>
                                      <w:lang w:val="en-US" w:eastAsia="zh-CN" w:bidi="ar"/>
                                    </w:rPr>
                                    <w:t>年</w:t>
                                  </w:r>
                                </w:p>
                              </w:tc>
                              <w:tc>
                                <w:tcPr>
                                  <w:tcW w:w="1241"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2021</w:t>
                                  </w:r>
                                  <w:r>
                                    <w:rPr>
                                      <w:rFonts w:ascii="楷体_GB2312" w:hAnsi="Times New Roman" w:eastAsia="楷体_GB2312" w:cs="楷体_GB2312"/>
                                      <w:b/>
                                      <w:bCs/>
                                      <w:i w:val="0"/>
                                      <w:iCs w:val="0"/>
                                      <w:color w:val="FFFFFF"/>
                                      <w:kern w:val="0"/>
                                      <w:sz w:val="10"/>
                                      <w:szCs w:val="10"/>
                                      <w:u w:val="none"/>
                                      <w:lang w:val="en-US" w:eastAsia="zh-CN" w:bidi="ar"/>
                                    </w:rPr>
                                    <w:t>年</w:t>
                                  </w:r>
                                </w:p>
                              </w:tc>
                              <w:tc>
                                <w:tcPr>
                                  <w:tcW w:w="1285"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2022</w:t>
                                  </w:r>
                                  <w:r>
                                    <w:rPr>
                                      <w:rFonts w:ascii="楷体_GB2312" w:hAnsi="Times New Roman" w:eastAsia="楷体_GB2312" w:cs="楷体_GB2312"/>
                                      <w:b/>
                                      <w:bCs/>
                                      <w:i w:val="0"/>
                                      <w:iCs w:val="0"/>
                                      <w:color w:val="FFFFFF"/>
                                      <w:kern w:val="0"/>
                                      <w:sz w:val="10"/>
                                      <w:szCs w:val="10"/>
                                      <w:u w:val="none"/>
                                      <w:lang w:val="en-US" w:eastAsia="zh-CN" w:bidi="ar"/>
                                    </w:rPr>
                                    <w:t>年</w:t>
                                  </w:r>
                                </w:p>
                              </w:tc>
                              <w:tc>
                                <w:tcPr>
                                  <w:tcW w:w="1622" w:type="dxa"/>
                                  <w:gridSpan w:val="2"/>
                                  <w:tcBorders>
                                    <w:top w:val="nil"/>
                                    <w:left w:val="nil"/>
                                    <w:bottom w:val="single" w:color="auto" w:sz="4" w:space="0"/>
                                    <w:right w:val="single" w:color="auto" w:sz="4" w:space="0"/>
                                  </w:tcBorders>
                                  <w:shd w:val="clear" w:color="000000" w:fill="002060"/>
                                  <w:vAlign w:val="bottom"/>
                                </w:tcPr>
                                <w:p>
                                  <w:pPr>
                                    <w:keepNext w:val="0"/>
                                    <w:keepLines w:val="0"/>
                                    <w:widowControl/>
                                    <w:suppressLineNumbers w:val="0"/>
                                    <w:jc w:val="center"/>
                                    <w:textAlignment w:val="bottom"/>
                                    <w:rPr>
                                      <w:rFonts w:hint="default" w:ascii="Times New Roman" w:hAnsi="Times New Roman" w:eastAsia="等线" w:cs="Times New Roman"/>
                                      <w:b/>
                                      <w:bCs/>
                                      <w:i w:val="0"/>
                                      <w:iCs w:val="0"/>
                                      <w:color w:val="FFFFFF"/>
                                      <w:sz w:val="10"/>
                                      <w:szCs w:val="10"/>
                                      <w:u w:val="none"/>
                                    </w:rPr>
                                  </w:pPr>
                                  <w:r>
                                    <w:rPr>
                                      <w:rFonts w:hint="default" w:ascii="Times New Roman" w:hAnsi="Times New Roman" w:eastAsia="等线" w:cs="Times New Roman"/>
                                      <w:b/>
                                      <w:bCs/>
                                      <w:i w:val="0"/>
                                      <w:iCs w:val="0"/>
                                      <w:color w:val="FFFFFF"/>
                                      <w:kern w:val="0"/>
                                      <w:sz w:val="10"/>
                                      <w:szCs w:val="10"/>
                                      <w:u w:val="none"/>
                                      <w:lang w:val="en-US" w:eastAsia="zh-CN" w:bidi="ar"/>
                                    </w:rPr>
                                    <w:t>2023</w:t>
                                  </w:r>
                                  <w:r>
                                    <w:rPr>
                                      <w:rFonts w:ascii="楷体_GB2312" w:hAnsi="Times New Roman" w:eastAsia="楷体_GB2312" w:cs="楷体_GB2312"/>
                                      <w:b/>
                                      <w:bCs/>
                                      <w:i w:val="0"/>
                                      <w:iCs w:val="0"/>
                                      <w:color w:val="FFFFFF"/>
                                      <w:kern w:val="0"/>
                                      <w:sz w:val="10"/>
                                      <w:szCs w:val="10"/>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3" w:hRule="atLeast"/>
                              </w:trPr>
                              <w:tc>
                                <w:tcPr>
                                  <w:tcW w:w="1333" w:type="dxa"/>
                                  <w:gridSpan w:val="2"/>
                                  <w:vMerge w:val="continue"/>
                                  <w:tcBorders>
                                    <w:top w:val="nil"/>
                                    <w:left w:val="single" w:color="auto" w:sz="4" w:space="0"/>
                                    <w:bottom w:val="single" w:color="auto" w:sz="4" w:space="0"/>
                                    <w:right w:val="single" w:color="auto" w:sz="4" w:space="0"/>
                                  </w:tcBorders>
                                  <w:shd w:val="clear" w:color="000000" w:fill="002060"/>
                                  <w:vAlign w:val="center"/>
                                </w:tcPr>
                                <w:p>
                                  <w:pPr>
                                    <w:jc w:val="left"/>
                                    <w:rPr>
                                      <w:rFonts w:hint="default" w:ascii="Times New Roman" w:hAnsi="Times New Roman" w:eastAsia="等线" w:cs="Times New Roman"/>
                                      <w:b/>
                                      <w:bCs/>
                                      <w:i w:val="0"/>
                                      <w:iCs w:val="0"/>
                                      <w:color w:val="FFFFFF"/>
                                      <w:sz w:val="10"/>
                                      <w:szCs w:val="10"/>
                                      <w:u w:val="none"/>
                                    </w:rPr>
                                  </w:pPr>
                                </w:p>
                              </w:tc>
                              <w:tc>
                                <w:tcPr>
                                  <w:tcW w:w="68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5"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9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40"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36"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05"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678"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607"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c>
                                <w:tcPr>
                                  <w:tcW w:w="743"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eastAsia" w:ascii="楷体_GB2312" w:hAnsi="等线" w:eastAsia="楷体_GB2312" w:cs="楷体_GB2312"/>
                                      <w:b/>
                                      <w:bCs/>
                                      <w:i w:val="0"/>
                                      <w:iCs w:val="0"/>
                                      <w:color w:val="FFFFFF"/>
                                      <w:sz w:val="10"/>
                                      <w:szCs w:val="10"/>
                                      <w:u w:val="none"/>
                                    </w:rPr>
                                  </w:pPr>
                                  <w:r>
                                    <w:rPr>
                                      <w:rFonts w:hint="eastAsia" w:ascii="楷体_GB2312" w:hAnsi="等线" w:eastAsia="楷体_GB2312" w:cs="楷体_GB2312"/>
                                      <w:b/>
                                      <w:bCs/>
                                      <w:i w:val="0"/>
                                      <w:iCs w:val="0"/>
                                      <w:color w:val="FFFFFF"/>
                                      <w:kern w:val="0"/>
                                      <w:sz w:val="10"/>
                                      <w:szCs w:val="10"/>
                                      <w:u w:val="none"/>
                                      <w:lang w:val="en-US" w:eastAsia="zh-CN" w:bidi="ar"/>
                                    </w:rPr>
                                    <w:t>金额</w:t>
                                  </w:r>
                                  <w:r>
                                    <w:rPr>
                                      <w:rFonts w:hint="eastAsia" w:ascii="楷体_GB2312" w:hAnsi="等线" w:eastAsia="楷体_GB2312" w:cs="楷体_GB2312"/>
                                      <w:b/>
                                      <w:bCs/>
                                      <w:i w:val="0"/>
                                      <w:iCs w:val="0"/>
                                      <w:color w:val="FFFFFF"/>
                                      <w:kern w:val="0"/>
                                      <w:sz w:val="10"/>
                                      <w:szCs w:val="10"/>
                                      <w:u w:val="none"/>
                                      <w:lang w:val="en-US" w:eastAsia="zh-CN" w:bidi="ar"/>
                                    </w:rPr>
                                    <w:br w:type="textWrapping"/>
                                  </w:r>
                                  <w:r>
                                    <w:rPr>
                                      <w:rFonts w:hint="eastAsia" w:ascii="楷体_GB2312" w:hAnsi="等线" w:eastAsia="楷体_GB2312" w:cs="楷体_GB2312"/>
                                      <w:b/>
                                      <w:bCs/>
                                      <w:i w:val="0"/>
                                      <w:iCs w:val="0"/>
                                      <w:color w:val="FFFFFF"/>
                                      <w:kern w:val="0"/>
                                      <w:sz w:val="10"/>
                                      <w:szCs w:val="10"/>
                                      <w:u w:val="none"/>
                                      <w:lang w:val="en-US" w:eastAsia="zh-CN" w:bidi="ar"/>
                                    </w:rPr>
                                    <w:t>（万元）</w:t>
                                  </w:r>
                                </w:p>
                              </w:tc>
                              <w:tc>
                                <w:tcPr>
                                  <w:tcW w:w="879" w:type="dxa"/>
                                  <w:tcBorders>
                                    <w:top w:val="nil"/>
                                    <w:left w:val="nil"/>
                                    <w:bottom w:val="nil"/>
                                    <w:right w:val="single" w:color="auto" w:sz="4" w:space="0"/>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FFFFFF"/>
                                      <w:sz w:val="10"/>
                                      <w:szCs w:val="10"/>
                                      <w:u w:val="none"/>
                                    </w:rPr>
                                  </w:pPr>
                                  <w:r>
                                    <w:rPr>
                                      <w:rFonts w:ascii="楷体_GB2312" w:hAnsi="Times New Roman" w:eastAsia="楷体_GB2312" w:cs="楷体_GB2312"/>
                                      <w:b/>
                                      <w:bCs/>
                                      <w:i w:val="0"/>
                                      <w:iCs w:val="0"/>
                                      <w:color w:val="FFFFFF"/>
                                      <w:kern w:val="0"/>
                                      <w:sz w:val="10"/>
                                      <w:szCs w:val="10"/>
                                      <w:u w:val="none"/>
                                      <w:lang w:val="en-US" w:eastAsia="zh-CN" w:bidi="ar"/>
                                    </w:rPr>
                                    <w:t>占比（</w:t>
                                  </w:r>
                                  <w:r>
                                    <w:rPr>
                                      <w:rFonts w:hint="default" w:ascii="Times New Roman" w:hAnsi="Times New Roman" w:eastAsia="等线" w:cs="Times New Roman"/>
                                      <w:b/>
                                      <w:bCs/>
                                      <w:i w:val="0"/>
                                      <w:iCs w:val="0"/>
                                      <w:color w:val="FFFFFF"/>
                                      <w:kern w:val="0"/>
                                      <w:sz w:val="10"/>
                                      <w:szCs w:val="10"/>
                                      <w:u w:val="none"/>
                                      <w:lang w:val="en-US" w:eastAsia="zh-CN" w:bidi="ar"/>
                                    </w:rPr>
                                    <w:t>%</w:t>
                                  </w:r>
                                  <w:r>
                                    <w:rPr>
                                      <w:rFonts w:ascii="楷体_GB2312" w:hAnsi="Times New Roman" w:eastAsia="楷体_GB2312" w:cs="楷体_GB2312"/>
                                      <w:b/>
                                      <w:bCs/>
                                      <w:i w:val="0"/>
                                      <w:iCs w:val="0"/>
                                      <w:color w:val="FFFFFF"/>
                                      <w:kern w:val="0"/>
                                      <w:sz w:val="10"/>
                                      <w:szCs w:val="1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1001"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染发剂原料、植保材料、特种工程材料单体等精细化工产品的研发、生产及销售</w:t>
                                  </w:r>
                                </w:p>
                              </w:tc>
                              <w:tc>
                                <w:tcPr>
                                  <w:tcW w:w="68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21,525.98</w:t>
                                  </w:r>
                                </w:p>
                              </w:tc>
                              <w:tc>
                                <w:tcPr>
                                  <w:tcW w:w="64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99.55%</w:t>
                                  </w:r>
                                </w:p>
                              </w:tc>
                              <w:tc>
                                <w:tcPr>
                                  <w:tcW w:w="69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24,331.82</w:t>
                                  </w:r>
                                </w:p>
                              </w:tc>
                              <w:tc>
                                <w:tcPr>
                                  <w:tcW w:w="64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99.85%</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21,663.65</w:t>
                                  </w:r>
                                </w:p>
                              </w:tc>
                              <w:tc>
                                <w:tcPr>
                                  <w:tcW w:w="60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99.53%</w:t>
                                  </w:r>
                                </w:p>
                              </w:tc>
                              <w:tc>
                                <w:tcPr>
                                  <w:tcW w:w="6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25,373.40</w:t>
                                  </w:r>
                                </w:p>
                              </w:tc>
                              <w:tc>
                                <w:tcPr>
                                  <w:tcW w:w="607"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99.76%</w:t>
                                  </w: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29,326.27</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染发剂原料</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23,907.83</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植保材料</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2,369.14</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特种工程材料单体</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3,049.30</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其他材料</w:t>
                                  </w:r>
                                </w:p>
                              </w:tc>
                              <w:tc>
                                <w:tcPr>
                                  <w:tcW w:w="68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9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4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36"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5"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78"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607"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0"/>
                                      <w:szCs w:val="10"/>
                                      <w:u w:val="none"/>
                                    </w:rPr>
                                  </w:pP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546.09</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83" w:hRule="atLeast"/>
                              </w:trPr>
                              <w:tc>
                                <w:tcPr>
                                  <w:tcW w:w="132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 xml:space="preserve">  </w:t>
                                  </w:r>
                                  <w:r>
                                    <w:rPr>
                                      <w:rFonts w:hint="eastAsia" w:ascii="楷体_GB2312" w:hAnsi="Times New Roman" w:eastAsia="楷体_GB2312" w:cs="楷体_GB2312"/>
                                      <w:i w:val="0"/>
                                      <w:iCs w:val="0"/>
                                      <w:color w:val="000000"/>
                                      <w:kern w:val="0"/>
                                      <w:sz w:val="10"/>
                                      <w:szCs w:val="10"/>
                                      <w:u w:val="none"/>
                                      <w:lang w:val="en-US" w:eastAsia="zh-CN" w:bidi="ar"/>
                                    </w:rPr>
                                    <w:t>其他业务</w:t>
                                  </w:r>
                                </w:p>
                              </w:tc>
                              <w:tc>
                                <w:tcPr>
                                  <w:tcW w:w="68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97.71</w:t>
                                  </w:r>
                                </w:p>
                              </w:tc>
                              <w:tc>
                                <w:tcPr>
                                  <w:tcW w:w="64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0.45%</w:t>
                                  </w:r>
                                </w:p>
                              </w:tc>
                              <w:tc>
                                <w:tcPr>
                                  <w:tcW w:w="69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36.69</w:t>
                                  </w:r>
                                </w:p>
                              </w:tc>
                              <w:tc>
                                <w:tcPr>
                                  <w:tcW w:w="64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0.15%</w:t>
                                  </w:r>
                                </w:p>
                              </w:tc>
                              <w:tc>
                                <w:tcPr>
                                  <w:tcW w:w="6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102.92</w:t>
                                  </w:r>
                                </w:p>
                              </w:tc>
                              <w:tc>
                                <w:tcPr>
                                  <w:tcW w:w="60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0.47%</w:t>
                                  </w:r>
                                </w:p>
                              </w:tc>
                              <w:tc>
                                <w:tcPr>
                                  <w:tcW w:w="67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61.65</w:t>
                                  </w:r>
                                </w:p>
                              </w:tc>
                              <w:tc>
                                <w:tcPr>
                                  <w:tcW w:w="607"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0.24%</w:t>
                                  </w:r>
                                </w:p>
                              </w:tc>
                              <w:tc>
                                <w:tcPr>
                                  <w:tcW w:w="7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37.38</w:t>
                                  </w:r>
                                </w:p>
                              </w:tc>
                              <w:tc>
                                <w:tcPr>
                                  <w:tcW w:w="87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0"/>
                                      <w:szCs w:val="10"/>
                                      <w:u w:val="none"/>
                                    </w:rPr>
                                  </w:pPr>
                                  <w:r>
                                    <w:rPr>
                                      <w:rFonts w:hint="default" w:ascii="Times New Roman" w:hAnsi="Times New Roman" w:eastAsia="等线" w:cs="Times New Roman"/>
                                      <w:i w:val="0"/>
                                      <w:iCs w:val="0"/>
                                      <w:color w:val="000000"/>
                                      <w:kern w:val="0"/>
                                      <w:sz w:val="10"/>
                                      <w:szCs w:val="10"/>
                                      <w:u w:val="none"/>
                                      <w:lang w:val="en-US" w:eastAsia="zh-CN" w:bidi="ar"/>
                                    </w:rPr>
                                    <w:t>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90" w:hRule="atLeast"/>
                              </w:trPr>
                              <w:tc>
                                <w:tcPr>
                                  <w:tcW w:w="1328" w:type="dxa"/>
                                  <w:tcBorders>
                                    <w:top w:val="nil"/>
                                    <w:left w:val="nil"/>
                                    <w:bottom w:val="single" w:color="auto" w:sz="12" w:space="0"/>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 xml:space="preserve">  </w:t>
                                  </w:r>
                                  <w:r>
                                    <w:rPr>
                                      <w:rFonts w:hint="eastAsia" w:ascii="楷体_GB2312" w:hAnsi="Times New Roman" w:eastAsia="楷体_GB2312" w:cs="楷体_GB2312"/>
                                      <w:b/>
                                      <w:bCs/>
                                      <w:i w:val="0"/>
                                      <w:iCs w:val="0"/>
                                      <w:color w:val="000000"/>
                                      <w:kern w:val="0"/>
                                      <w:sz w:val="10"/>
                                      <w:szCs w:val="10"/>
                                      <w:u w:val="none"/>
                                      <w:lang w:val="en-US" w:eastAsia="zh-CN" w:bidi="ar"/>
                                    </w:rPr>
                                    <w:t>合计</w:t>
                                  </w:r>
                                </w:p>
                              </w:tc>
                              <w:tc>
                                <w:tcPr>
                                  <w:tcW w:w="68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21,623.69</w:t>
                                  </w:r>
                                </w:p>
                              </w:tc>
                              <w:tc>
                                <w:tcPr>
                                  <w:tcW w:w="645"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9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24,368.52</w:t>
                                  </w:r>
                                </w:p>
                              </w:tc>
                              <w:tc>
                                <w:tcPr>
                                  <w:tcW w:w="640"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36"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21,766.57</w:t>
                                  </w:r>
                                </w:p>
                              </w:tc>
                              <w:tc>
                                <w:tcPr>
                                  <w:tcW w:w="605"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678"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25,435.05</w:t>
                                  </w:r>
                                </w:p>
                              </w:tc>
                              <w:tc>
                                <w:tcPr>
                                  <w:tcW w:w="607"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c>
                                <w:tcPr>
                                  <w:tcW w:w="743"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29,909.73</w:t>
                                  </w:r>
                                </w:p>
                              </w:tc>
                              <w:tc>
                                <w:tcPr>
                                  <w:tcW w:w="879" w:type="dxa"/>
                                  <w:tcBorders>
                                    <w:top w:val="nil"/>
                                    <w:left w:val="nil"/>
                                    <w:bottom w:val="single" w:color="auto"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b/>
                                      <w:bCs/>
                                      <w:i w:val="0"/>
                                      <w:iCs w:val="0"/>
                                      <w:color w:val="000000"/>
                                      <w:sz w:val="10"/>
                                      <w:szCs w:val="10"/>
                                      <w:u w:val="none"/>
                                    </w:rPr>
                                  </w:pPr>
                                  <w:r>
                                    <w:rPr>
                                      <w:rFonts w:hint="default" w:ascii="Times New Roman" w:hAnsi="Times New Roman" w:eastAsia="等线" w:cs="Times New Roman"/>
                                      <w:b/>
                                      <w:bCs/>
                                      <w:i w:val="0"/>
                                      <w:iCs w:val="0"/>
                                      <w:color w:val="000000"/>
                                      <w:kern w:val="0"/>
                                      <w:sz w:val="10"/>
                                      <w:szCs w:val="10"/>
                                      <w:u w:val="none"/>
                                      <w:lang w:val="en-US" w:eastAsia="zh-CN" w:bidi="ar"/>
                                    </w:rPr>
                                    <w:t>100.00%</w:t>
                                  </w:r>
                                </w:p>
                              </w:tc>
                            </w:tr>
                          </w:tbl>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txbxContent>
                      </v:textbox>
                    </v:shape>
                  </w:pict>
                </mc:Fallback>
              </mc:AlternateContent>
            </w: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ascii="Arial" w:hAnsi="Arial" w:eastAsia="楷体_GB2312" w:cs="Arial"/>
              </w:rPr>
            </w:pPr>
          </w:p>
          <w:p>
            <w:pPr>
              <w:numPr>
                <w:ilvl w:val="0"/>
                <w:numId w:val="0"/>
              </w:numPr>
              <w:ind w:leftChars="0"/>
              <w:rPr>
                <w:rFonts w:hint="eastAsia" w:ascii="楷体" w:hAnsi="楷体" w:eastAsia="楷体" w:cs="楷体"/>
                <w:b/>
                <w:bCs/>
                <w:color w:val="9C4B45"/>
                <w:kern w:val="0"/>
                <w:sz w:val="24"/>
                <w:szCs w:val="24"/>
                <w:lang w:val="en-US" w:eastAsia="zh-CN" w:bidi="ar"/>
              </w:rPr>
            </w:pPr>
          </w:p>
          <w:p>
            <w:pPr>
              <w:numPr>
                <w:ilvl w:val="0"/>
                <w:numId w:val="2"/>
              </w:numPr>
              <w:rPr>
                <w:rFonts w:hint="eastAsia" w:ascii="楷体" w:hAnsi="楷体" w:eastAsia="楷体" w:cs="楷体"/>
                <w:b/>
                <w:bCs/>
                <w:color w:val="9C4B45"/>
                <w:kern w:val="0"/>
                <w:sz w:val="24"/>
                <w:szCs w:val="24"/>
                <w:lang w:val="en-US" w:eastAsia="zh-CN" w:bidi="ar"/>
              </w:rPr>
            </w:pPr>
            <w:r>
              <w:rPr>
                <w:rFonts w:hint="eastAsia" w:ascii="楷体" w:hAnsi="楷体" w:eastAsia="楷体" w:cs="楷体"/>
                <w:b/>
                <w:bCs/>
                <w:color w:val="9C4B45"/>
                <w:kern w:val="0"/>
                <w:sz w:val="24"/>
                <w:szCs w:val="24"/>
                <w:lang w:val="en-US" w:eastAsia="zh-CN" w:bidi="ar"/>
              </w:rPr>
              <w:t>费用控制：</w:t>
            </w:r>
          </w:p>
          <w:p>
            <w:pPr>
              <w:numPr>
                <w:ilvl w:val="0"/>
                <w:numId w:val="0"/>
              </w:numPr>
              <w:ind w:leftChars="0"/>
              <w:rPr>
                <w:rFonts w:hint="default" w:ascii="Times New Roman" w:hAnsi="Times New Roman" w:eastAsia="楷体_GB2312" w:cs="Times New Roman"/>
                <w:lang w:val="en-US" w:eastAsia="zh-CN"/>
              </w:rPr>
            </w:pPr>
            <w:r>
              <w:rPr>
                <w:rFonts w:ascii="楷体" w:hAnsi="楷体" w:eastAsia="楷体" w:cs="楷体"/>
                <w:b/>
                <w:bCs/>
                <w:color w:val="000000"/>
                <w:kern w:val="0"/>
                <w:sz w:val="21"/>
                <w:szCs w:val="21"/>
                <w:lang w:val="en-US" w:eastAsia="zh-CN" w:bidi="ar"/>
              </w:rPr>
              <w:t>公司</w:t>
            </w:r>
            <w:r>
              <w:rPr>
                <w:rFonts w:hint="eastAsia" w:ascii="Arial" w:hAnsi="Arial" w:eastAsia="楷体_GB2312" w:cs="Arial"/>
                <w:b/>
                <w:bCs/>
                <w:lang w:val="en-US" w:eastAsia="zh-CN"/>
              </w:rPr>
              <w:t>费用控制相对稳定，而财务费用则表现出较大波动。</w:t>
            </w:r>
            <w:r>
              <w:rPr>
                <w:rFonts w:hint="default" w:ascii="Times New Roman" w:hAnsi="Times New Roman" w:eastAsia="楷体_GB2312" w:cs="Times New Roman"/>
                <w:lang w:val="en-US" w:eastAsia="zh-CN"/>
              </w:rPr>
              <w:t>销售费用率从2019年的2.30%逐年下降至2022年的1.45%，在2023年有所上升至1.88%，与</w:t>
            </w:r>
            <w:r>
              <w:rPr>
                <w:rFonts w:hint="eastAsia" w:eastAsia="楷体_GB2312" w:cs="Times New Roman"/>
                <w:lang w:val="en-US" w:eastAsia="zh-CN"/>
              </w:rPr>
              <w:t>公司</w:t>
            </w:r>
            <w:r>
              <w:rPr>
                <w:rFonts w:hint="default" w:ascii="Times New Roman" w:hAnsi="Times New Roman" w:eastAsia="楷体_GB2312" w:cs="Times New Roman"/>
                <w:lang w:val="en-US" w:eastAsia="zh-CN"/>
              </w:rPr>
              <w:t>市场策略调整或销售活动增加有关。管理费用率自2019年的8.71%逐年下降至2022年的5.04%，反映出公司在管理效率上的持续优化。研发费用率则从2019年的2.94%逐年上升至2023年的4.37%，显示出公司对研发投入的增加，</w:t>
            </w:r>
            <w:r>
              <w:rPr>
                <w:rFonts w:hint="eastAsia" w:eastAsia="楷体_GB2312" w:cs="Times New Roman"/>
                <w:lang w:val="en-US" w:eastAsia="zh-CN"/>
              </w:rPr>
              <w:t>这</w:t>
            </w:r>
            <w:r>
              <w:rPr>
                <w:rFonts w:hint="default" w:ascii="Times New Roman" w:hAnsi="Times New Roman" w:eastAsia="楷体_GB2312" w:cs="Times New Roman"/>
                <w:lang w:val="en-US" w:eastAsia="zh-CN"/>
              </w:rPr>
              <w:t>与公司加大产品创新和技术升级的力度有关。财务费用率在2019至2021年逐年上升，但在2022年和2023年出现负值，公司在这两年内实现了财务收益或有效管理了债务成本。2024年一季度的数据显示，销售费用率和管理费用率有所上升，而研发费用率继续增加，财务费用率保持负值，这反映了公司在新财年初期对市场和研发的加大投入。整体而言，鼎龙科技在费用管理上表现出较强的适应性和灵活性，同时对研发的持续投入有助于公司长期竞争力的提升。</w:t>
            </w:r>
          </w:p>
          <w:p>
            <w:pPr>
              <w:numPr>
                <w:ilvl w:val="0"/>
                <w:numId w:val="0"/>
              </w:numPr>
              <w:ind w:leftChars="0"/>
              <w:rPr>
                <w:rFonts w:ascii="Arial" w:hAnsi="Arial" w:eastAsia="楷体_GB2312" w:cs="Arial"/>
              </w:rPr>
            </w:pPr>
          </w:p>
          <w:p>
            <w:pPr>
              <w:jc w:val="center"/>
            </w:pPr>
            <w:r>
              <w:drawing>
                <wp:inline distT="0" distB="0" distL="114300" distR="114300">
                  <wp:extent cx="4678045" cy="2113280"/>
                  <wp:effectExtent l="0" t="0" r="6985" b="254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
                          <a:stretch>
                            <a:fillRect/>
                          </a:stretch>
                        </pic:blipFill>
                        <pic:spPr>
                          <a:xfrm>
                            <a:off x="0" y="0"/>
                            <a:ext cx="4678045" cy="2113280"/>
                          </a:xfrm>
                          <a:prstGeom prst="rect">
                            <a:avLst/>
                          </a:prstGeom>
                          <a:noFill/>
                          <a:ln>
                            <a:noFill/>
                          </a:ln>
                        </pic:spPr>
                      </pic:pic>
                    </a:graphicData>
                  </a:graphic>
                </wp:inline>
              </w:drawing>
            </w:r>
          </w:p>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p/>
          <w:p/>
          <w:p>
            <w:pPr>
              <w:rPr>
                <w:rFonts w:hint="eastAsia"/>
                <w:lang w:val="en-US" w:eastAsia="zh-CN"/>
              </w:rPr>
            </w:pPr>
          </w:p>
        </w:tc>
      </w:tr>
      <w:tr>
        <w:tblPrEx>
          <w:tblCellMar>
            <w:top w:w="0" w:type="dxa"/>
            <w:left w:w="28" w:type="dxa"/>
            <w:bottom w:w="0" w:type="dxa"/>
            <w:right w:w="11" w:type="dxa"/>
          </w:tblCellMar>
        </w:tblPrEx>
        <w:trPr>
          <w:trHeight w:val="14261" w:hRule="exact"/>
        </w:trPr>
        <w:tc>
          <w:tcPr>
            <w:tcW w:w="2257" w:type="dxa"/>
            <w:vMerge w:val="continue"/>
            <w:vAlign w:val="center"/>
          </w:tcPr>
          <w:p>
            <w:pPr>
              <w:rPr>
                <w:rFonts w:ascii="Arial" w:hAnsi="Arial" w:eastAsia="楷体_GB2312" w:cs="Arial"/>
                <w:lang w:val="fr-FR"/>
              </w:rPr>
            </w:pPr>
          </w:p>
        </w:tc>
        <w:tc>
          <w:tcPr>
            <w:tcW w:w="8451" w:type="dxa"/>
          </w:tcPr>
          <w:p>
            <w:pPr>
              <w:rPr>
                <w:rFonts w:hint="default" w:ascii="Times New Roman" w:hAnsi="Times New Roman" w:eastAsia="楷体_GB2312" w:cs="Times New Roman"/>
                <w:lang w:val="en-US" w:eastAsia="zh-CN"/>
              </w:rPr>
            </w:pPr>
          </w:p>
          <w:p>
            <w:pPr>
              <w:numPr>
                <w:ilvl w:val="0"/>
                <w:numId w:val="2"/>
              </w:numPr>
              <w:rPr>
                <w:rFonts w:hint="eastAsia" w:ascii="楷体" w:hAnsi="楷体" w:eastAsia="楷体" w:cs="楷体"/>
                <w:b/>
                <w:bCs/>
                <w:color w:val="9C4B45"/>
                <w:kern w:val="0"/>
                <w:sz w:val="24"/>
                <w:szCs w:val="24"/>
                <w:lang w:val="en-US" w:eastAsia="zh-CN" w:bidi="ar"/>
              </w:rPr>
            </w:pPr>
            <w:r>
              <w:rPr>
                <w:rFonts w:hint="eastAsia" w:ascii="楷体" w:hAnsi="楷体" w:eastAsia="楷体" w:cs="楷体"/>
                <w:b/>
                <w:bCs/>
                <w:color w:val="9C4B45"/>
                <w:kern w:val="0"/>
                <w:sz w:val="24"/>
                <w:szCs w:val="24"/>
                <w:lang w:val="en-US" w:eastAsia="zh-CN" w:bidi="ar"/>
              </w:rPr>
              <w:t>同行业公司财务表现分析</w:t>
            </w:r>
          </w:p>
          <w:p>
            <w:pPr>
              <w:rPr>
                <w:lang w:val="fr-FR"/>
              </w:rPr>
            </w:pPr>
            <w:r>
              <w:rPr>
                <w:rFonts w:hint="eastAsia" w:ascii="Arial" w:hAnsi="Arial" w:eastAsia="楷体_GB2312" w:cs="Arial"/>
                <w:b/>
                <w:bCs/>
                <w:lang w:val="en-US" w:eastAsia="zh-CN"/>
              </w:rPr>
              <w:t>鼎龙科技在同行业公司中的财务表现稳健，尤其在归母净利润增长率方面显著超越行业平均水平，突显了其在盈利能力及成长潜力方面的优势。</w:t>
            </w:r>
            <w:r>
              <w:rPr>
                <w:rFonts w:hint="eastAsia" w:ascii="Times New Roman" w:hAnsi="Times New Roman" w:eastAsia="楷体_GB2312" w:cs="Times New Roman"/>
                <w:lang w:val="fr-FR" w:eastAsia="zh-CN"/>
              </w:rPr>
              <w:t>在对鼎龙科技与同行业其他九家市值最高公司以及行业中位数财务数据进行比较的分析中，鼎龙科技在营收和归母净利润的增长上表现出积极的趋势。鼎龙科技的营业总收入为7.42亿元，虽然在所比较的公司中并不是最高的，但其营收三年复合增长率为4.84%，高于行业中位数的11.94%，显示出比行业平均水平更稳健的增长。同时，鼎龙科技的归母净利润为1.74亿元，归母净利润三年复合增长率达到27.89%，在所有比较公司中表现突出，远超行业中位数的-1.41%，以及同行业其他公司的表现。这表明鼎龙科技在盈利能力、成本控制或市场策略上具有较强的竞争优势。特别是与其他公司相比，鼎龙科技展示了较高的盈利效率和较快的利润增长速度。综合来看，鼎龙科技的财务表现在同行业中较为出色</w:t>
            </w:r>
            <w:r>
              <w:rPr>
                <w:rFonts w:hint="eastAsia" w:eastAsia="楷体_GB2312" w:cs="Times New Roman"/>
                <w:lang w:val="fr-FR" w:eastAsia="zh-CN"/>
              </w:rPr>
              <w:t>。</w:t>
            </w:r>
          </w:p>
          <w:p>
            <w:pPr>
              <w:rPr>
                <w:lang w:val="fr-FR"/>
              </w:rPr>
            </w:pPr>
          </w:p>
          <w:p>
            <w:pPr>
              <w:jc w:val="center"/>
              <w:rPr>
                <w:lang w:val="fr-FR"/>
              </w:rPr>
            </w:pPr>
            <w:r>
              <w:drawing>
                <wp:inline distT="0" distB="0" distL="114300" distR="114300">
                  <wp:extent cx="4331335" cy="2192020"/>
                  <wp:effectExtent l="0" t="0" r="8255" b="1016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6"/>
                          <a:stretch>
                            <a:fillRect/>
                          </a:stretch>
                        </pic:blipFill>
                        <pic:spPr>
                          <a:xfrm>
                            <a:off x="0" y="0"/>
                            <a:ext cx="4331335" cy="2192020"/>
                          </a:xfrm>
                          <a:prstGeom prst="rect">
                            <a:avLst/>
                          </a:prstGeom>
                          <a:noFill/>
                          <a:ln>
                            <a:noFill/>
                          </a:ln>
                        </pic:spPr>
                      </pic:pic>
                    </a:graphicData>
                  </a:graphic>
                </wp:inline>
              </w:drawing>
            </w:r>
          </w:p>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pPr>
              <w:rPr>
                <w:lang w:val="fr-FR"/>
              </w:rPr>
            </w:pPr>
          </w:p>
          <w:p>
            <w:pPr>
              <w:rPr>
                <w:lang w:val="fr-FR"/>
              </w:rPr>
            </w:pPr>
          </w:p>
          <w:p>
            <w:pPr>
              <w:numPr>
                <w:ilvl w:val="0"/>
                <w:numId w:val="2"/>
              </w:numPr>
              <w:rPr>
                <w:rFonts w:hint="eastAsia" w:ascii="楷体" w:hAnsi="楷体" w:eastAsia="楷体" w:cs="楷体"/>
                <w:b/>
                <w:bCs/>
                <w:color w:val="9C4B45"/>
                <w:kern w:val="0"/>
                <w:sz w:val="24"/>
                <w:szCs w:val="24"/>
                <w:lang w:val="en-US" w:eastAsia="zh-CN" w:bidi="ar"/>
              </w:rPr>
            </w:pPr>
            <w:r>
              <w:rPr>
                <w:rFonts w:hint="eastAsia" w:ascii="楷体" w:hAnsi="楷体" w:eastAsia="楷体" w:cs="楷体"/>
                <w:b/>
                <w:bCs/>
                <w:color w:val="9C4B45"/>
                <w:kern w:val="0"/>
                <w:sz w:val="24"/>
                <w:szCs w:val="24"/>
                <w:lang w:val="en-US" w:eastAsia="zh-CN" w:bidi="ar"/>
              </w:rPr>
              <w:t>染发剂市场发展态势</w:t>
            </w:r>
          </w:p>
          <w:p>
            <w:pPr>
              <w:rPr>
                <w:rFonts w:hint="default" w:ascii="Times New Roman" w:hAnsi="Times New Roman" w:eastAsia="楷体_GB2312" w:cs="Times New Roman"/>
                <w:b w:val="0"/>
                <w:bCs w:val="0"/>
                <w:lang w:val="en-US" w:eastAsia="zh-CN"/>
              </w:rPr>
            </w:pPr>
            <w:r>
              <w:rPr>
                <w:rFonts w:hint="default" w:ascii="Times New Roman" w:hAnsi="Times New Roman" w:eastAsia="楷体_GB2312" w:cs="Times New Roman"/>
                <w:b/>
                <w:bCs/>
                <w:lang w:val="en-US" w:eastAsia="zh-CN"/>
              </w:rPr>
              <w:t>近年来，染发剂市场在全球范围内经历了显著增长，尽管面临宏观经济波动和公共卫生事件的挑战，但市场显示出复苏迹象。</w:t>
            </w:r>
            <w:r>
              <w:rPr>
                <w:rFonts w:hint="default" w:ascii="Times New Roman" w:hAnsi="Times New Roman" w:eastAsia="楷体_GB2312" w:cs="Times New Roman"/>
                <w:b w:val="0"/>
                <w:bCs w:val="0"/>
                <w:lang w:val="en-US" w:eastAsia="zh-CN"/>
              </w:rPr>
              <w:t>根据国家统计局数据，国内化妆品零售额在2011至2021年间实现了显著增长，尽管2022年有所下降，但2023年1-11月数据显示社会消费品零售总额同比增长7.2%，化妆品类商品零售额同比增长5.2%，反映出市场的回暖。全球市场方面，根据GlobalInfoResearch的报告，预计2020至2025年全球染发剂市场将以8.4%的复合年增长率增长，预计到2025年底市场规模将达到302.90亿美元。中国市场同样展现出强劲的增长潜力，2017年至2021年间市场规模从50亿元人民币增长至220亿元，预计2022年将进一步增至246亿元。</w:t>
            </w:r>
          </w:p>
          <w:p>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随着国家促进经济增长的各项政策陆续出台，以及国内行业环境恢复措施的有序放开，化妆品行业整体消费有望逐步恢复。</w:t>
            </w:r>
            <w:r>
              <w:rPr>
                <w:rFonts w:hint="eastAsia" w:ascii="楷体" w:hAnsi="楷体" w:eastAsia="楷体" w:cs="楷体"/>
                <w:color w:val="000000"/>
                <w:kern w:val="0"/>
                <w:sz w:val="21"/>
                <w:szCs w:val="21"/>
                <w:lang w:val="en-US" w:eastAsia="zh-CN" w:bidi="ar"/>
              </w:rPr>
              <w:t>促进国内化妆品行业发展的有利因素包括国内年轻消费者占比提升、电商持续高增并渗透、高端品牌消费升级、短视频直播</w:t>
            </w:r>
            <w:r>
              <w:rPr>
                <w:rFonts w:hint="default" w:ascii="Times New Roman" w:hAnsi="Times New Roman" w:eastAsia="宋体" w:cs="Times New Roman"/>
                <w:color w:val="000000"/>
                <w:kern w:val="0"/>
                <w:sz w:val="21"/>
                <w:szCs w:val="21"/>
                <w:lang w:val="en-US" w:eastAsia="zh-CN" w:bidi="ar"/>
              </w:rPr>
              <w:t>/</w:t>
            </w:r>
            <w:r>
              <w:rPr>
                <w:rFonts w:hint="eastAsia" w:ascii="楷体" w:hAnsi="楷体" w:eastAsia="楷体" w:cs="楷体"/>
                <w:color w:val="000000"/>
                <w:kern w:val="0"/>
                <w:sz w:val="21"/>
                <w:szCs w:val="21"/>
                <w:lang w:val="en-US" w:eastAsia="zh-CN" w:bidi="ar"/>
              </w:rPr>
              <w:t>网红带货火爆等将继续作用，推动化妆品增长的长期趋势不变。</w:t>
            </w:r>
          </w:p>
          <w:p>
            <w:pPr>
              <w:rPr>
                <w:rFonts w:hint="eastAsia"/>
                <w:lang w:val="en-US" w:eastAsia="zh-CN"/>
              </w:rPr>
            </w:pPr>
          </w:p>
          <w:p>
            <w:pPr>
              <w:rPr>
                <w:lang w:val="fr-FR"/>
              </w:rPr>
            </w:pPr>
          </w:p>
        </w:tc>
      </w:tr>
      <w:tr>
        <w:tblPrEx>
          <w:tblCellMar>
            <w:top w:w="0" w:type="dxa"/>
            <w:left w:w="28" w:type="dxa"/>
            <w:bottom w:w="0" w:type="dxa"/>
            <w:right w:w="11" w:type="dxa"/>
          </w:tblCellMar>
        </w:tblPrEx>
        <w:trPr>
          <w:trHeight w:val="14535" w:hRule="exact"/>
        </w:trPr>
        <w:tc>
          <w:tcPr>
            <w:tcW w:w="2257" w:type="dxa"/>
            <w:vAlign w:val="center"/>
          </w:tcPr>
          <w:p>
            <w:pPr>
              <w:rPr>
                <w:rFonts w:ascii="Arial" w:hAnsi="Arial" w:eastAsia="楷体_GB2312" w:cs="Arial"/>
                <w:lang w:val="fr-FR"/>
              </w:rPr>
            </w:pPr>
          </w:p>
        </w:tc>
        <w:tc>
          <w:tcPr>
            <w:tcW w:w="8451" w:type="dxa"/>
          </w:tcPr>
          <w:p>
            <w:pPr>
              <w:rPr>
                <w:rFonts w:hint="eastAsia" w:ascii="Arial" w:hAnsi="Arial" w:eastAsia="楷体_GB2312" w:cs="Arial"/>
                <w:b/>
                <w:bCs/>
                <w:lang w:val="en-US" w:eastAsia="zh-CN"/>
              </w:rPr>
            </w:pPr>
          </w:p>
          <w:p>
            <w:pPr>
              <w:numPr>
                <w:ilvl w:val="0"/>
                <w:numId w:val="2"/>
              </w:numPr>
              <w:rPr>
                <w:rFonts w:hint="eastAsia" w:ascii="楷体" w:hAnsi="楷体" w:eastAsia="楷体" w:cs="楷体"/>
                <w:b/>
                <w:bCs/>
                <w:color w:val="9C4B45"/>
                <w:kern w:val="0"/>
                <w:sz w:val="24"/>
                <w:szCs w:val="24"/>
                <w:lang w:val="en-US" w:eastAsia="zh-CN" w:bidi="ar"/>
              </w:rPr>
            </w:pPr>
            <w:r>
              <w:rPr>
                <w:rFonts w:hint="eastAsia" w:ascii="楷体" w:hAnsi="楷体" w:eastAsia="楷体" w:cs="楷体"/>
                <w:b/>
                <w:bCs/>
                <w:color w:val="9C4B45"/>
                <w:kern w:val="0"/>
                <w:sz w:val="24"/>
                <w:szCs w:val="24"/>
                <w:lang w:val="en-US" w:eastAsia="zh-CN" w:bidi="ar"/>
              </w:rPr>
              <w:t>未来财务预测</w:t>
            </w:r>
          </w:p>
          <w:p>
            <w:pPr>
              <w:rPr>
                <w:rFonts w:hint="default" w:ascii="Times New Roman" w:hAnsi="Times New Roman" w:eastAsia="楷体_GB2312" w:cs="Times New Roman"/>
                <w:b w:val="0"/>
                <w:bCs w:val="0"/>
                <w:lang w:val="en-US" w:eastAsia="zh-CN"/>
              </w:rPr>
            </w:pPr>
            <w:r>
              <w:rPr>
                <w:rFonts w:hint="default" w:ascii="Times New Roman" w:hAnsi="Times New Roman" w:eastAsia="楷体_GB2312" w:cs="Times New Roman"/>
                <w:b/>
                <w:bCs/>
                <w:lang w:val="en-US" w:eastAsia="zh-CN"/>
              </w:rPr>
              <w:t>公司具有良好的增长潜力和盈利前景。通过持续的产品创新、市场拓展和成本控制，公司有望在未来几年实现稳健的财务增长和股东价值提升。</w:t>
            </w:r>
            <w:r>
              <w:rPr>
                <w:rFonts w:hint="default" w:ascii="Times New Roman" w:hAnsi="Times New Roman" w:eastAsia="楷体_GB2312" w:cs="Times New Roman"/>
                <w:b w:val="0"/>
                <w:bCs w:val="0"/>
                <w:lang w:val="en-US" w:eastAsia="zh-CN"/>
              </w:rPr>
              <w:t>鼎龙科技的营业收入在过去几年呈现波动增长，从2019年的630.43百万元增长至2023年的741.54百万元。预计2024年和2025年，公司将继续保持增长态势，营业收入有望进一步增加。营业利润在2022年显著增长至173.85百万元，并预计在2023年进一步增至213.18百万元。这一增长趋势预计在2024年和2025年将持续，反映出公司盈利能力的增强。毛利率在2023年达到40.33%，较之前年份有显著提升。预计未来两年，公司能够维持或进一步提升毛利率，显示出成本控制和产品定价策略的有效性。净利润从2019年的13.90百万元增长至2023年的23.44百万元，显示出公司盈利能力的提升。预计未来两年，净利润将继续增长，反映出公司整体盈利状况的改善。每股净资产从2019年的2.79元增长至2023年的8.05元，显示出公司资产增值和资本积累的积极趋势。预计2024年和2025年，每股净资产将继续增长。每股盈余从2019年的0.47元增长至2023年的0.99元，反映了公司盈利能力的提升。预计未来两年，每股盈余将继续增长，为股东提供更好的回报。每股销售额在2023年为3.15元，较之前年份有所下降。这由于公司在扩大生产规模或增加存货投资。预计未来两年，随着销售策略的优化，每股销售额将有所回升。</w:t>
            </w:r>
          </w:p>
          <w:p>
            <w:pPr>
              <w:rPr>
                <w:rFonts w:hint="eastAsia"/>
              </w:rPr>
            </w:pPr>
          </w:p>
          <w:p>
            <w:pPr>
              <w:rPr>
                <w:lang w:val="fr-FR"/>
              </w:rPr>
            </w:pPr>
            <w:r>
              <w:rPr>
                <w:sz w:val="21"/>
              </w:rPr>
              <mc:AlternateContent>
                <mc:Choice Requires="wps">
                  <w:drawing>
                    <wp:anchor distT="0" distB="0" distL="114300" distR="114300" simplePos="0" relativeHeight="251662336" behindDoc="0" locked="0" layoutInCell="1" allowOverlap="1">
                      <wp:simplePos x="0" y="0"/>
                      <wp:positionH relativeFrom="column">
                        <wp:posOffset>531495</wp:posOffset>
                      </wp:positionH>
                      <wp:positionV relativeFrom="paragraph">
                        <wp:posOffset>102235</wp:posOffset>
                      </wp:positionV>
                      <wp:extent cx="4016375" cy="2764790"/>
                      <wp:effectExtent l="0" t="0" r="10160" b="9525"/>
                      <wp:wrapNone/>
                      <wp:docPr id="23" name="文本框 23"/>
                      <wp:cNvGraphicFramePr/>
                      <a:graphic xmlns:a="http://schemas.openxmlformats.org/drawingml/2006/main">
                        <a:graphicData uri="http://schemas.microsoft.com/office/word/2010/wordprocessingShape">
                          <wps:wsp>
                            <wps:cNvSpPr txBox="1"/>
                            <wps:spPr>
                              <a:xfrm>
                                <a:off x="2172335" y="1259205"/>
                                <a:ext cx="4016375" cy="2764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6120" w:type="dxa"/>
                                    <w:tblInd w:w="-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80"/>
                                    <w:gridCol w:w="720"/>
                                    <w:gridCol w:w="720"/>
                                    <w:gridCol w:w="720"/>
                                    <w:gridCol w:w="720"/>
                                    <w:gridCol w:w="720"/>
                                    <w:gridCol w:w="720"/>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ascii="楷体_GB2312" w:hAnsi="等线" w:eastAsia="楷体_GB2312" w:cs="楷体_GB2312"/>
                                            <w:i w:val="0"/>
                                            <w:iCs w:val="0"/>
                                            <w:color w:val="FFFFFF"/>
                                            <w:sz w:val="15"/>
                                            <w:szCs w:val="15"/>
                                            <w:u w:val="none"/>
                                          </w:rPr>
                                        </w:pPr>
                                        <w:r>
                                          <w:rPr>
                                            <w:rFonts w:hint="eastAsia" w:ascii="楷体_GB2312" w:hAnsi="等线" w:eastAsia="楷体_GB2312" w:cs="楷体_GB2312"/>
                                            <w:i w:val="0"/>
                                            <w:iCs w:val="0"/>
                                            <w:color w:val="FFFFFF"/>
                                            <w:kern w:val="0"/>
                                            <w:sz w:val="15"/>
                                            <w:szCs w:val="15"/>
                                            <w:u w:val="none"/>
                                            <w:lang w:val="en-US" w:eastAsia="zh-CN" w:bidi="ar"/>
                                          </w:rPr>
                                          <w:t>单位</w:t>
                                        </w:r>
                                        <w:r>
                                          <w:rPr>
                                            <w:rFonts w:hint="eastAsia" w:ascii="楷体_GB2312" w:hAnsi="等线" w:eastAsia="楷体_GB2312" w:cs="楷体_GB2312"/>
                                            <w:i w:val="0"/>
                                            <w:iCs w:val="0"/>
                                            <w:color w:val="FFFFFF"/>
                                            <w:kern w:val="0"/>
                                            <w:sz w:val="15"/>
                                            <w:szCs w:val="15"/>
                                            <w:u w:val="none"/>
                                            <w:lang w:val="en-US" w:eastAsia="zh-CN" w:bidi="ar"/>
                                          </w:rPr>
                                          <w:br w:type="textWrapping"/>
                                        </w:r>
                                        <w:r>
                                          <w:rPr>
                                            <w:rFonts w:hint="eastAsia" w:ascii="楷体_GB2312" w:hAnsi="等线" w:eastAsia="楷体_GB2312" w:cs="楷体_GB2312"/>
                                            <w:i w:val="0"/>
                                            <w:iCs w:val="0"/>
                                            <w:color w:val="FFFFFF"/>
                                            <w:kern w:val="0"/>
                                            <w:sz w:val="15"/>
                                            <w:szCs w:val="15"/>
                                            <w:u w:val="none"/>
                                            <w:lang w:val="en-US" w:eastAsia="zh-CN" w:bidi="ar"/>
                                          </w:rPr>
                                          <w:t>(百万)</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2019</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2020</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2021</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2022</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2023</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2024E</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2025E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营业收入</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630.43</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643.59</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701.17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830.76</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741.54</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rPr>
                                        </w:pPr>
                                        <w:r>
                                          <w:rPr>
                                            <w:rFonts w:hint="eastAsia"/>
                                            <w:sz w:val="15"/>
                                            <w:szCs w:val="15"/>
                                          </w:rPr>
                                          <w:t>780</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营业利润</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112.72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112.56</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111.87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173.85</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213.18</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230</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ascii="楷体_GB2312" w:hAnsi="Times New Roman" w:eastAsia="楷体_GB2312" w:cs="楷体_GB2312"/>
                                            <w:i w:val="0"/>
                                            <w:iCs w:val="0"/>
                                            <w:color w:val="000000"/>
                                            <w:kern w:val="0"/>
                                            <w:sz w:val="15"/>
                                            <w:szCs w:val="15"/>
                                            <w:u w:val="none"/>
                                            <w:lang w:val="en-US" w:eastAsia="zh-CN" w:bidi="ar"/>
                                          </w:rPr>
                                          <w:t>毛利率</w:t>
                                        </w:r>
                                        <w:r>
                                          <w:rPr>
                                            <w:rFonts w:hint="eastAsia" w:ascii="楷体_GB2312" w:eastAsia="楷体_GB2312" w:cs="楷体_GB2312"/>
                                            <w:i w:val="0"/>
                                            <w:iCs w:val="0"/>
                                            <w:color w:val="000000"/>
                                            <w:kern w:val="0"/>
                                            <w:sz w:val="15"/>
                                            <w:szCs w:val="15"/>
                                            <w:u w:val="none"/>
                                            <w:lang w:val="en-US" w:eastAsia="zh-CN" w:bidi="ar"/>
                                          </w:rPr>
                                          <w:t>(%)</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34.30</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37.86</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31.04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30.62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40.33</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40</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ascii="楷体_GB2312" w:hAnsi="Times New Roman" w:eastAsia="楷体_GB2312" w:cs="楷体_GB2312"/>
                                            <w:i w:val="0"/>
                                            <w:iCs w:val="0"/>
                                            <w:color w:val="000000"/>
                                            <w:kern w:val="0"/>
                                            <w:sz w:val="15"/>
                                            <w:szCs w:val="15"/>
                                            <w:u w:val="none"/>
                                            <w:lang w:val="en-US" w:eastAsia="zh-CN" w:bidi="ar"/>
                                          </w:rPr>
                                          <w:t>净利</w:t>
                                        </w:r>
                                        <w:r>
                                          <w:rPr>
                                            <w:rFonts w:hint="eastAsia" w:ascii="楷体_GB2312" w:eastAsia="楷体_GB2312" w:cs="楷体_GB2312"/>
                                            <w:i w:val="0"/>
                                            <w:iCs w:val="0"/>
                                            <w:color w:val="000000"/>
                                            <w:kern w:val="0"/>
                                            <w:sz w:val="15"/>
                                            <w:szCs w:val="15"/>
                                            <w:u w:val="none"/>
                                            <w:lang w:val="en-US" w:eastAsia="zh-CN" w:bidi="ar"/>
                                          </w:rPr>
                                          <w:t>率</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13.90</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12.52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12.87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18.44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23.44</w:t>
                                        </w:r>
                                      </w:p>
                                    </w:tc>
                                    <w:tc>
                                      <w:tcPr>
                                        <w:tcW w:w="720" w:type="dxa"/>
                                        <w:tcBorders>
                                          <w:top w:val="nil"/>
                                          <w:left w:val="nil"/>
                                          <w:bottom w:val="nil"/>
                                          <w:right w:val="nil"/>
                                        </w:tcBorders>
                                        <w:shd w:val="clear" w:color="auto" w:fill="auto"/>
                                        <w:vAlign w:val="center"/>
                                      </w:tcPr>
                                      <w:p>
                                        <w:pPr>
                                          <w:jc w:val="center"/>
                                          <w:rPr>
                                            <w:rFonts w:hint="eastAsia" w:ascii="Times New Roman" w:hAnsi="Times New Roman" w:eastAsia="宋体" w:cs="Times New Roman"/>
                                            <w:i w:val="0"/>
                                            <w:iCs w:val="0"/>
                                            <w:color w:val="000000"/>
                                            <w:sz w:val="15"/>
                                            <w:szCs w:val="15"/>
                                            <w:u w:val="none"/>
                                            <w:lang w:val="en-US" w:eastAsia="zh-CN"/>
                                          </w:rPr>
                                        </w:pPr>
                                        <w:r>
                                          <w:rPr>
                                            <w:rFonts w:hint="eastAsia"/>
                                            <w:sz w:val="15"/>
                                            <w:szCs w:val="15"/>
                                          </w:rPr>
                                          <w:t>2</w:t>
                                        </w:r>
                                        <w:r>
                                          <w:rPr>
                                            <w:rFonts w:hint="eastAsia"/>
                                            <w:sz w:val="15"/>
                                            <w:szCs w:val="15"/>
                                            <w:lang w:val="en-US" w:eastAsia="zh-CN"/>
                                          </w:rPr>
                                          <w:t>5</w:t>
                                        </w:r>
                                      </w:p>
                                    </w:tc>
                                    <w:tc>
                                      <w:tcPr>
                                        <w:tcW w:w="720" w:type="dxa"/>
                                        <w:tcBorders>
                                          <w:top w:val="nil"/>
                                          <w:left w:val="nil"/>
                                          <w:bottom w:val="nil"/>
                                          <w:right w:val="nil"/>
                                        </w:tcBorders>
                                        <w:shd w:val="clear" w:color="auto" w:fill="auto"/>
                                        <w:noWrap/>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每股净资产</w:t>
                                        </w:r>
                                        <w:r>
                                          <w:rPr>
                                            <w:rFonts w:hint="default" w:ascii="Times New Roman" w:hAnsi="Times New Roman" w:eastAsia="等线" w:cs="Times New Roman"/>
                                            <w:i w:val="0"/>
                                            <w:iCs w:val="0"/>
                                            <w:color w:val="000000"/>
                                            <w:kern w:val="0"/>
                                            <w:sz w:val="15"/>
                                            <w:szCs w:val="15"/>
                                            <w:u w:val="none"/>
                                            <w:lang w:val="en-US" w:eastAsia="zh-CN" w:bidi="ar"/>
                                          </w:rPr>
                                          <w:t>BPS(</w:t>
                                        </w:r>
                                        <w:r>
                                          <w:rPr>
                                            <w:rFonts w:hint="eastAsia" w:ascii="楷体_GB2312" w:hAnsi="Times New Roman" w:eastAsia="楷体_GB2312" w:cs="楷体_GB2312"/>
                                            <w:i w:val="0"/>
                                            <w:iCs w:val="0"/>
                                            <w:color w:val="000000"/>
                                            <w:kern w:val="0"/>
                                            <w:sz w:val="15"/>
                                            <w:szCs w:val="15"/>
                                            <w:u w:val="none"/>
                                            <w:lang w:val="en-US" w:eastAsia="zh-CN" w:bidi="ar"/>
                                          </w:rPr>
                                          <w:t>元</w:t>
                                        </w:r>
                                        <w:r>
                                          <w:rPr>
                                            <w:rFonts w:hint="default" w:ascii="Times New Roman" w:hAnsi="Times New Roman" w:eastAsia="等线" w:cs="Times New Roman"/>
                                            <w:i w:val="0"/>
                                            <w:iCs w:val="0"/>
                                            <w:color w:val="000000"/>
                                            <w:kern w:val="0"/>
                                            <w:sz w:val="15"/>
                                            <w:szCs w:val="15"/>
                                            <w:u w:val="none"/>
                                            <w:lang w:val="en-US" w:eastAsia="zh-CN" w:bidi="ar"/>
                                          </w:rPr>
                                          <w:t>)</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2.79</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3.38</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3.94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4.82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8.05</w:t>
                                        </w:r>
                                      </w:p>
                                    </w:tc>
                                    <w:tc>
                                      <w:tcPr>
                                        <w:tcW w:w="720" w:type="dxa"/>
                                        <w:tcBorders>
                                          <w:top w:val="nil"/>
                                          <w:left w:val="nil"/>
                                          <w:bottom w:val="nil"/>
                                          <w:right w:val="nil"/>
                                        </w:tcBorders>
                                        <w:shd w:val="clear" w:color="auto" w:fill="auto"/>
                                        <w:vAlign w:val="center"/>
                                      </w:tcPr>
                                      <w:p>
                                        <w:pPr>
                                          <w:jc w:val="center"/>
                                          <w:rPr>
                                            <w:rFonts w:hint="eastAsia"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9</w:t>
                                        </w:r>
                                      </w:p>
                                    </w:tc>
                                    <w:tc>
                                      <w:tcPr>
                                        <w:tcW w:w="720" w:type="dxa"/>
                                        <w:tcBorders>
                                          <w:top w:val="nil"/>
                                          <w:left w:val="nil"/>
                                          <w:bottom w:val="nil"/>
                                          <w:right w:val="nil"/>
                                        </w:tcBorders>
                                        <w:shd w:val="clear" w:color="auto" w:fill="auto"/>
                                        <w:noWrap/>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每股盈余</w:t>
                                        </w:r>
                                        <w:r>
                                          <w:rPr>
                                            <w:rFonts w:hint="default" w:ascii="Times New Roman" w:hAnsi="Times New Roman" w:eastAsia="等线" w:cs="Times New Roman"/>
                                            <w:i w:val="0"/>
                                            <w:iCs w:val="0"/>
                                            <w:color w:val="000000"/>
                                            <w:kern w:val="0"/>
                                            <w:sz w:val="15"/>
                                            <w:szCs w:val="15"/>
                                            <w:u w:val="none"/>
                                            <w:lang w:val="en-US" w:eastAsia="zh-CN" w:bidi="ar"/>
                                          </w:rPr>
                                          <w:t>EPS(</w:t>
                                        </w:r>
                                        <w:r>
                                          <w:rPr>
                                            <w:rFonts w:hint="eastAsia" w:ascii="楷体_GB2312" w:hAnsi="Times New Roman" w:eastAsia="楷体_GB2312" w:cs="楷体_GB2312"/>
                                            <w:i w:val="0"/>
                                            <w:iCs w:val="0"/>
                                            <w:color w:val="000000"/>
                                            <w:kern w:val="0"/>
                                            <w:sz w:val="15"/>
                                            <w:szCs w:val="15"/>
                                            <w:u w:val="none"/>
                                            <w:lang w:val="en-US" w:eastAsia="zh-CN" w:bidi="ar"/>
                                          </w:rPr>
                                          <w:t>元)</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rPr>
                                        </w:pP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0.47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0.54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0.85</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0.99</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1.05</w:t>
                                        </w:r>
                                      </w:p>
                                    </w:tc>
                                    <w:tc>
                                      <w:tcPr>
                                        <w:tcW w:w="720" w:type="dxa"/>
                                        <w:tcBorders>
                                          <w:top w:val="nil"/>
                                          <w:left w:val="nil"/>
                                          <w:bottom w:val="nil"/>
                                          <w:right w:val="nil"/>
                                        </w:tcBorders>
                                        <w:shd w:val="clear" w:color="auto" w:fill="auto"/>
                                        <w:noWrap/>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每股销售额</w:t>
                                        </w:r>
                                        <w:r>
                                          <w:rPr>
                                            <w:rFonts w:hint="default" w:ascii="Times New Roman" w:hAnsi="Times New Roman" w:eastAsia="等线" w:cs="Times New Roman"/>
                                            <w:i w:val="0"/>
                                            <w:iCs w:val="0"/>
                                            <w:color w:val="000000"/>
                                            <w:kern w:val="0"/>
                                            <w:sz w:val="15"/>
                                            <w:szCs w:val="15"/>
                                            <w:u w:val="none"/>
                                            <w:lang w:val="en-US" w:eastAsia="zh-CN" w:bidi="ar"/>
                                          </w:rPr>
                                          <w:t>SPS(</w:t>
                                        </w:r>
                                        <w:r>
                                          <w:rPr>
                                            <w:rFonts w:hint="eastAsia" w:ascii="楷体_GB2312" w:hAnsi="Times New Roman" w:eastAsia="楷体_GB2312" w:cs="楷体_GB2312"/>
                                            <w:i w:val="0"/>
                                            <w:iCs w:val="0"/>
                                            <w:color w:val="000000"/>
                                            <w:kern w:val="0"/>
                                            <w:sz w:val="15"/>
                                            <w:szCs w:val="15"/>
                                            <w:u w:val="none"/>
                                            <w:lang w:val="en-US" w:eastAsia="zh-CN" w:bidi="ar"/>
                                          </w:rPr>
                                          <w:t>元</w:t>
                                        </w:r>
                                        <w:r>
                                          <w:rPr>
                                            <w:rFonts w:hint="default" w:ascii="Times New Roman" w:hAnsi="Times New Roman" w:eastAsia="等线" w:cs="Times New Roman"/>
                                            <w:i w:val="0"/>
                                            <w:iCs w:val="0"/>
                                            <w:color w:val="000000"/>
                                            <w:kern w:val="0"/>
                                            <w:sz w:val="15"/>
                                            <w:szCs w:val="15"/>
                                            <w:u w:val="none"/>
                                            <w:lang w:val="en-US" w:eastAsia="zh-CN" w:bidi="ar"/>
                                          </w:rPr>
                                          <w:t>)</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4.30</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3.64</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3.97</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4.70</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3.15</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eastAsia="等线" w:cs="Times New Roman"/>
                                            <w:i w:val="0"/>
                                            <w:iCs w:val="0"/>
                                            <w:color w:val="000000"/>
                                            <w:kern w:val="0"/>
                                            <w:sz w:val="15"/>
                                            <w:szCs w:val="15"/>
                                            <w:u w:val="none"/>
                                            <w:lang w:val="en-US" w:eastAsia="zh-CN" w:bidi="ar"/>
                                          </w:rPr>
                                          <w:t>3.30</w:t>
                                        </w:r>
                                      </w:p>
                                    </w:tc>
                                    <w:tc>
                                      <w:tcPr>
                                        <w:tcW w:w="720" w:type="dxa"/>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eastAsia="等线" w:cs="Times New Roman"/>
                                            <w:i w:val="0"/>
                                            <w:iCs w:val="0"/>
                                            <w:color w:val="000000"/>
                                            <w:kern w:val="0"/>
                                            <w:sz w:val="15"/>
                                            <w:szCs w:val="15"/>
                                            <w:u w:val="none"/>
                                            <w:lang w:val="en-US" w:eastAsia="zh-CN" w:bidi="ar"/>
                                          </w:rPr>
                                          <w:t>3.45</w:t>
                                        </w:r>
                                      </w:p>
                                    </w:tc>
                                  </w:tr>
                                </w:tbl>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5pt;margin-top:8.05pt;height:217.7pt;width:316.25pt;z-index:251662336;mso-width-relative:page;mso-height-relative:page;" fillcolor="#FFFFFF [3201]" filled="t" stroked="f" coordsize="21600,21600" o:gfxdata="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k&#10;T+k41QAAAAkBAAAPAAAAAAAAAAEAIAAAACIAAABkcnMvZG93bnJldi54bWxQSwECFAAUAAAACACH&#10;TuJAZtCJQmACAACeBAAADgAAAAAAAAABACAAAAAkAQAAZHJzL2Uyb0RvYy54bWxQSwUGAAAAAAYA&#10;BgBZAQAA9gUAAAAA&#10;">
                      <v:fill on="t" focussize="0,0"/>
                      <v:stroke on="f" weight="0.5pt"/>
                      <v:imagedata o:title=""/>
                      <o:lock v:ext="edit" aspectratio="f"/>
                      <v:textbox>
                        <w:txbxContent>
                          <w:tbl>
                            <w:tblPr>
                              <w:tblStyle w:val="9"/>
                              <w:tblW w:w="6120" w:type="dxa"/>
                              <w:tblInd w:w="-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80"/>
                              <w:gridCol w:w="720"/>
                              <w:gridCol w:w="720"/>
                              <w:gridCol w:w="720"/>
                              <w:gridCol w:w="720"/>
                              <w:gridCol w:w="720"/>
                              <w:gridCol w:w="720"/>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ascii="楷体_GB2312" w:hAnsi="等线" w:eastAsia="楷体_GB2312" w:cs="楷体_GB2312"/>
                                      <w:i w:val="0"/>
                                      <w:iCs w:val="0"/>
                                      <w:color w:val="FFFFFF"/>
                                      <w:sz w:val="15"/>
                                      <w:szCs w:val="15"/>
                                      <w:u w:val="none"/>
                                    </w:rPr>
                                  </w:pPr>
                                  <w:r>
                                    <w:rPr>
                                      <w:rFonts w:hint="eastAsia" w:ascii="楷体_GB2312" w:hAnsi="等线" w:eastAsia="楷体_GB2312" w:cs="楷体_GB2312"/>
                                      <w:i w:val="0"/>
                                      <w:iCs w:val="0"/>
                                      <w:color w:val="FFFFFF"/>
                                      <w:kern w:val="0"/>
                                      <w:sz w:val="15"/>
                                      <w:szCs w:val="15"/>
                                      <w:u w:val="none"/>
                                      <w:lang w:val="en-US" w:eastAsia="zh-CN" w:bidi="ar"/>
                                    </w:rPr>
                                    <w:t>单位</w:t>
                                  </w:r>
                                  <w:r>
                                    <w:rPr>
                                      <w:rFonts w:hint="eastAsia" w:ascii="楷体_GB2312" w:hAnsi="等线" w:eastAsia="楷体_GB2312" w:cs="楷体_GB2312"/>
                                      <w:i w:val="0"/>
                                      <w:iCs w:val="0"/>
                                      <w:color w:val="FFFFFF"/>
                                      <w:kern w:val="0"/>
                                      <w:sz w:val="15"/>
                                      <w:szCs w:val="15"/>
                                      <w:u w:val="none"/>
                                      <w:lang w:val="en-US" w:eastAsia="zh-CN" w:bidi="ar"/>
                                    </w:rPr>
                                    <w:br w:type="textWrapping"/>
                                  </w:r>
                                  <w:r>
                                    <w:rPr>
                                      <w:rFonts w:hint="eastAsia" w:ascii="楷体_GB2312" w:hAnsi="等线" w:eastAsia="楷体_GB2312" w:cs="楷体_GB2312"/>
                                      <w:i w:val="0"/>
                                      <w:iCs w:val="0"/>
                                      <w:color w:val="FFFFFF"/>
                                      <w:kern w:val="0"/>
                                      <w:sz w:val="15"/>
                                      <w:szCs w:val="15"/>
                                      <w:u w:val="none"/>
                                      <w:lang w:val="en-US" w:eastAsia="zh-CN" w:bidi="ar"/>
                                    </w:rPr>
                                    <w:t>(百万)</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2019</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2020</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2021</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2022</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2023</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2024E</w:t>
                                  </w:r>
                                </w:p>
                              </w:tc>
                              <w:tc>
                                <w:tcPr>
                                  <w:tcW w:w="720" w:type="dxa"/>
                                  <w:tcBorders>
                                    <w:top w:val="nil"/>
                                    <w:left w:val="nil"/>
                                    <w:bottom w:val="nil"/>
                                    <w:right w:val="nil"/>
                                  </w:tcBorders>
                                  <w:shd w:val="clear" w:color="000000" w:fill="002060"/>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FFFFFF"/>
                                      <w:sz w:val="15"/>
                                      <w:szCs w:val="15"/>
                                      <w:u w:val="none"/>
                                    </w:rPr>
                                  </w:pPr>
                                  <w:r>
                                    <w:rPr>
                                      <w:rFonts w:hint="default" w:ascii="Times New Roman" w:hAnsi="Times New Roman" w:eastAsia="等线" w:cs="Times New Roman"/>
                                      <w:i w:val="0"/>
                                      <w:iCs w:val="0"/>
                                      <w:color w:val="FFFFFF"/>
                                      <w:kern w:val="0"/>
                                      <w:sz w:val="15"/>
                                      <w:szCs w:val="15"/>
                                      <w:u w:val="none"/>
                                      <w:lang w:val="en-US" w:eastAsia="zh-CN" w:bidi="ar"/>
                                    </w:rPr>
                                    <w:t>2025E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营业收入</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630.43</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643.59</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701.17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830.76</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741.54</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rPr>
                                  </w:pPr>
                                  <w:r>
                                    <w:rPr>
                                      <w:rFonts w:hint="eastAsia"/>
                                      <w:sz w:val="15"/>
                                      <w:szCs w:val="15"/>
                                    </w:rPr>
                                    <w:t>780</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营业利润</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112.72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112.56</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111.87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173.85</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213.18</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230</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ascii="楷体_GB2312" w:hAnsi="Times New Roman" w:eastAsia="楷体_GB2312" w:cs="楷体_GB2312"/>
                                      <w:i w:val="0"/>
                                      <w:iCs w:val="0"/>
                                      <w:color w:val="000000"/>
                                      <w:kern w:val="0"/>
                                      <w:sz w:val="15"/>
                                      <w:szCs w:val="15"/>
                                      <w:u w:val="none"/>
                                      <w:lang w:val="en-US" w:eastAsia="zh-CN" w:bidi="ar"/>
                                    </w:rPr>
                                    <w:t>毛利率</w:t>
                                  </w:r>
                                  <w:r>
                                    <w:rPr>
                                      <w:rFonts w:hint="eastAsia" w:ascii="楷体_GB2312" w:eastAsia="楷体_GB2312" w:cs="楷体_GB2312"/>
                                      <w:i w:val="0"/>
                                      <w:iCs w:val="0"/>
                                      <w:color w:val="000000"/>
                                      <w:kern w:val="0"/>
                                      <w:sz w:val="15"/>
                                      <w:szCs w:val="15"/>
                                      <w:u w:val="none"/>
                                      <w:lang w:val="en-US" w:eastAsia="zh-CN" w:bidi="ar"/>
                                    </w:rPr>
                                    <w:t>(%)</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34.30</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37.86</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31.04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30.62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40.33</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40</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ascii="楷体_GB2312" w:hAnsi="Times New Roman" w:eastAsia="楷体_GB2312" w:cs="楷体_GB2312"/>
                                      <w:i w:val="0"/>
                                      <w:iCs w:val="0"/>
                                      <w:color w:val="000000"/>
                                      <w:kern w:val="0"/>
                                      <w:sz w:val="15"/>
                                      <w:szCs w:val="15"/>
                                      <w:u w:val="none"/>
                                      <w:lang w:val="en-US" w:eastAsia="zh-CN" w:bidi="ar"/>
                                    </w:rPr>
                                    <w:t>净利</w:t>
                                  </w:r>
                                  <w:r>
                                    <w:rPr>
                                      <w:rFonts w:hint="eastAsia" w:ascii="楷体_GB2312" w:eastAsia="楷体_GB2312" w:cs="楷体_GB2312"/>
                                      <w:i w:val="0"/>
                                      <w:iCs w:val="0"/>
                                      <w:color w:val="000000"/>
                                      <w:kern w:val="0"/>
                                      <w:sz w:val="15"/>
                                      <w:szCs w:val="15"/>
                                      <w:u w:val="none"/>
                                      <w:lang w:val="en-US" w:eastAsia="zh-CN" w:bidi="ar"/>
                                    </w:rPr>
                                    <w:t>率</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13.90</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12.52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12.87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18.44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23.44</w:t>
                                  </w:r>
                                </w:p>
                              </w:tc>
                              <w:tc>
                                <w:tcPr>
                                  <w:tcW w:w="720" w:type="dxa"/>
                                  <w:tcBorders>
                                    <w:top w:val="nil"/>
                                    <w:left w:val="nil"/>
                                    <w:bottom w:val="nil"/>
                                    <w:right w:val="nil"/>
                                  </w:tcBorders>
                                  <w:shd w:val="clear" w:color="auto" w:fill="auto"/>
                                  <w:vAlign w:val="center"/>
                                </w:tcPr>
                                <w:p>
                                  <w:pPr>
                                    <w:jc w:val="center"/>
                                    <w:rPr>
                                      <w:rFonts w:hint="eastAsia" w:ascii="Times New Roman" w:hAnsi="Times New Roman" w:eastAsia="宋体" w:cs="Times New Roman"/>
                                      <w:i w:val="0"/>
                                      <w:iCs w:val="0"/>
                                      <w:color w:val="000000"/>
                                      <w:sz w:val="15"/>
                                      <w:szCs w:val="15"/>
                                      <w:u w:val="none"/>
                                      <w:lang w:val="en-US" w:eastAsia="zh-CN"/>
                                    </w:rPr>
                                  </w:pPr>
                                  <w:r>
                                    <w:rPr>
                                      <w:rFonts w:hint="eastAsia"/>
                                      <w:sz w:val="15"/>
                                      <w:szCs w:val="15"/>
                                    </w:rPr>
                                    <w:t>2</w:t>
                                  </w:r>
                                  <w:r>
                                    <w:rPr>
                                      <w:rFonts w:hint="eastAsia"/>
                                      <w:sz w:val="15"/>
                                      <w:szCs w:val="15"/>
                                      <w:lang w:val="en-US" w:eastAsia="zh-CN"/>
                                    </w:rPr>
                                    <w:t>5</w:t>
                                  </w:r>
                                </w:p>
                              </w:tc>
                              <w:tc>
                                <w:tcPr>
                                  <w:tcW w:w="720" w:type="dxa"/>
                                  <w:tcBorders>
                                    <w:top w:val="nil"/>
                                    <w:left w:val="nil"/>
                                    <w:bottom w:val="nil"/>
                                    <w:right w:val="nil"/>
                                  </w:tcBorders>
                                  <w:shd w:val="clear" w:color="auto" w:fill="auto"/>
                                  <w:noWrap/>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每股净资产</w:t>
                                  </w:r>
                                  <w:r>
                                    <w:rPr>
                                      <w:rFonts w:hint="default" w:ascii="Times New Roman" w:hAnsi="Times New Roman" w:eastAsia="等线" w:cs="Times New Roman"/>
                                      <w:i w:val="0"/>
                                      <w:iCs w:val="0"/>
                                      <w:color w:val="000000"/>
                                      <w:kern w:val="0"/>
                                      <w:sz w:val="15"/>
                                      <w:szCs w:val="15"/>
                                      <w:u w:val="none"/>
                                      <w:lang w:val="en-US" w:eastAsia="zh-CN" w:bidi="ar"/>
                                    </w:rPr>
                                    <w:t>BPS(</w:t>
                                  </w:r>
                                  <w:r>
                                    <w:rPr>
                                      <w:rFonts w:hint="eastAsia" w:ascii="楷体_GB2312" w:hAnsi="Times New Roman" w:eastAsia="楷体_GB2312" w:cs="楷体_GB2312"/>
                                      <w:i w:val="0"/>
                                      <w:iCs w:val="0"/>
                                      <w:color w:val="000000"/>
                                      <w:kern w:val="0"/>
                                      <w:sz w:val="15"/>
                                      <w:szCs w:val="15"/>
                                      <w:u w:val="none"/>
                                      <w:lang w:val="en-US" w:eastAsia="zh-CN" w:bidi="ar"/>
                                    </w:rPr>
                                    <w:t>元</w:t>
                                  </w:r>
                                  <w:r>
                                    <w:rPr>
                                      <w:rFonts w:hint="default" w:ascii="Times New Roman" w:hAnsi="Times New Roman" w:eastAsia="等线" w:cs="Times New Roman"/>
                                      <w:i w:val="0"/>
                                      <w:iCs w:val="0"/>
                                      <w:color w:val="000000"/>
                                      <w:kern w:val="0"/>
                                      <w:sz w:val="15"/>
                                      <w:szCs w:val="15"/>
                                      <w:u w:val="none"/>
                                      <w:lang w:val="en-US" w:eastAsia="zh-CN" w:bidi="ar"/>
                                    </w:rPr>
                                    <w:t>)</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2.79</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3.38</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3.94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4.82</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8.05</w:t>
                                  </w:r>
                                </w:p>
                              </w:tc>
                              <w:tc>
                                <w:tcPr>
                                  <w:tcW w:w="720" w:type="dxa"/>
                                  <w:tcBorders>
                                    <w:top w:val="nil"/>
                                    <w:left w:val="nil"/>
                                    <w:bottom w:val="nil"/>
                                    <w:right w:val="nil"/>
                                  </w:tcBorders>
                                  <w:shd w:val="clear" w:color="auto" w:fill="auto"/>
                                  <w:vAlign w:val="center"/>
                                </w:tcPr>
                                <w:p>
                                  <w:pPr>
                                    <w:jc w:val="center"/>
                                    <w:rPr>
                                      <w:rFonts w:hint="eastAsia"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9</w:t>
                                  </w:r>
                                </w:p>
                              </w:tc>
                              <w:tc>
                                <w:tcPr>
                                  <w:tcW w:w="720" w:type="dxa"/>
                                  <w:tcBorders>
                                    <w:top w:val="nil"/>
                                    <w:left w:val="nil"/>
                                    <w:bottom w:val="nil"/>
                                    <w:right w:val="nil"/>
                                  </w:tcBorders>
                                  <w:shd w:val="clear" w:color="auto" w:fill="auto"/>
                                  <w:noWrap/>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每股盈余</w:t>
                                  </w:r>
                                  <w:r>
                                    <w:rPr>
                                      <w:rFonts w:hint="default" w:ascii="Times New Roman" w:hAnsi="Times New Roman" w:eastAsia="等线" w:cs="Times New Roman"/>
                                      <w:i w:val="0"/>
                                      <w:iCs w:val="0"/>
                                      <w:color w:val="000000"/>
                                      <w:kern w:val="0"/>
                                      <w:sz w:val="15"/>
                                      <w:szCs w:val="15"/>
                                      <w:u w:val="none"/>
                                      <w:lang w:val="en-US" w:eastAsia="zh-CN" w:bidi="ar"/>
                                    </w:rPr>
                                    <w:t>EPS(</w:t>
                                  </w:r>
                                  <w:r>
                                    <w:rPr>
                                      <w:rFonts w:hint="eastAsia" w:ascii="楷体_GB2312" w:hAnsi="Times New Roman" w:eastAsia="楷体_GB2312" w:cs="楷体_GB2312"/>
                                      <w:i w:val="0"/>
                                      <w:iCs w:val="0"/>
                                      <w:color w:val="000000"/>
                                      <w:kern w:val="0"/>
                                      <w:sz w:val="15"/>
                                      <w:szCs w:val="15"/>
                                      <w:u w:val="none"/>
                                      <w:lang w:val="en-US" w:eastAsia="zh-CN" w:bidi="ar"/>
                                    </w:rPr>
                                    <w:t>元)</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rPr>
                                  </w:pP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0.47</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0.54</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0.85</w:t>
                                  </w:r>
                                </w:p>
                              </w:tc>
                              <w:tc>
                                <w:tcPr>
                                  <w:tcW w:w="72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0.99</w:t>
                                  </w:r>
                                </w:p>
                              </w:tc>
                              <w:tc>
                                <w:tcPr>
                                  <w:tcW w:w="720" w:type="dxa"/>
                                  <w:tcBorders>
                                    <w:top w:val="nil"/>
                                    <w:left w:val="nil"/>
                                    <w:bottom w:val="nil"/>
                                    <w:right w:val="nil"/>
                                  </w:tcBorders>
                                  <w:shd w:val="clear" w:color="auto" w:fill="auto"/>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1.05</w:t>
                                  </w:r>
                                </w:p>
                              </w:tc>
                              <w:tc>
                                <w:tcPr>
                                  <w:tcW w:w="720" w:type="dxa"/>
                                  <w:tcBorders>
                                    <w:top w:val="nil"/>
                                    <w:left w:val="nil"/>
                                    <w:bottom w:val="nil"/>
                                    <w:right w:val="nil"/>
                                  </w:tcBorders>
                                  <w:shd w:val="clear" w:color="auto" w:fill="auto"/>
                                  <w:noWrap/>
                                  <w:vAlign w:val="center"/>
                                </w:tcPr>
                                <w:p>
                                  <w:pPr>
                                    <w:jc w:val="center"/>
                                    <w:rPr>
                                      <w:rFonts w:hint="default" w:ascii="Times New Roman" w:hAnsi="Times New Roman" w:eastAsia="等线" w:cs="Times New Roman"/>
                                      <w:i w:val="0"/>
                                      <w:iCs w:val="0"/>
                                      <w:color w:val="000000"/>
                                      <w:sz w:val="15"/>
                                      <w:szCs w:val="15"/>
                                      <w:u w:val="none"/>
                                      <w:lang w:val="en-US" w:eastAsia="zh-CN"/>
                                    </w:rPr>
                                  </w:pPr>
                                  <w:r>
                                    <w:rPr>
                                      <w:rFonts w:hint="eastAsia" w:eastAsia="等线" w:cs="Times New Roman"/>
                                      <w:i w:val="0"/>
                                      <w:iCs w:val="0"/>
                                      <w:color w:val="000000"/>
                                      <w:sz w:val="15"/>
                                      <w:szCs w:val="15"/>
                                      <w:u w:val="none"/>
                                      <w:lang w:val="en-US" w:eastAsia="zh-CN"/>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 w:hRule="atLeast"/>
                              </w:trPr>
                              <w:tc>
                                <w:tcPr>
                                  <w:tcW w:w="108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eastAsia" w:ascii="楷体_GB2312" w:hAnsi="Times New Roman" w:eastAsia="楷体_GB2312" w:cs="楷体_GB2312"/>
                                      <w:i w:val="0"/>
                                      <w:iCs w:val="0"/>
                                      <w:color w:val="000000"/>
                                      <w:kern w:val="0"/>
                                      <w:sz w:val="15"/>
                                      <w:szCs w:val="15"/>
                                      <w:u w:val="none"/>
                                      <w:lang w:val="en-US" w:eastAsia="zh-CN" w:bidi="ar"/>
                                    </w:rPr>
                                    <w:t>每股销售额</w:t>
                                  </w:r>
                                  <w:r>
                                    <w:rPr>
                                      <w:rFonts w:hint="default" w:ascii="Times New Roman" w:hAnsi="Times New Roman" w:eastAsia="等线" w:cs="Times New Roman"/>
                                      <w:i w:val="0"/>
                                      <w:iCs w:val="0"/>
                                      <w:color w:val="000000"/>
                                      <w:kern w:val="0"/>
                                      <w:sz w:val="15"/>
                                      <w:szCs w:val="15"/>
                                      <w:u w:val="none"/>
                                      <w:lang w:val="en-US" w:eastAsia="zh-CN" w:bidi="ar"/>
                                    </w:rPr>
                                    <w:t>SPS(</w:t>
                                  </w:r>
                                  <w:r>
                                    <w:rPr>
                                      <w:rFonts w:hint="eastAsia" w:ascii="楷体_GB2312" w:hAnsi="Times New Roman" w:eastAsia="楷体_GB2312" w:cs="楷体_GB2312"/>
                                      <w:i w:val="0"/>
                                      <w:iCs w:val="0"/>
                                      <w:color w:val="000000"/>
                                      <w:kern w:val="0"/>
                                      <w:sz w:val="15"/>
                                      <w:szCs w:val="15"/>
                                      <w:u w:val="none"/>
                                      <w:lang w:val="en-US" w:eastAsia="zh-CN" w:bidi="ar"/>
                                    </w:rPr>
                                    <w:t>元</w:t>
                                  </w:r>
                                  <w:r>
                                    <w:rPr>
                                      <w:rFonts w:hint="default" w:ascii="Times New Roman" w:hAnsi="Times New Roman" w:eastAsia="等线" w:cs="Times New Roman"/>
                                      <w:i w:val="0"/>
                                      <w:iCs w:val="0"/>
                                      <w:color w:val="000000"/>
                                      <w:kern w:val="0"/>
                                      <w:sz w:val="15"/>
                                      <w:szCs w:val="15"/>
                                      <w:u w:val="none"/>
                                      <w:lang w:val="en-US" w:eastAsia="zh-CN" w:bidi="ar"/>
                                    </w:rPr>
                                    <w:t>)</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4.30</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3.64</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3.97</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4.70</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rPr>
                                  </w:pPr>
                                  <w:r>
                                    <w:rPr>
                                      <w:rFonts w:hint="default" w:ascii="Times New Roman" w:hAnsi="Times New Roman" w:eastAsia="等线" w:cs="Times New Roman"/>
                                      <w:i w:val="0"/>
                                      <w:iCs w:val="0"/>
                                      <w:color w:val="000000"/>
                                      <w:kern w:val="0"/>
                                      <w:sz w:val="15"/>
                                      <w:szCs w:val="15"/>
                                      <w:u w:val="none"/>
                                      <w:lang w:val="en-US" w:eastAsia="zh-CN" w:bidi="ar"/>
                                    </w:rPr>
                                    <w:t>3.15</w:t>
                                  </w:r>
                                </w:p>
                              </w:tc>
                              <w:tc>
                                <w:tcPr>
                                  <w:tcW w:w="720" w:type="dxa"/>
                                  <w:tcBorders>
                                    <w:top w:val="nil"/>
                                    <w:left w:val="nil"/>
                                    <w:bottom w:val="single" w:color="auto" w:sz="8"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eastAsia="等线" w:cs="Times New Roman"/>
                                      <w:i w:val="0"/>
                                      <w:iCs w:val="0"/>
                                      <w:color w:val="000000"/>
                                      <w:kern w:val="0"/>
                                      <w:sz w:val="15"/>
                                      <w:szCs w:val="15"/>
                                      <w:u w:val="none"/>
                                      <w:lang w:val="en-US" w:eastAsia="zh-CN" w:bidi="ar"/>
                                    </w:rPr>
                                    <w:t>3.30</w:t>
                                  </w:r>
                                </w:p>
                              </w:tc>
                              <w:tc>
                                <w:tcPr>
                                  <w:tcW w:w="720" w:type="dxa"/>
                                  <w:tcBorders>
                                    <w:top w:val="nil"/>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15"/>
                                      <w:szCs w:val="15"/>
                                      <w:u w:val="none"/>
                                      <w:lang w:val="en-US"/>
                                    </w:rPr>
                                  </w:pPr>
                                  <w:r>
                                    <w:rPr>
                                      <w:rFonts w:hint="eastAsia" w:eastAsia="等线" w:cs="Times New Roman"/>
                                      <w:i w:val="0"/>
                                      <w:iCs w:val="0"/>
                                      <w:color w:val="000000"/>
                                      <w:kern w:val="0"/>
                                      <w:sz w:val="15"/>
                                      <w:szCs w:val="15"/>
                                      <w:u w:val="none"/>
                                      <w:lang w:val="en-US" w:eastAsia="zh-CN" w:bidi="ar"/>
                                    </w:rPr>
                                    <w:t>3.45</w:t>
                                  </w:r>
                                </w:p>
                              </w:tc>
                            </w:tr>
                          </w:tbl>
                          <w:p>
                            <w:pPr>
                              <w:widowControl w:val="0"/>
                              <w:numPr>
                                <w:ilvl w:val="0"/>
                                <w:numId w:val="0"/>
                              </w:numPr>
                              <w:tabs>
                                <w:tab w:val="left" w:pos="420"/>
                              </w:tabs>
                              <w:jc w:val="both"/>
                              <w:rPr>
                                <w:rFonts w:hint="eastAsia" w:ascii="Arial" w:cs="Arial"/>
                                <w:b/>
                                <w:bCs/>
                                <w:szCs w:val="21"/>
                                <w:highlight w:val="yellow"/>
                              </w:rPr>
                            </w:pPr>
                            <w:r>
                              <w:rPr>
                                <w:rFonts w:hint="default" w:ascii="Times New Roman" w:hAnsi="Times New Roman" w:eastAsia="楷体_GB2312" w:cs="Times New Roman"/>
                                <w:sz w:val="18"/>
                                <w:szCs w:val="21"/>
                                <w:lang w:val="en-US" w:eastAsia="zh-CN"/>
                              </w:rPr>
                              <w:t>数据来源：同花顺iFinD</w:t>
                            </w:r>
                          </w:p>
                          <w:p/>
                        </w:txbxContent>
                      </v:textbox>
                    </v:shape>
                  </w:pict>
                </mc:Fallback>
              </mc:AlternateConten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numPr>
                <w:ilvl w:val="0"/>
                <w:numId w:val="2"/>
              </w:numPr>
              <w:rPr>
                <w:rFonts w:hint="eastAsia" w:ascii="楷体" w:hAnsi="楷体" w:eastAsia="楷体" w:cs="楷体"/>
                <w:b/>
                <w:bCs/>
                <w:color w:val="9C4B45"/>
                <w:kern w:val="0"/>
                <w:sz w:val="24"/>
                <w:szCs w:val="24"/>
                <w:lang w:val="en-US" w:eastAsia="zh-CN" w:bidi="ar"/>
              </w:rPr>
            </w:pPr>
            <w:r>
              <w:rPr>
                <w:rFonts w:hint="eastAsia" w:ascii="楷体" w:hAnsi="楷体" w:eastAsia="楷体" w:cs="楷体"/>
                <w:b/>
                <w:bCs/>
                <w:color w:val="9C4B45"/>
                <w:kern w:val="0"/>
                <w:sz w:val="24"/>
                <w:szCs w:val="24"/>
                <w:lang w:val="en-US" w:eastAsia="zh-CN" w:bidi="ar"/>
              </w:rPr>
              <w:t xml:space="preserve">风险提示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b/>
                <w:bCs/>
                <w:color w:val="000000"/>
                <w:kern w:val="0"/>
                <w:sz w:val="21"/>
                <w:szCs w:val="21"/>
                <w:lang w:val="en-US" w:eastAsia="zh-CN" w:bidi="ar"/>
              </w:rPr>
              <w:t>1）原材料价格波动的风险：</w:t>
            </w:r>
            <w:r>
              <w:rPr>
                <w:rFonts w:hint="default" w:ascii="Times New Roman" w:hAnsi="Times New Roman" w:eastAsia="楷体_GB2312" w:cs="Times New Roman"/>
                <w:color w:val="000000"/>
                <w:kern w:val="0"/>
                <w:sz w:val="21"/>
                <w:szCs w:val="21"/>
                <w:lang w:val="en-US" w:eastAsia="zh-CN" w:bidi="ar"/>
              </w:rPr>
              <w:t xml:space="preserve">公司生产经营涉及的化学品主要为芳香族有机物，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color w:val="000000"/>
                <w:kern w:val="0"/>
                <w:sz w:val="21"/>
                <w:szCs w:val="21"/>
                <w:lang w:val="en-US" w:eastAsia="zh-CN" w:bidi="ar"/>
              </w:rPr>
              <w:t xml:space="preserve">受上游原油价格波动影响较大，如果未来原材料价格出现大幅上涨，而产品下游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color w:val="000000"/>
                <w:kern w:val="0"/>
                <w:sz w:val="21"/>
                <w:szCs w:val="21"/>
                <w:lang w:val="en-US" w:eastAsia="zh-CN" w:bidi="ar"/>
              </w:rPr>
              <w:t xml:space="preserve">需求不及预期导致价格无法顺利传导，将对公司盈利能力造成不利影响。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b/>
                <w:bCs/>
                <w:color w:val="000000"/>
                <w:kern w:val="0"/>
                <w:sz w:val="21"/>
                <w:szCs w:val="21"/>
                <w:lang w:val="en-US" w:eastAsia="zh-CN" w:bidi="ar"/>
              </w:rPr>
              <w:t>2）客户集中度高的风险：</w:t>
            </w:r>
            <w:r>
              <w:rPr>
                <w:rFonts w:hint="default" w:ascii="Times New Roman" w:hAnsi="Times New Roman" w:eastAsia="楷体_GB2312" w:cs="Times New Roman"/>
                <w:color w:val="000000"/>
                <w:kern w:val="0"/>
                <w:sz w:val="21"/>
                <w:szCs w:val="21"/>
                <w:lang w:val="en-US" w:eastAsia="zh-CN" w:bidi="ar"/>
              </w:rPr>
              <w:t xml:space="preserve">公司前五大客户销售收入占比较高，主要客户包括欧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color w:val="000000"/>
                <w:kern w:val="0"/>
                <w:sz w:val="21"/>
                <w:szCs w:val="21"/>
                <w:lang w:val="en-US" w:eastAsia="zh-CN" w:bidi="ar"/>
              </w:rPr>
              <w:t xml:space="preserve">莱雅、汉高、科蒂/威娜、组合化学、三井化学等企业，集中度较高，若主要客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color w:val="000000"/>
                <w:kern w:val="0"/>
                <w:sz w:val="21"/>
                <w:szCs w:val="21"/>
                <w:lang w:val="en-US" w:eastAsia="zh-CN" w:bidi="ar"/>
              </w:rPr>
              <w:t xml:space="preserve">户经营状况发生不利变化，可能对公司的经营业绩产生不利影响。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b/>
                <w:bCs/>
                <w:color w:val="000000"/>
                <w:kern w:val="0"/>
                <w:sz w:val="21"/>
                <w:szCs w:val="21"/>
                <w:lang w:val="en-US" w:eastAsia="zh-CN" w:bidi="ar"/>
              </w:rPr>
              <w:t>3）环保及合法合规风险：</w:t>
            </w:r>
            <w:r>
              <w:rPr>
                <w:rFonts w:hint="default" w:ascii="Times New Roman" w:hAnsi="Times New Roman" w:eastAsia="楷体_GB2312" w:cs="Times New Roman"/>
                <w:color w:val="000000"/>
                <w:kern w:val="0"/>
                <w:sz w:val="21"/>
                <w:szCs w:val="21"/>
                <w:lang w:val="en-US" w:eastAsia="zh-CN" w:bidi="ar"/>
              </w:rPr>
              <w:t xml:space="preserve">公司产品所涉及原料及部分产品为危险化学品，多个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color w:val="000000"/>
                <w:kern w:val="0"/>
                <w:sz w:val="21"/>
                <w:szCs w:val="21"/>
                <w:lang w:val="en-US" w:eastAsia="zh-CN" w:bidi="ar"/>
              </w:rPr>
              <w:t xml:space="preserve">反应面临消防及环保等问题，若环保政策发生变化，或造成环境污染事故，公司 </w:t>
            </w:r>
          </w:p>
          <w:p>
            <w:pPr>
              <w:keepNext w:val="0"/>
              <w:keepLines w:val="0"/>
              <w:widowControl/>
              <w:suppressLineNumbers w:val="0"/>
              <w:jc w:val="left"/>
              <w:rPr>
                <w:rFonts w:hint="default" w:ascii="Times New Roman" w:hAnsi="Times New Roman" w:eastAsia="楷体_GB2312" w:cs="Times New Roman"/>
              </w:rPr>
            </w:pPr>
            <w:r>
              <w:rPr>
                <w:rFonts w:hint="default" w:ascii="Times New Roman" w:hAnsi="Times New Roman" w:eastAsia="楷体_GB2312" w:cs="Times New Roman"/>
                <w:color w:val="000000"/>
                <w:kern w:val="0"/>
                <w:sz w:val="21"/>
                <w:szCs w:val="21"/>
                <w:lang w:val="en-US" w:eastAsia="zh-CN" w:bidi="ar"/>
              </w:rPr>
              <w:t>可能受到监管或处罚，甚至可能被要求停产整改，对公司生产经营造成不利影响。</w:t>
            </w:r>
          </w:p>
          <w:p>
            <w:pPr>
              <w:tabs>
                <w:tab w:val="left" w:pos="1267"/>
              </w:tabs>
              <w:rPr>
                <w:lang w:val="fr-FR"/>
              </w:rPr>
            </w:pPr>
          </w:p>
        </w:tc>
      </w:tr>
      <w:tr>
        <w:tblPrEx>
          <w:tblCellMar>
            <w:top w:w="0" w:type="dxa"/>
            <w:left w:w="28" w:type="dxa"/>
            <w:bottom w:w="0" w:type="dxa"/>
            <w:right w:w="11" w:type="dxa"/>
          </w:tblCellMar>
        </w:tblPrEx>
        <w:trPr>
          <w:trHeight w:val="14535" w:hRule="exact"/>
        </w:trPr>
        <w:tc>
          <w:tcPr>
            <w:tcW w:w="2257" w:type="dxa"/>
            <w:vAlign w:val="center"/>
          </w:tcPr>
          <w:p>
            <w:pPr>
              <w:rPr>
                <w:rFonts w:ascii="Arial" w:hAnsi="Arial" w:eastAsia="楷体_GB2312" w:cs="Arial"/>
                <w:lang w:val="fr-FR"/>
              </w:rPr>
            </w:pPr>
          </w:p>
        </w:tc>
        <w:tc>
          <w:tcPr>
            <w:tcW w:w="8451" w:type="dxa"/>
          </w:tcPr>
          <w:p>
            <w:pPr>
              <w:rPr>
                <w:sz w:val="21"/>
              </w:rPr>
            </w:pPr>
          </w:p>
        </w:tc>
      </w:tr>
    </w:tbl>
    <w:p>
      <w:pPr>
        <w:rPr>
          <w:rFonts w:ascii="Arial" w:hAnsi="Arial" w:eastAsia="楷体_GB2312" w:cs="Arial"/>
          <w:lang w:val="fr-FR"/>
        </w:rPr>
        <w:sectPr>
          <w:headerReference r:id="rId5" w:type="first"/>
          <w:footerReference r:id="rId7" w:type="first"/>
          <w:headerReference r:id="rId3" w:type="default"/>
          <w:headerReference r:id="rId4" w:type="even"/>
          <w:footerReference r:id="rId6" w:type="even"/>
          <w:type w:val="continuous"/>
          <w:pgSz w:w="11906" w:h="16838"/>
          <w:pgMar w:top="1247" w:right="680" w:bottom="851" w:left="720" w:header="851" w:footer="992" w:gutter="0"/>
          <w:cols w:space="425" w:num="1"/>
          <w:docGrid w:type="linesAndChars" w:linePitch="312" w:charSpace="0"/>
        </w:sectPr>
      </w:pPr>
    </w:p>
    <w:p>
      <w:pPr>
        <w:widowControl/>
        <w:jc w:val="left"/>
        <w:rPr>
          <w:rFonts w:ascii="楷体" w:hAnsi="楷体" w:eastAsia="楷体"/>
          <w:sz w:val="24"/>
        </w:rPr>
      </w:pPr>
    </w:p>
    <w:sectPr>
      <w:footerReference r:id="rId8" w:type="default"/>
      <w:type w:val="continuous"/>
      <w:pgSz w:w="11906" w:h="16838"/>
      <w:pgMar w:top="1247" w:right="794" w:bottom="851" w:left="3240" w:header="851" w:footer="510" w:gutter="0"/>
      <w:cols w:space="425" w:num="1"/>
      <w:docGrid w:type="linesAndChar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kern w:val="0"/>
        <w:szCs w:val="21"/>
      </w:rPr>
    </w:pPr>
    <w:r>
      <w:rPr>
        <w:rFonts w:hint="eastAsia"/>
        <w:kern w:val="0"/>
        <w:szCs w:val="21"/>
      </w:rPr>
      <mc:AlternateContent>
        <mc:Choice Requires="wps">
          <w:drawing>
            <wp:anchor distT="0" distB="0" distL="114300" distR="114300" simplePos="0" relativeHeight="251660288" behindDoc="0" locked="0" layoutInCell="1" allowOverlap="1">
              <wp:simplePos x="0" y="0"/>
              <wp:positionH relativeFrom="column">
                <wp:posOffset>-2088515</wp:posOffset>
              </wp:positionH>
              <wp:positionV relativeFrom="paragraph">
                <wp:posOffset>122555</wp:posOffset>
              </wp:positionV>
              <wp:extent cx="6774815" cy="0"/>
              <wp:effectExtent l="6985" t="10160" r="9525" b="8890"/>
              <wp:wrapNone/>
              <wp:docPr id="11" name="Line 15"/>
              <wp:cNvGraphicFramePr/>
              <a:graphic xmlns:a="http://schemas.openxmlformats.org/drawingml/2006/main">
                <a:graphicData uri="http://schemas.microsoft.com/office/word/2010/wordprocessingShape">
                  <wps:wsp>
                    <wps:cNvCnPr>
                      <a:cxnSpLocks noChangeShapeType="1"/>
                    </wps:cNvCnPr>
                    <wps:spPr bwMode="auto">
                      <a:xfrm>
                        <a:off x="0" y="0"/>
                        <a:ext cx="6774815" cy="0"/>
                      </a:xfrm>
                      <a:prstGeom prst="line">
                        <a:avLst/>
                      </a:prstGeom>
                      <a:noFill/>
                      <a:ln w="9525">
                        <a:solidFill>
                          <a:srgbClr val="008000"/>
                        </a:solidFill>
                        <a:round/>
                      </a:ln>
                    </wps:spPr>
                    <wps:bodyPr/>
                  </wps:wsp>
                </a:graphicData>
              </a:graphic>
            </wp:anchor>
          </w:drawing>
        </mc:Choice>
        <mc:Fallback>
          <w:pict>
            <v:line id="Line 15" o:spid="_x0000_s1026" o:spt="20" style="position:absolute;left:0pt;margin-left:-164.45pt;margin-top:9.65pt;height:0pt;width:533.45pt;z-index:251660288;mso-width-relative:page;mso-height-relative:page;" filled="f" stroked="t" coordsize="21600,21600" o:gfxdata="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cyHt7aAAAACgEAAA8AAAAAAAAAAQAgAAAAIgAA&#10;AGRycy9kb3ducmV2LnhtbFBLAQIUABQAAAAIAIdO4kDDZMspzQEAAKEDAAAOAAAAAAAAAAEAIAAA&#10;ACkBAABkcnMvZTJvRG9jLnhtbFBLBQYAAAAABgAGAFkBAABoBQAAAAA=&#10;">
              <v:fill on="f" focussize="0,0"/>
              <v:stroke color="#008000" joinstyle="round"/>
              <v:imagedata o:title=""/>
              <o:lock v:ext="edit" aspectratio="f"/>
            </v:line>
          </w:pict>
        </mc:Fallback>
      </mc:AlternateContent>
    </w:r>
  </w:p>
  <w:p>
    <w:pPr>
      <w:pStyle w:val="6"/>
      <w:jc w:val="right"/>
      <w:rPr>
        <w:b/>
      </w:rPr>
    </w:pPr>
    <w:r>
      <w:rPr>
        <w:b/>
        <w:kern w:val="0"/>
        <w:szCs w:val="21"/>
      </w:rPr>
      <mc:AlternateContent>
        <mc:Choice Requires="wps">
          <w:drawing>
            <wp:anchor distT="0" distB="0" distL="114300" distR="114300" simplePos="0" relativeHeight="251659264" behindDoc="0" locked="0" layoutInCell="1" allowOverlap="1">
              <wp:simplePos x="0" y="0"/>
              <wp:positionH relativeFrom="column">
                <wp:posOffset>25291415</wp:posOffset>
              </wp:positionH>
              <wp:positionV relativeFrom="paragraph">
                <wp:posOffset>-8890</wp:posOffset>
              </wp:positionV>
              <wp:extent cx="6629400" cy="0"/>
              <wp:effectExtent l="19050" t="19685" r="19050" b="18415"/>
              <wp:wrapNone/>
              <wp:docPr id="10" name="Line 14"/>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5400">
                        <a:solidFill>
                          <a:srgbClr val="008000"/>
                        </a:solidFill>
                        <a:round/>
                      </a:ln>
                    </wps:spPr>
                    <wps:bodyPr/>
                  </wps:wsp>
                </a:graphicData>
              </a:graphic>
            </wp:anchor>
          </w:drawing>
        </mc:Choice>
        <mc:Fallback>
          <w:pict>
            <v:line id="Line 14" o:spid="_x0000_s1026" o:spt="20" style="position:absolute;left:0pt;margin-left:1991.45pt;margin-top:-0.7pt;height:0pt;width:522pt;z-index:251659264;mso-width-relative:page;mso-height-relative:page;" filled="f" stroked="t" coordsize="21600,21600" o:gfxdata="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&#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Tj3MXZAAAACwEAAA8AAAAAAAAAAQAgAAAAIgAAAGRy&#10;cy9kb3ducmV2LnhtbFBLAQIUABQAAAAIAIdO4kCYyhW1ywEAAKIDAAAOAAAAAAAAAAEAIAAAACgB&#10;AABkcnMvZTJvRG9jLnhtbFBLBQYAAAAABgAGAFkBAABlBQAAAAA=&#10;">
              <v:fill on="f" focussize="0,0"/>
              <v:stroke weight="2pt" color="#008000" joinstyle="round"/>
              <v:imagedata o:title=""/>
              <o:lock v:ext="edit" aspectratio="f"/>
            </v:line>
          </w:pict>
        </mc:Fallback>
      </mc:AlternateContent>
    </w:r>
    <w:r>
      <w:rPr>
        <w:b/>
        <w:kern w:val="0"/>
        <w:szCs w:val="21"/>
      </w:rPr>
      <w:t xml:space="preserve">第 </w:t>
    </w:r>
    <w:r>
      <w:rPr>
        <w:b/>
        <w:kern w:val="0"/>
        <w:szCs w:val="21"/>
      </w:rPr>
      <w:fldChar w:fldCharType="begin"/>
    </w:r>
    <w:r>
      <w:rPr>
        <w:b/>
        <w:kern w:val="0"/>
        <w:szCs w:val="21"/>
      </w:rPr>
      <w:instrText xml:space="preserve"> PAGE </w:instrText>
    </w:r>
    <w:r>
      <w:rPr>
        <w:b/>
        <w:kern w:val="0"/>
        <w:szCs w:val="21"/>
      </w:rPr>
      <w:fldChar w:fldCharType="separate"/>
    </w:r>
    <w:r>
      <w:rPr>
        <w:b/>
        <w:kern w:val="0"/>
        <w:szCs w:val="21"/>
      </w:rPr>
      <w:t>6</w:t>
    </w:r>
    <w:r>
      <w:rPr>
        <w:b/>
        <w:kern w:val="0"/>
        <w:szCs w:val="21"/>
      </w:rPr>
      <w:fldChar w:fldCharType="end"/>
    </w:r>
    <w:r>
      <w:rPr>
        <w:b/>
        <w:kern w:val="0"/>
        <w:szCs w:val="21"/>
      </w:rPr>
      <w:t xml:space="preserve"> 页 共 </w:t>
    </w:r>
    <w:r>
      <w:rPr>
        <w:b/>
        <w:kern w:val="0"/>
        <w:szCs w:val="21"/>
      </w:rPr>
      <w:fldChar w:fldCharType="begin"/>
    </w:r>
    <w:r>
      <w:rPr>
        <w:b/>
        <w:kern w:val="0"/>
        <w:szCs w:val="21"/>
      </w:rPr>
      <w:instrText xml:space="preserve"> NUMPAGES </w:instrText>
    </w:r>
    <w:r>
      <w:rPr>
        <w:b/>
        <w:kern w:val="0"/>
        <w:szCs w:val="21"/>
      </w:rPr>
      <w:fldChar w:fldCharType="separate"/>
    </w:r>
    <w:r>
      <w:rPr>
        <w:b/>
        <w:kern w:val="0"/>
        <w:szCs w:val="21"/>
      </w:rPr>
      <w:t>14</w:t>
    </w:r>
    <w:r>
      <w:rPr>
        <w:b/>
        <w:kern w:val="0"/>
        <w:szCs w:val="21"/>
      </w:rPr>
      <w:fldChar w:fldCharType="end"/>
    </w:r>
    <w:r>
      <w:rPr>
        <w:b/>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10654" w:type="dxa"/>
      <w:jc w:val="right"/>
      <w:shd w:val="clear" w:color="auto" w:fill="E6E6E6"/>
      <w:tblLayout w:type="autofit"/>
      <w:tblCellMar>
        <w:top w:w="0" w:type="dxa"/>
        <w:left w:w="108" w:type="dxa"/>
        <w:bottom w:w="0" w:type="dxa"/>
        <w:right w:w="108" w:type="dxa"/>
      </w:tblCellMar>
    </w:tblPr>
    <w:tblGrid>
      <w:gridCol w:w="692"/>
      <w:gridCol w:w="3724"/>
      <w:gridCol w:w="6238"/>
    </w:tblGrid>
    <w:tr>
      <w:tblPrEx>
        <w:shd w:val="clear" w:color="auto" w:fill="E6E6E6"/>
        <w:tblCellMar>
          <w:top w:w="0" w:type="dxa"/>
          <w:left w:w="108" w:type="dxa"/>
          <w:bottom w:w="0" w:type="dxa"/>
          <w:right w:w="108" w:type="dxa"/>
        </w:tblCellMar>
      </w:tblPrEx>
      <w:trPr>
        <w:trHeight w:val="312" w:hRule="atLeast"/>
        <w:jc w:val="right"/>
      </w:trPr>
      <w:tc>
        <w:tcPr>
          <w:tcW w:w="680" w:type="dxa"/>
          <w:vMerge w:val="restart"/>
          <w:tcBorders>
            <w:bottom w:val="single" w:color="008000" w:sz="6" w:space="0"/>
          </w:tcBorders>
          <w:shd w:val="clear" w:color="auto" w:fill="E6E6E6"/>
          <w:vAlign w:val="center"/>
        </w:tcPr>
        <w:p>
          <w:pPr>
            <w:pStyle w:val="16"/>
            <w:jc w:val="center"/>
            <w:rPr>
              <w:rFonts w:eastAsia="楷体_GB2312"/>
              <w:b/>
              <w:sz w:val="18"/>
              <w:szCs w:val="18"/>
            </w:rPr>
          </w:pPr>
          <w:r>
            <w:rPr>
              <w:rFonts w:hint="eastAsia" w:ascii="楷体_GB2312" w:eastAsia="楷体_GB2312"/>
            </w:rPr>
            <w:drawing>
              <wp:inline distT="0" distB="0" distL="0" distR="0">
                <wp:extent cx="297180" cy="396240"/>
                <wp:effectExtent l="0" t="0" r="5080" b="31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97180" cy="396240"/>
                        </a:xfrm>
                        <a:prstGeom prst="rect">
                          <a:avLst/>
                        </a:prstGeom>
                        <a:noFill/>
                        <a:ln>
                          <a:noFill/>
                        </a:ln>
                      </pic:spPr>
                    </pic:pic>
                  </a:graphicData>
                </a:graphic>
              </wp:inline>
            </w:drawing>
          </w:r>
        </w:p>
      </w:tc>
      <w:tc>
        <w:tcPr>
          <w:tcW w:w="3728" w:type="dxa"/>
          <w:tcBorders>
            <w:bottom w:val="single" w:color="008000" w:sz="6" w:space="0"/>
          </w:tcBorders>
          <w:shd w:val="clear" w:color="auto" w:fill="E6E6E6"/>
          <w:vAlign w:val="center"/>
        </w:tcPr>
        <w:p>
          <w:pPr>
            <w:pStyle w:val="16"/>
            <w:jc w:val="center"/>
            <w:rPr>
              <w:rFonts w:ascii="Arial" w:hAnsi="Arial" w:eastAsia="楷体_GB2312" w:cs="Arial"/>
              <w:b/>
              <w:sz w:val="18"/>
              <w:szCs w:val="18"/>
            </w:rPr>
          </w:pPr>
          <w:r>
            <w:rPr>
              <w:rFonts w:ascii="Arial" w:hAnsi="Arial" w:eastAsia="楷体_GB2312" w:cs="Arial"/>
              <w:b/>
              <w:sz w:val="18"/>
              <w:szCs w:val="18"/>
            </w:rPr>
            <w:t>长城基金管理有限公司</w:t>
          </w:r>
        </w:p>
      </w:tc>
      <w:tc>
        <w:tcPr>
          <w:tcW w:w="6246" w:type="dxa"/>
          <w:vMerge w:val="restart"/>
          <w:tcBorders>
            <w:bottom w:val="single" w:color="008000" w:sz="6" w:space="0"/>
          </w:tcBorders>
          <w:shd w:val="clear" w:color="auto" w:fill="E6E6E6"/>
          <w:vAlign w:val="center"/>
        </w:tcPr>
        <w:p>
          <w:pPr>
            <w:pStyle w:val="16"/>
            <w:jc w:val="right"/>
            <w:rPr>
              <w:rFonts w:eastAsia="楷体_GB2312"/>
              <w:b/>
              <w:sz w:val="18"/>
              <w:szCs w:val="18"/>
            </w:rPr>
          </w:pPr>
          <w:r>
            <w:rPr>
              <w:rFonts w:hint="eastAsia" w:ascii="楷体_GB2312" w:eastAsia="楷体_GB2312"/>
              <w:b/>
              <w:sz w:val="21"/>
              <w:szCs w:val="21"/>
            </w:rPr>
            <w:t>行业研究小组●研究部</w:t>
          </w:r>
        </w:p>
      </w:tc>
    </w:tr>
    <w:tr>
      <w:tblPrEx>
        <w:tblCellMar>
          <w:top w:w="0" w:type="dxa"/>
          <w:left w:w="108" w:type="dxa"/>
          <w:bottom w:w="0" w:type="dxa"/>
          <w:right w:w="108" w:type="dxa"/>
        </w:tblCellMar>
      </w:tblPrEx>
      <w:trPr>
        <w:trHeight w:val="311" w:hRule="atLeast"/>
        <w:jc w:val="right"/>
      </w:trPr>
      <w:tc>
        <w:tcPr>
          <w:tcW w:w="680" w:type="dxa"/>
          <w:vMerge w:val="continue"/>
          <w:tcBorders>
            <w:bottom w:val="single" w:color="008000" w:sz="6" w:space="0"/>
          </w:tcBorders>
          <w:shd w:val="clear" w:color="auto" w:fill="E6E6E6"/>
          <w:vAlign w:val="center"/>
        </w:tcPr>
        <w:p>
          <w:pPr>
            <w:pStyle w:val="16"/>
            <w:jc w:val="center"/>
            <w:rPr>
              <w:rFonts w:ascii="楷体_GB2312" w:eastAsia="楷体_GB2312"/>
            </w:rPr>
          </w:pPr>
        </w:p>
      </w:tc>
      <w:tc>
        <w:tcPr>
          <w:tcW w:w="3728" w:type="dxa"/>
          <w:tcBorders>
            <w:bottom w:val="single" w:color="008000" w:sz="6" w:space="0"/>
          </w:tcBorders>
          <w:shd w:val="clear" w:color="auto" w:fill="E6E6E6"/>
          <w:vAlign w:val="center"/>
        </w:tcPr>
        <w:p>
          <w:pPr>
            <w:pStyle w:val="16"/>
            <w:jc w:val="center"/>
            <w:rPr>
              <w:rFonts w:ascii="Arial" w:hAnsi="Arial" w:eastAsia="楷体_GB2312" w:cs="Arial"/>
              <w:b/>
              <w:sz w:val="18"/>
              <w:szCs w:val="18"/>
            </w:rPr>
          </w:pPr>
          <w:r>
            <w:rPr>
              <w:rFonts w:ascii="Arial" w:hAnsi="Arial" w:eastAsia="楷体_GB2312" w:cs="Arial"/>
              <w:b/>
              <w:sz w:val="18"/>
              <w:szCs w:val="18"/>
            </w:rPr>
            <w:t>Great Wall Fund Management Co. Ltd</w:t>
          </w:r>
        </w:p>
      </w:tc>
      <w:tc>
        <w:tcPr>
          <w:tcW w:w="6246" w:type="dxa"/>
          <w:vMerge w:val="continue"/>
          <w:tcBorders>
            <w:bottom w:val="single" w:color="008000" w:sz="6" w:space="0"/>
          </w:tcBorders>
          <w:shd w:val="clear" w:color="auto" w:fill="E6E6E6"/>
          <w:vAlign w:val="center"/>
        </w:tcPr>
        <w:p>
          <w:pPr>
            <w:pStyle w:val="16"/>
            <w:jc w:val="center"/>
            <w:rPr>
              <w:rFonts w:ascii="楷体_GB2312" w:eastAsia="楷体_GB2312"/>
              <w:b/>
              <w:sz w:val="21"/>
              <w:szCs w:val="21"/>
            </w:rPr>
          </w:pPr>
        </w:p>
      </w:tc>
    </w:tr>
  </w:tbl>
  <w:p>
    <w:pPr>
      <w:pStyle w:val="7"/>
      <w:pBdr>
        <w:bottom w:val="single" w:color="auto" w:sz="6" w:space="0"/>
      </w:pBdr>
      <w:jc w:val="both"/>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145CD"/>
    <w:multiLevelType w:val="multilevel"/>
    <w:tmpl w:val="10D145C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pStyle w:val="29"/>
      <w:lvlText w:val=""/>
      <w:lvlJc w:val="left"/>
      <w:pPr>
        <w:tabs>
          <w:tab w:val="left" w:pos="840"/>
        </w:tabs>
        <w:ind w:left="840" w:hanging="420"/>
      </w:pPr>
      <w:rPr>
        <w:rFonts w:hint="default" w:ascii="Wingdings" w:hAnsi="Wingdings"/>
        <w:sz w:val="15"/>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04B12DA"/>
    <w:multiLevelType w:val="multilevel"/>
    <w:tmpl w:val="204B12DA"/>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1Mjg3NzI3OTQ0YzJkNjYzNzEzMmUxNGQ1ODVkYWMifQ=="/>
  </w:docVars>
  <w:rsids>
    <w:rsidRoot w:val="003938E4"/>
    <w:rsid w:val="00001D6F"/>
    <w:rsid w:val="00002A83"/>
    <w:rsid w:val="000045C4"/>
    <w:rsid w:val="00004AD0"/>
    <w:rsid w:val="00015687"/>
    <w:rsid w:val="00020BC7"/>
    <w:rsid w:val="00023CAD"/>
    <w:rsid w:val="000254E5"/>
    <w:rsid w:val="00025944"/>
    <w:rsid w:val="000260D7"/>
    <w:rsid w:val="000266B4"/>
    <w:rsid w:val="00030E7F"/>
    <w:rsid w:val="000325BD"/>
    <w:rsid w:val="0003624C"/>
    <w:rsid w:val="000367B3"/>
    <w:rsid w:val="0004072C"/>
    <w:rsid w:val="000416D4"/>
    <w:rsid w:val="00041E60"/>
    <w:rsid w:val="00042DFD"/>
    <w:rsid w:val="00044558"/>
    <w:rsid w:val="000463CB"/>
    <w:rsid w:val="00050018"/>
    <w:rsid w:val="0005335D"/>
    <w:rsid w:val="000548AE"/>
    <w:rsid w:val="00055AA3"/>
    <w:rsid w:val="00056334"/>
    <w:rsid w:val="00057FD8"/>
    <w:rsid w:val="00060840"/>
    <w:rsid w:val="00061F7B"/>
    <w:rsid w:val="00062816"/>
    <w:rsid w:val="00063F7C"/>
    <w:rsid w:val="000675F4"/>
    <w:rsid w:val="000703B4"/>
    <w:rsid w:val="00071622"/>
    <w:rsid w:val="00072697"/>
    <w:rsid w:val="00072AE1"/>
    <w:rsid w:val="00073BC9"/>
    <w:rsid w:val="00075368"/>
    <w:rsid w:val="00080D56"/>
    <w:rsid w:val="00083A47"/>
    <w:rsid w:val="000848F9"/>
    <w:rsid w:val="00084988"/>
    <w:rsid w:val="00084A9F"/>
    <w:rsid w:val="00085B75"/>
    <w:rsid w:val="0008741D"/>
    <w:rsid w:val="000929D1"/>
    <w:rsid w:val="00092C16"/>
    <w:rsid w:val="000953E4"/>
    <w:rsid w:val="000958AE"/>
    <w:rsid w:val="00096F39"/>
    <w:rsid w:val="0009736D"/>
    <w:rsid w:val="00097FBA"/>
    <w:rsid w:val="000A325A"/>
    <w:rsid w:val="000A35A6"/>
    <w:rsid w:val="000A7404"/>
    <w:rsid w:val="000B1060"/>
    <w:rsid w:val="000B3479"/>
    <w:rsid w:val="000B3E6E"/>
    <w:rsid w:val="000B4942"/>
    <w:rsid w:val="000C01F2"/>
    <w:rsid w:val="000C1E93"/>
    <w:rsid w:val="000C20AF"/>
    <w:rsid w:val="000C285D"/>
    <w:rsid w:val="000C31DA"/>
    <w:rsid w:val="000C3259"/>
    <w:rsid w:val="000C4F6D"/>
    <w:rsid w:val="000C5A85"/>
    <w:rsid w:val="000C6450"/>
    <w:rsid w:val="000C64B0"/>
    <w:rsid w:val="000C77E6"/>
    <w:rsid w:val="000D0905"/>
    <w:rsid w:val="000D2C58"/>
    <w:rsid w:val="000D328C"/>
    <w:rsid w:val="000D4D1F"/>
    <w:rsid w:val="000D5C3F"/>
    <w:rsid w:val="000D60E1"/>
    <w:rsid w:val="000D7F75"/>
    <w:rsid w:val="000E0347"/>
    <w:rsid w:val="000E1BCF"/>
    <w:rsid w:val="000E2EF5"/>
    <w:rsid w:val="000E3954"/>
    <w:rsid w:val="000E3F93"/>
    <w:rsid w:val="000E7D7E"/>
    <w:rsid w:val="000F44CF"/>
    <w:rsid w:val="000F59E7"/>
    <w:rsid w:val="000F70D4"/>
    <w:rsid w:val="00102873"/>
    <w:rsid w:val="00102BEB"/>
    <w:rsid w:val="001034C2"/>
    <w:rsid w:val="00104C93"/>
    <w:rsid w:val="00104DC9"/>
    <w:rsid w:val="00104F35"/>
    <w:rsid w:val="00105A37"/>
    <w:rsid w:val="00106DC0"/>
    <w:rsid w:val="00110149"/>
    <w:rsid w:val="00110398"/>
    <w:rsid w:val="0011082C"/>
    <w:rsid w:val="00111371"/>
    <w:rsid w:val="00111424"/>
    <w:rsid w:val="001125A5"/>
    <w:rsid w:val="00112BA8"/>
    <w:rsid w:val="0011325B"/>
    <w:rsid w:val="0011586B"/>
    <w:rsid w:val="00116123"/>
    <w:rsid w:val="001212C8"/>
    <w:rsid w:val="001220D9"/>
    <w:rsid w:val="0012273D"/>
    <w:rsid w:val="00122BF7"/>
    <w:rsid w:val="0012410F"/>
    <w:rsid w:val="001244FA"/>
    <w:rsid w:val="00124B0C"/>
    <w:rsid w:val="00124D91"/>
    <w:rsid w:val="00130733"/>
    <w:rsid w:val="001327F8"/>
    <w:rsid w:val="00132E5C"/>
    <w:rsid w:val="00137031"/>
    <w:rsid w:val="001371FA"/>
    <w:rsid w:val="00141D12"/>
    <w:rsid w:val="00142684"/>
    <w:rsid w:val="00143EDD"/>
    <w:rsid w:val="00144248"/>
    <w:rsid w:val="001453B3"/>
    <w:rsid w:val="00147BD3"/>
    <w:rsid w:val="001514DF"/>
    <w:rsid w:val="0015208D"/>
    <w:rsid w:val="00154832"/>
    <w:rsid w:val="00160F3B"/>
    <w:rsid w:val="00161954"/>
    <w:rsid w:val="00161BF9"/>
    <w:rsid w:val="0016390A"/>
    <w:rsid w:val="001639EB"/>
    <w:rsid w:val="00164D94"/>
    <w:rsid w:val="001677C6"/>
    <w:rsid w:val="0017368D"/>
    <w:rsid w:val="0017392C"/>
    <w:rsid w:val="00176080"/>
    <w:rsid w:val="00176CF1"/>
    <w:rsid w:val="001811F3"/>
    <w:rsid w:val="00181B27"/>
    <w:rsid w:val="00181CCD"/>
    <w:rsid w:val="001834DE"/>
    <w:rsid w:val="0018404A"/>
    <w:rsid w:val="00184197"/>
    <w:rsid w:val="00185033"/>
    <w:rsid w:val="00186354"/>
    <w:rsid w:val="00190A83"/>
    <w:rsid w:val="00190DDA"/>
    <w:rsid w:val="00192C5E"/>
    <w:rsid w:val="001930E9"/>
    <w:rsid w:val="00196347"/>
    <w:rsid w:val="001A04AE"/>
    <w:rsid w:val="001A0FCB"/>
    <w:rsid w:val="001A1055"/>
    <w:rsid w:val="001A202F"/>
    <w:rsid w:val="001A43E1"/>
    <w:rsid w:val="001A682F"/>
    <w:rsid w:val="001B00A2"/>
    <w:rsid w:val="001B12E1"/>
    <w:rsid w:val="001C0262"/>
    <w:rsid w:val="001C1703"/>
    <w:rsid w:val="001C44A8"/>
    <w:rsid w:val="001C5A3C"/>
    <w:rsid w:val="001C6981"/>
    <w:rsid w:val="001C75EC"/>
    <w:rsid w:val="001D2A96"/>
    <w:rsid w:val="001D46BE"/>
    <w:rsid w:val="001D559D"/>
    <w:rsid w:val="001D5BE4"/>
    <w:rsid w:val="001D5DD6"/>
    <w:rsid w:val="001D6701"/>
    <w:rsid w:val="001D7384"/>
    <w:rsid w:val="001E0D6D"/>
    <w:rsid w:val="001E1466"/>
    <w:rsid w:val="001E1D9F"/>
    <w:rsid w:val="001E3EE3"/>
    <w:rsid w:val="001E4686"/>
    <w:rsid w:val="001E5681"/>
    <w:rsid w:val="001E574C"/>
    <w:rsid w:val="001E66C5"/>
    <w:rsid w:val="001F0122"/>
    <w:rsid w:val="001F2531"/>
    <w:rsid w:val="001F3EF4"/>
    <w:rsid w:val="001F657E"/>
    <w:rsid w:val="00200645"/>
    <w:rsid w:val="00201DF6"/>
    <w:rsid w:val="00205A4A"/>
    <w:rsid w:val="00206714"/>
    <w:rsid w:val="002078C6"/>
    <w:rsid w:val="002122A5"/>
    <w:rsid w:val="00212401"/>
    <w:rsid w:val="002144CF"/>
    <w:rsid w:val="002150F8"/>
    <w:rsid w:val="00216F07"/>
    <w:rsid w:val="00217EFA"/>
    <w:rsid w:val="00220031"/>
    <w:rsid w:val="00222AF8"/>
    <w:rsid w:val="0022313B"/>
    <w:rsid w:val="002246AB"/>
    <w:rsid w:val="00225F67"/>
    <w:rsid w:val="00226DAE"/>
    <w:rsid w:val="002279AC"/>
    <w:rsid w:val="00230909"/>
    <w:rsid w:val="0023345C"/>
    <w:rsid w:val="00240673"/>
    <w:rsid w:val="002413A8"/>
    <w:rsid w:val="00242367"/>
    <w:rsid w:val="002426A6"/>
    <w:rsid w:val="00242D39"/>
    <w:rsid w:val="00243FD0"/>
    <w:rsid w:val="00245286"/>
    <w:rsid w:val="00245329"/>
    <w:rsid w:val="00245A6D"/>
    <w:rsid w:val="00245BCE"/>
    <w:rsid w:val="00245FE4"/>
    <w:rsid w:val="00246A29"/>
    <w:rsid w:val="0025090C"/>
    <w:rsid w:val="00256105"/>
    <w:rsid w:val="00257D24"/>
    <w:rsid w:val="002610A0"/>
    <w:rsid w:val="00264B1F"/>
    <w:rsid w:val="00270174"/>
    <w:rsid w:val="00272495"/>
    <w:rsid w:val="002724FA"/>
    <w:rsid w:val="00276EF4"/>
    <w:rsid w:val="002841A1"/>
    <w:rsid w:val="0028594A"/>
    <w:rsid w:val="002906E3"/>
    <w:rsid w:val="002926CA"/>
    <w:rsid w:val="00292C1E"/>
    <w:rsid w:val="002948F0"/>
    <w:rsid w:val="00294A18"/>
    <w:rsid w:val="00295B1A"/>
    <w:rsid w:val="00296EBF"/>
    <w:rsid w:val="002A0584"/>
    <w:rsid w:val="002A2F11"/>
    <w:rsid w:val="002A390A"/>
    <w:rsid w:val="002A404E"/>
    <w:rsid w:val="002A4EBC"/>
    <w:rsid w:val="002B0615"/>
    <w:rsid w:val="002B467F"/>
    <w:rsid w:val="002B5BCE"/>
    <w:rsid w:val="002B673A"/>
    <w:rsid w:val="002B75DB"/>
    <w:rsid w:val="002C04DB"/>
    <w:rsid w:val="002C482B"/>
    <w:rsid w:val="002C63B6"/>
    <w:rsid w:val="002D2089"/>
    <w:rsid w:val="002D3865"/>
    <w:rsid w:val="002D4ADB"/>
    <w:rsid w:val="002D5555"/>
    <w:rsid w:val="002E2B96"/>
    <w:rsid w:val="002E5D11"/>
    <w:rsid w:val="002E6E95"/>
    <w:rsid w:val="002E738B"/>
    <w:rsid w:val="002E7C25"/>
    <w:rsid w:val="002E7DC3"/>
    <w:rsid w:val="002F34A8"/>
    <w:rsid w:val="002F36B4"/>
    <w:rsid w:val="002F4113"/>
    <w:rsid w:val="002F420F"/>
    <w:rsid w:val="002F501E"/>
    <w:rsid w:val="002F7487"/>
    <w:rsid w:val="002F7AC3"/>
    <w:rsid w:val="00300496"/>
    <w:rsid w:val="00301A39"/>
    <w:rsid w:val="00301DC6"/>
    <w:rsid w:val="00304277"/>
    <w:rsid w:val="00304BBD"/>
    <w:rsid w:val="00305CBB"/>
    <w:rsid w:val="00306BF4"/>
    <w:rsid w:val="003107C7"/>
    <w:rsid w:val="00310A89"/>
    <w:rsid w:val="00310C15"/>
    <w:rsid w:val="003115E5"/>
    <w:rsid w:val="00312F98"/>
    <w:rsid w:val="003130A6"/>
    <w:rsid w:val="0031409F"/>
    <w:rsid w:val="00314861"/>
    <w:rsid w:val="00314F6C"/>
    <w:rsid w:val="0031589D"/>
    <w:rsid w:val="003169F3"/>
    <w:rsid w:val="00316A95"/>
    <w:rsid w:val="0032067A"/>
    <w:rsid w:val="00322421"/>
    <w:rsid w:val="00322FFA"/>
    <w:rsid w:val="003277B1"/>
    <w:rsid w:val="00333209"/>
    <w:rsid w:val="0033355F"/>
    <w:rsid w:val="00333A7C"/>
    <w:rsid w:val="00334060"/>
    <w:rsid w:val="00335000"/>
    <w:rsid w:val="00337DD9"/>
    <w:rsid w:val="00337EA9"/>
    <w:rsid w:val="003403B4"/>
    <w:rsid w:val="00341B97"/>
    <w:rsid w:val="00342244"/>
    <w:rsid w:val="00344C4C"/>
    <w:rsid w:val="00347646"/>
    <w:rsid w:val="0035030D"/>
    <w:rsid w:val="00351983"/>
    <w:rsid w:val="00352309"/>
    <w:rsid w:val="003528A6"/>
    <w:rsid w:val="003548F1"/>
    <w:rsid w:val="00354DB5"/>
    <w:rsid w:val="00355DBC"/>
    <w:rsid w:val="00360253"/>
    <w:rsid w:val="00362175"/>
    <w:rsid w:val="0036702B"/>
    <w:rsid w:val="00367CD2"/>
    <w:rsid w:val="00372E64"/>
    <w:rsid w:val="0037510A"/>
    <w:rsid w:val="00377D17"/>
    <w:rsid w:val="00381139"/>
    <w:rsid w:val="003812BD"/>
    <w:rsid w:val="003849E4"/>
    <w:rsid w:val="003852D2"/>
    <w:rsid w:val="003879AC"/>
    <w:rsid w:val="00387B6B"/>
    <w:rsid w:val="00391FC5"/>
    <w:rsid w:val="003938E4"/>
    <w:rsid w:val="00394279"/>
    <w:rsid w:val="0039557D"/>
    <w:rsid w:val="003A0921"/>
    <w:rsid w:val="003A32C2"/>
    <w:rsid w:val="003A7283"/>
    <w:rsid w:val="003A76DA"/>
    <w:rsid w:val="003B18AF"/>
    <w:rsid w:val="003B1CEF"/>
    <w:rsid w:val="003B2F8A"/>
    <w:rsid w:val="003B7D04"/>
    <w:rsid w:val="003C601E"/>
    <w:rsid w:val="003D34A2"/>
    <w:rsid w:val="003D501E"/>
    <w:rsid w:val="003D55F2"/>
    <w:rsid w:val="003D7DE8"/>
    <w:rsid w:val="003E0C41"/>
    <w:rsid w:val="003E0DB7"/>
    <w:rsid w:val="003E264D"/>
    <w:rsid w:val="003E387D"/>
    <w:rsid w:val="003E3E1C"/>
    <w:rsid w:val="003E505F"/>
    <w:rsid w:val="003E55E1"/>
    <w:rsid w:val="003E64DD"/>
    <w:rsid w:val="003E6D15"/>
    <w:rsid w:val="003F05F7"/>
    <w:rsid w:val="003F0646"/>
    <w:rsid w:val="003F1513"/>
    <w:rsid w:val="003F2BF9"/>
    <w:rsid w:val="003F40AF"/>
    <w:rsid w:val="003F4883"/>
    <w:rsid w:val="003F5369"/>
    <w:rsid w:val="003F661B"/>
    <w:rsid w:val="003F6A72"/>
    <w:rsid w:val="004047DB"/>
    <w:rsid w:val="00406C1A"/>
    <w:rsid w:val="00407DCF"/>
    <w:rsid w:val="004205C6"/>
    <w:rsid w:val="00423646"/>
    <w:rsid w:val="00423C03"/>
    <w:rsid w:val="00425557"/>
    <w:rsid w:val="00425FB2"/>
    <w:rsid w:val="00426056"/>
    <w:rsid w:val="00426E5F"/>
    <w:rsid w:val="00430EFA"/>
    <w:rsid w:val="00434F4D"/>
    <w:rsid w:val="004370F7"/>
    <w:rsid w:val="00443F37"/>
    <w:rsid w:val="00445921"/>
    <w:rsid w:val="00446171"/>
    <w:rsid w:val="00446F96"/>
    <w:rsid w:val="004515B8"/>
    <w:rsid w:val="004539D8"/>
    <w:rsid w:val="00454DEB"/>
    <w:rsid w:val="00455EBF"/>
    <w:rsid w:val="0046305D"/>
    <w:rsid w:val="00464A02"/>
    <w:rsid w:val="0046670D"/>
    <w:rsid w:val="00466F47"/>
    <w:rsid w:val="004670A8"/>
    <w:rsid w:val="004709CF"/>
    <w:rsid w:val="00472420"/>
    <w:rsid w:val="00473818"/>
    <w:rsid w:val="00474399"/>
    <w:rsid w:val="00484178"/>
    <w:rsid w:val="00484E16"/>
    <w:rsid w:val="00485FFB"/>
    <w:rsid w:val="004878CC"/>
    <w:rsid w:val="00492BDF"/>
    <w:rsid w:val="00492F27"/>
    <w:rsid w:val="00496E62"/>
    <w:rsid w:val="004A146A"/>
    <w:rsid w:val="004A35C3"/>
    <w:rsid w:val="004A6D97"/>
    <w:rsid w:val="004B1B14"/>
    <w:rsid w:val="004B2044"/>
    <w:rsid w:val="004B2F52"/>
    <w:rsid w:val="004B3AE7"/>
    <w:rsid w:val="004C0073"/>
    <w:rsid w:val="004C2E0E"/>
    <w:rsid w:val="004C31F7"/>
    <w:rsid w:val="004C38E0"/>
    <w:rsid w:val="004C45CC"/>
    <w:rsid w:val="004C662E"/>
    <w:rsid w:val="004C717A"/>
    <w:rsid w:val="004D07D0"/>
    <w:rsid w:val="004D1B44"/>
    <w:rsid w:val="004D4C26"/>
    <w:rsid w:val="004D67F2"/>
    <w:rsid w:val="004E0B40"/>
    <w:rsid w:val="004E38E9"/>
    <w:rsid w:val="004E5392"/>
    <w:rsid w:val="004F03C7"/>
    <w:rsid w:val="004F2B5A"/>
    <w:rsid w:val="004F2CBE"/>
    <w:rsid w:val="004F3991"/>
    <w:rsid w:val="004F3C0C"/>
    <w:rsid w:val="004F70E9"/>
    <w:rsid w:val="0050341E"/>
    <w:rsid w:val="0050391B"/>
    <w:rsid w:val="00503FFA"/>
    <w:rsid w:val="00506738"/>
    <w:rsid w:val="00516AD5"/>
    <w:rsid w:val="005179F8"/>
    <w:rsid w:val="00521A23"/>
    <w:rsid w:val="0052524A"/>
    <w:rsid w:val="005255A0"/>
    <w:rsid w:val="00527906"/>
    <w:rsid w:val="00527C18"/>
    <w:rsid w:val="00532D2F"/>
    <w:rsid w:val="00534216"/>
    <w:rsid w:val="00534444"/>
    <w:rsid w:val="00534B1D"/>
    <w:rsid w:val="00535906"/>
    <w:rsid w:val="0054132C"/>
    <w:rsid w:val="0054164A"/>
    <w:rsid w:val="005416D6"/>
    <w:rsid w:val="00541D43"/>
    <w:rsid w:val="005436BE"/>
    <w:rsid w:val="005444DB"/>
    <w:rsid w:val="00544A83"/>
    <w:rsid w:val="00547B5B"/>
    <w:rsid w:val="0055581D"/>
    <w:rsid w:val="00556588"/>
    <w:rsid w:val="005577D3"/>
    <w:rsid w:val="00561779"/>
    <w:rsid w:val="00565213"/>
    <w:rsid w:val="0056736C"/>
    <w:rsid w:val="00567F1D"/>
    <w:rsid w:val="0057054F"/>
    <w:rsid w:val="005717F6"/>
    <w:rsid w:val="00572777"/>
    <w:rsid w:val="00575B64"/>
    <w:rsid w:val="005777D3"/>
    <w:rsid w:val="00582F32"/>
    <w:rsid w:val="00584BAE"/>
    <w:rsid w:val="00585330"/>
    <w:rsid w:val="005856D3"/>
    <w:rsid w:val="00585EC1"/>
    <w:rsid w:val="00586B0B"/>
    <w:rsid w:val="00591137"/>
    <w:rsid w:val="00592BAA"/>
    <w:rsid w:val="00597175"/>
    <w:rsid w:val="00597F07"/>
    <w:rsid w:val="005A0622"/>
    <w:rsid w:val="005A442E"/>
    <w:rsid w:val="005B0843"/>
    <w:rsid w:val="005B311F"/>
    <w:rsid w:val="005B333E"/>
    <w:rsid w:val="005B3784"/>
    <w:rsid w:val="005B432D"/>
    <w:rsid w:val="005B56FF"/>
    <w:rsid w:val="005B619A"/>
    <w:rsid w:val="005C2641"/>
    <w:rsid w:val="005D0F2B"/>
    <w:rsid w:val="005D1C0B"/>
    <w:rsid w:val="005D2A6D"/>
    <w:rsid w:val="005D48F9"/>
    <w:rsid w:val="005D6EAF"/>
    <w:rsid w:val="005D75AD"/>
    <w:rsid w:val="005E1293"/>
    <w:rsid w:val="005E3DB3"/>
    <w:rsid w:val="005E4BED"/>
    <w:rsid w:val="005E5BE5"/>
    <w:rsid w:val="005E7833"/>
    <w:rsid w:val="005F342F"/>
    <w:rsid w:val="005F3961"/>
    <w:rsid w:val="005F3FE9"/>
    <w:rsid w:val="006024C6"/>
    <w:rsid w:val="00602A3F"/>
    <w:rsid w:val="0060329D"/>
    <w:rsid w:val="00605145"/>
    <w:rsid w:val="00606ECD"/>
    <w:rsid w:val="00610D74"/>
    <w:rsid w:val="00612C17"/>
    <w:rsid w:val="00613267"/>
    <w:rsid w:val="0061348D"/>
    <w:rsid w:val="00617F25"/>
    <w:rsid w:val="00621B3E"/>
    <w:rsid w:val="00623514"/>
    <w:rsid w:val="00624024"/>
    <w:rsid w:val="006252DC"/>
    <w:rsid w:val="0062552F"/>
    <w:rsid w:val="0063560A"/>
    <w:rsid w:val="006434F3"/>
    <w:rsid w:val="006447B7"/>
    <w:rsid w:val="0064626E"/>
    <w:rsid w:val="00655138"/>
    <w:rsid w:val="00666B02"/>
    <w:rsid w:val="00667B83"/>
    <w:rsid w:val="00670C7E"/>
    <w:rsid w:val="00670F81"/>
    <w:rsid w:val="006757EB"/>
    <w:rsid w:val="0067656C"/>
    <w:rsid w:val="0067666B"/>
    <w:rsid w:val="0067694A"/>
    <w:rsid w:val="00676C95"/>
    <w:rsid w:val="00681F31"/>
    <w:rsid w:val="006824A9"/>
    <w:rsid w:val="006828FA"/>
    <w:rsid w:val="0068774E"/>
    <w:rsid w:val="00691BA0"/>
    <w:rsid w:val="00691E57"/>
    <w:rsid w:val="006924D7"/>
    <w:rsid w:val="00692862"/>
    <w:rsid w:val="006934F2"/>
    <w:rsid w:val="00693C26"/>
    <w:rsid w:val="00694BB8"/>
    <w:rsid w:val="006A0DC6"/>
    <w:rsid w:val="006A2042"/>
    <w:rsid w:val="006A3B0B"/>
    <w:rsid w:val="006A4D48"/>
    <w:rsid w:val="006A6A04"/>
    <w:rsid w:val="006B48A8"/>
    <w:rsid w:val="006B5AEC"/>
    <w:rsid w:val="006B5D6D"/>
    <w:rsid w:val="006B691D"/>
    <w:rsid w:val="006B7D99"/>
    <w:rsid w:val="006C0D00"/>
    <w:rsid w:val="006C0D97"/>
    <w:rsid w:val="006C18B3"/>
    <w:rsid w:val="006C3647"/>
    <w:rsid w:val="006D0066"/>
    <w:rsid w:val="006D6378"/>
    <w:rsid w:val="006D638F"/>
    <w:rsid w:val="006D7512"/>
    <w:rsid w:val="006E2CDB"/>
    <w:rsid w:val="006E5278"/>
    <w:rsid w:val="006E725E"/>
    <w:rsid w:val="006F0CBD"/>
    <w:rsid w:val="006F1847"/>
    <w:rsid w:val="006F5229"/>
    <w:rsid w:val="00702A82"/>
    <w:rsid w:val="007030E5"/>
    <w:rsid w:val="00705919"/>
    <w:rsid w:val="00705AF3"/>
    <w:rsid w:val="007062DE"/>
    <w:rsid w:val="007102F0"/>
    <w:rsid w:val="007134B1"/>
    <w:rsid w:val="00713A1C"/>
    <w:rsid w:val="007209A9"/>
    <w:rsid w:val="007212D9"/>
    <w:rsid w:val="0072488D"/>
    <w:rsid w:val="007263E9"/>
    <w:rsid w:val="007269FA"/>
    <w:rsid w:val="007279C8"/>
    <w:rsid w:val="00730B5F"/>
    <w:rsid w:val="00731B54"/>
    <w:rsid w:val="0073288B"/>
    <w:rsid w:val="0073692A"/>
    <w:rsid w:val="00736BD0"/>
    <w:rsid w:val="00736D04"/>
    <w:rsid w:val="00745437"/>
    <w:rsid w:val="00745BA7"/>
    <w:rsid w:val="0074674B"/>
    <w:rsid w:val="0074685C"/>
    <w:rsid w:val="0074737A"/>
    <w:rsid w:val="00753E6F"/>
    <w:rsid w:val="00754A72"/>
    <w:rsid w:val="007603D6"/>
    <w:rsid w:val="007621B1"/>
    <w:rsid w:val="007639AE"/>
    <w:rsid w:val="00767049"/>
    <w:rsid w:val="007676F0"/>
    <w:rsid w:val="007701D3"/>
    <w:rsid w:val="00770C9A"/>
    <w:rsid w:val="00772858"/>
    <w:rsid w:val="00773650"/>
    <w:rsid w:val="007736FB"/>
    <w:rsid w:val="00773D56"/>
    <w:rsid w:val="00775B8C"/>
    <w:rsid w:val="00777D30"/>
    <w:rsid w:val="007819DA"/>
    <w:rsid w:val="0078532B"/>
    <w:rsid w:val="00786AD6"/>
    <w:rsid w:val="007877C7"/>
    <w:rsid w:val="007923F8"/>
    <w:rsid w:val="00794553"/>
    <w:rsid w:val="007954DF"/>
    <w:rsid w:val="0079657A"/>
    <w:rsid w:val="00797012"/>
    <w:rsid w:val="00797CCB"/>
    <w:rsid w:val="00797D23"/>
    <w:rsid w:val="007A11C5"/>
    <w:rsid w:val="007A1F37"/>
    <w:rsid w:val="007A3E9F"/>
    <w:rsid w:val="007A4B49"/>
    <w:rsid w:val="007A5501"/>
    <w:rsid w:val="007A55D6"/>
    <w:rsid w:val="007A6523"/>
    <w:rsid w:val="007A746A"/>
    <w:rsid w:val="007A794F"/>
    <w:rsid w:val="007B0C64"/>
    <w:rsid w:val="007B1223"/>
    <w:rsid w:val="007B357A"/>
    <w:rsid w:val="007B3F27"/>
    <w:rsid w:val="007B41AE"/>
    <w:rsid w:val="007B61CF"/>
    <w:rsid w:val="007B622A"/>
    <w:rsid w:val="007C014B"/>
    <w:rsid w:val="007C763A"/>
    <w:rsid w:val="007C79DA"/>
    <w:rsid w:val="007D211F"/>
    <w:rsid w:val="007D277F"/>
    <w:rsid w:val="007D29D2"/>
    <w:rsid w:val="007D3987"/>
    <w:rsid w:val="007E665B"/>
    <w:rsid w:val="007E7FC3"/>
    <w:rsid w:val="007F1AC8"/>
    <w:rsid w:val="007F1CC4"/>
    <w:rsid w:val="007F1DAF"/>
    <w:rsid w:val="007F3204"/>
    <w:rsid w:val="007F3E03"/>
    <w:rsid w:val="007F4F14"/>
    <w:rsid w:val="007F7C1E"/>
    <w:rsid w:val="00811AA2"/>
    <w:rsid w:val="008138D0"/>
    <w:rsid w:val="008159F0"/>
    <w:rsid w:val="0081624F"/>
    <w:rsid w:val="0081692D"/>
    <w:rsid w:val="00821D9E"/>
    <w:rsid w:val="00821EAD"/>
    <w:rsid w:val="00822801"/>
    <w:rsid w:val="00822C89"/>
    <w:rsid w:val="00825C3F"/>
    <w:rsid w:val="0082615E"/>
    <w:rsid w:val="0082669B"/>
    <w:rsid w:val="00826D04"/>
    <w:rsid w:val="00827408"/>
    <w:rsid w:val="00831EFA"/>
    <w:rsid w:val="0083250C"/>
    <w:rsid w:val="00837FE2"/>
    <w:rsid w:val="00840B7D"/>
    <w:rsid w:val="00843B24"/>
    <w:rsid w:val="00843F02"/>
    <w:rsid w:val="00844F8E"/>
    <w:rsid w:val="00845C64"/>
    <w:rsid w:val="00846181"/>
    <w:rsid w:val="00851EA9"/>
    <w:rsid w:val="00852170"/>
    <w:rsid w:val="00854383"/>
    <w:rsid w:val="00855448"/>
    <w:rsid w:val="00856EED"/>
    <w:rsid w:val="0086053B"/>
    <w:rsid w:val="008636BA"/>
    <w:rsid w:val="008644B0"/>
    <w:rsid w:val="008667AD"/>
    <w:rsid w:val="00867052"/>
    <w:rsid w:val="008678A4"/>
    <w:rsid w:val="00871E3C"/>
    <w:rsid w:val="00874A35"/>
    <w:rsid w:val="008807A2"/>
    <w:rsid w:val="008839F4"/>
    <w:rsid w:val="0088488A"/>
    <w:rsid w:val="00886521"/>
    <w:rsid w:val="0089030E"/>
    <w:rsid w:val="00890401"/>
    <w:rsid w:val="00891074"/>
    <w:rsid w:val="0089116E"/>
    <w:rsid w:val="00891B68"/>
    <w:rsid w:val="00895FEF"/>
    <w:rsid w:val="008A33E0"/>
    <w:rsid w:val="008A44F1"/>
    <w:rsid w:val="008A5020"/>
    <w:rsid w:val="008A70C3"/>
    <w:rsid w:val="008A71E2"/>
    <w:rsid w:val="008A7D19"/>
    <w:rsid w:val="008B060B"/>
    <w:rsid w:val="008B5201"/>
    <w:rsid w:val="008B6ABD"/>
    <w:rsid w:val="008B7631"/>
    <w:rsid w:val="008B7CDF"/>
    <w:rsid w:val="008C0517"/>
    <w:rsid w:val="008C1108"/>
    <w:rsid w:val="008C4B82"/>
    <w:rsid w:val="008C6E7E"/>
    <w:rsid w:val="008D0F1B"/>
    <w:rsid w:val="008D62CC"/>
    <w:rsid w:val="008E279F"/>
    <w:rsid w:val="008E2C12"/>
    <w:rsid w:val="008E4E89"/>
    <w:rsid w:val="008E64A2"/>
    <w:rsid w:val="008E74C1"/>
    <w:rsid w:val="008F16C6"/>
    <w:rsid w:val="008F6EFD"/>
    <w:rsid w:val="008F7B5C"/>
    <w:rsid w:val="00900E3D"/>
    <w:rsid w:val="0090116B"/>
    <w:rsid w:val="00901BBF"/>
    <w:rsid w:val="0090249D"/>
    <w:rsid w:val="00903746"/>
    <w:rsid w:val="00907A57"/>
    <w:rsid w:val="009108F1"/>
    <w:rsid w:val="00910F15"/>
    <w:rsid w:val="00911505"/>
    <w:rsid w:val="00911EC1"/>
    <w:rsid w:val="0091474D"/>
    <w:rsid w:val="0091774A"/>
    <w:rsid w:val="009210C9"/>
    <w:rsid w:val="00921A76"/>
    <w:rsid w:val="00921DC8"/>
    <w:rsid w:val="00923F0B"/>
    <w:rsid w:val="00924DEB"/>
    <w:rsid w:val="00925E52"/>
    <w:rsid w:val="00925E7C"/>
    <w:rsid w:val="00926645"/>
    <w:rsid w:val="00931021"/>
    <w:rsid w:val="0093178D"/>
    <w:rsid w:val="00932467"/>
    <w:rsid w:val="00932AD2"/>
    <w:rsid w:val="00936B0B"/>
    <w:rsid w:val="00937CC3"/>
    <w:rsid w:val="00940A31"/>
    <w:rsid w:val="00941770"/>
    <w:rsid w:val="009442D0"/>
    <w:rsid w:val="00944E71"/>
    <w:rsid w:val="0094731A"/>
    <w:rsid w:val="00956CE4"/>
    <w:rsid w:val="00957019"/>
    <w:rsid w:val="0096522E"/>
    <w:rsid w:val="00965A02"/>
    <w:rsid w:val="00970BED"/>
    <w:rsid w:val="009720AF"/>
    <w:rsid w:val="00972E65"/>
    <w:rsid w:val="00973DFC"/>
    <w:rsid w:val="00974A7B"/>
    <w:rsid w:val="009750D7"/>
    <w:rsid w:val="00980E63"/>
    <w:rsid w:val="00981D2C"/>
    <w:rsid w:val="00982765"/>
    <w:rsid w:val="00982961"/>
    <w:rsid w:val="00985BDC"/>
    <w:rsid w:val="00985C91"/>
    <w:rsid w:val="0099087A"/>
    <w:rsid w:val="00991401"/>
    <w:rsid w:val="009918CF"/>
    <w:rsid w:val="00991D53"/>
    <w:rsid w:val="00992850"/>
    <w:rsid w:val="00993AE4"/>
    <w:rsid w:val="00993BF6"/>
    <w:rsid w:val="00997D52"/>
    <w:rsid w:val="009A0880"/>
    <w:rsid w:val="009A0F8C"/>
    <w:rsid w:val="009A43D1"/>
    <w:rsid w:val="009A44B1"/>
    <w:rsid w:val="009A6C24"/>
    <w:rsid w:val="009A6CBD"/>
    <w:rsid w:val="009A7754"/>
    <w:rsid w:val="009B19BE"/>
    <w:rsid w:val="009B3690"/>
    <w:rsid w:val="009B3DDB"/>
    <w:rsid w:val="009C2D6E"/>
    <w:rsid w:val="009C2DD7"/>
    <w:rsid w:val="009C6143"/>
    <w:rsid w:val="009D0D8D"/>
    <w:rsid w:val="009D0DFA"/>
    <w:rsid w:val="009D0E64"/>
    <w:rsid w:val="009D2184"/>
    <w:rsid w:val="009D2D48"/>
    <w:rsid w:val="009D4D73"/>
    <w:rsid w:val="009D5A5A"/>
    <w:rsid w:val="009D60A9"/>
    <w:rsid w:val="009D6759"/>
    <w:rsid w:val="009D7258"/>
    <w:rsid w:val="009D7D74"/>
    <w:rsid w:val="009E0152"/>
    <w:rsid w:val="009E0E2A"/>
    <w:rsid w:val="009E2DA0"/>
    <w:rsid w:val="009F03FB"/>
    <w:rsid w:val="009F1191"/>
    <w:rsid w:val="009F3FE9"/>
    <w:rsid w:val="009F6055"/>
    <w:rsid w:val="00A025EC"/>
    <w:rsid w:val="00A04164"/>
    <w:rsid w:val="00A04F3C"/>
    <w:rsid w:val="00A0575F"/>
    <w:rsid w:val="00A070DE"/>
    <w:rsid w:val="00A0746A"/>
    <w:rsid w:val="00A15BC5"/>
    <w:rsid w:val="00A164C6"/>
    <w:rsid w:val="00A17C4B"/>
    <w:rsid w:val="00A2168F"/>
    <w:rsid w:val="00A22FE5"/>
    <w:rsid w:val="00A237C1"/>
    <w:rsid w:val="00A242A7"/>
    <w:rsid w:val="00A24535"/>
    <w:rsid w:val="00A26B27"/>
    <w:rsid w:val="00A3049F"/>
    <w:rsid w:val="00A30DD3"/>
    <w:rsid w:val="00A35A61"/>
    <w:rsid w:val="00A35B41"/>
    <w:rsid w:val="00A36BDE"/>
    <w:rsid w:val="00A37135"/>
    <w:rsid w:val="00A371D7"/>
    <w:rsid w:val="00A40E51"/>
    <w:rsid w:val="00A465D3"/>
    <w:rsid w:val="00A46C74"/>
    <w:rsid w:val="00A47D4E"/>
    <w:rsid w:val="00A50013"/>
    <w:rsid w:val="00A55326"/>
    <w:rsid w:val="00A557DC"/>
    <w:rsid w:val="00A55A97"/>
    <w:rsid w:val="00A55CC7"/>
    <w:rsid w:val="00A55FB4"/>
    <w:rsid w:val="00A56015"/>
    <w:rsid w:val="00A57386"/>
    <w:rsid w:val="00A6014F"/>
    <w:rsid w:val="00A62010"/>
    <w:rsid w:val="00A66EF5"/>
    <w:rsid w:val="00A7105E"/>
    <w:rsid w:val="00A71752"/>
    <w:rsid w:val="00A71B37"/>
    <w:rsid w:val="00A770C0"/>
    <w:rsid w:val="00A77328"/>
    <w:rsid w:val="00A7773D"/>
    <w:rsid w:val="00A810BB"/>
    <w:rsid w:val="00A8268E"/>
    <w:rsid w:val="00A83B3B"/>
    <w:rsid w:val="00A84173"/>
    <w:rsid w:val="00A84925"/>
    <w:rsid w:val="00A877F0"/>
    <w:rsid w:val="00A92DF1"/>
    <w:rsid w:val="00A93172"/>
    <w:rsid w:val="00A94032"/>
    <w:rsid w:val="00A95BD4"/>
    <w:rsid w:val="00A97383"/>
    <w:rsid w:val="00AA020A"/>
    <w:rsid w:val="00AA227A"/>
    <w:rsid w:val="00AB122E"/>
    <w:rsid w:val="00AB4D4F"/>
    <w:rsid w:val="00AB786C"/>
    <w:rsid w:val="00AC0122"/>
    <w:rsid w:val="00AC0160"/>
    <w:rsid w:val="00AC1510"/>
    <w:rsid w:val="00AC4248"/>
    <w:rsid w:val="00AC5072"/>
    <w:rsid w:val="00AC7DB6"/>
    <w:rsid w:val="00AD2E9D"/>
    <w:rsid w:val="00AD4FC3"/>
    <w:rsid w:val="00AD6B8C"/>
    <w:rsid w:val="00AD6C71"/>
    <w:rsid w:val="00AE1E91"/>
    <w:rsid w:val="00AE435A"/>
    <w:rsid w:val="00AE43A4"/>
    <w:rsid w:val="00AE4A3D"/>
    <w:rsid w:val="00AE66FF"/>
    <w:rsid w:val="00AE7475"/>
    <w:rsid w:val="00AF07CD"/>
    <w:rsid w:val="00AF0B33"/>
    <w:rsid w:val="00AF1235"/>
    <w:rsid w:val="00AF390B"/>
    <w:rsid w:val="00B002DA"/>
    <w:rsid w:val="00B0086E"/>
    <w:rsid w:val="00B018B8"/>
    <w:rsid w:val="00B025D3"/>
    <w:rsid w:val="00B0378B"/>
    <w:rsid w:val="00B05118"/>
    <w:rsid w:val="00B05720"/>
    <w:rsid w:val="00B05B9A"/>
    <w:rsid w:val="00B0630B"/>
    <w:rsid w:val="00B0686B"/>
    <w:rsid w:val="00B0738E"/>
    <w:rsid w:val="00B07D3C"/>
    <w:rsid w:val="00B13121"/>
    <w:rsid w:val="00B152E0"/>
    <w:rsid w:val="00B15FB2"/>
    <w:rsid w:val="00B20EC3"/>
    <w:rsid w:val="00B2146A"/>
    <w:rsid w:val="00B2179E"/>
    <w:rsid w:val="00B249D2"/>
    <w:rsid w:val="00B24D8C"/>
    <w:rsid w:val="00B24F43"/>
    <w:rsid w:val="00B27503"/>
    <w:rsid w:val="00B27D79"/>
    <w:rsid w:val="00B30C3F"/>
    <w:rsid w:val="00B320D4"/>
    <w:rsid w:val="00B36641"/>
    <w:rsid w:val="00B366E0"/>
    <w:rsid w:val="00B37BAC"/>
    <w:rsid w:val="00B415A8"/>
    <w:rsid w:val="00B41CA1"/>
    <w:rsid w:val="00B45121"/>
    <w:rsid w:val="00B4520E"/>
    <w:rsid w:val="00B4578F"/>
    <w:rsid w:val="00B474B6"/>
    <w:rsid w:val="00B53762"/>
    <w:rsid w:val="00B55CBF"/>
    <w:rsid w:val="00B55F29"/>
    <w:rsid w:val="00B57DB6"/>
    <w:rsid w:val="00B63F3C"/>
    <w:rsid w:val="00B652AC"/>
    <w:rsid w:val="00B6661C"/>
    <w:rsid w:val="00B679CB"/>
    <w:rsid w:val="00B7314D"/>
    <w:rsid w:val="00B732CA"/>
    <w:rsid w:val="00B739BC"/>
    <w:rsid w:val="00B74AF1"/>
    <w:rsid w:val="00B74BA8"/>
    <w:rsid w:val="00B76749"/>
    <w:rsid w:val="00B76B4D"/>
    <w:rsid w:val="00B77278"/>
    <w:rsid w:val="00B80659"/>
    <w:rsid w:val="00B81E77"/>
    <w:rsid w:val="00B822FF"/>
    <w:rsid w:val="00B82440"/>
    <w:rsid w:val="00B838C0"/>
    <w:rsid w:val="00B85456"/>
    <w:rsid w:val="00B854B7"/>
    <w:rsid w:val="00B8621F"/>
    <w:rsid w:val="00B86555"/>
    <w:rsid w:val="00B87F79"/>
    <w:rsid w:val="00B90615"/>
    <w:rsid w:val="00B911EE"/>
    <w:rsid w:val="00B91736"/>
    <w:rsid w:val="00BA03E3"/>
    <w:rsid w:val="00BA1DF8"/>
    <w:rsid w:val="00BA481C"/>
    <w:rsid w:val="00BA58CF"/>
    <w:rsid w:val="00BA5A34"/>
    <w:rsid w:val="00BA7073"/>
    <w:rsid w:val="00BB06C6"/>
    <w:rsid w:val="00BB089D"/>
    <w:rsid w:val="00BB1055"/>
    <w:rsid w:val="00BB217B"/>
    <w:rsid w:val="00BB2955"/>
    <w:rsid w:val="00BB56DB"/>
    <w:rsid w:val="00BC06F1"/>
    <w:rsid w:val="00BC1EC3"/>
    <w:rsid w:val="00BC1FD3"/>
    <w:rsid w:val="00BC26D6"/>
    <w:rsid w:val="00BC3C2F"/>
    <w:rsid w:val="00BC3EE9"/>
    <w:rsid w:val="00BC6FC4"/>
    <w:rsid w:val="00BD1A72"/>
    <w:rsid w:val="00BD51C7"/>
    <w:rsid w:val="00BD5BE4"/>
    <w:rsid w:val="00BE50F6"/>
    <w:rsid w:val="00BE7E31"/>
    <w:rsid w:val="00BF0510"/>
    <w:rsid w:val="00BF4596"/>
    <w:rsid w:val="00BF7D78"/>
    <w:rsid w:val="00C001D2"/>
    <w:rsid w:val="00C025ED"/>
    <w:rsid w:val="00C03728"/>
    <w:rsid w:val="00C11F80"/>
    <w:rsid w:val="00C14502"/>
    <w:rsid w:val="00C15213"/>
    <w:rsid w:val="00C164D3"/>
    <w:rsid w:val="00C1709A"/>
    <w:rsid w:val="00C171D3"/>
    <w:rsid w:val="00C20377"/>
    <w:rsid w:val="00C205A1"/>
    <w:rsid w:val="00C24F53"/>
    <w:rsid w:val="00C26350"/>
    <w:rsid w:val="00C27039"/>
    <w:rsid w:val="00C27B53"/>
    <w:rsid w:val="00C302B5"/>
    <w:rsid w:val="00C31C45"/>
    <w:rsid w:val="00C31E67"/>
    <w:rsid w:val="00C3420C"/>
    <w:rsid w:val="00C3695F"/>
    <w:rsid w:val="00C40C74"/>
    <w:rsid w:val="00C41340"/>
    <w:rsid w:val="00C42246"/>
    <w:rsid w:val="00C43A07"/>
    <w:rsid w:val="00C46ADF"/>
    <w:rsid w:val="00C47C43"/>
    <w:rsid w:val="00C50E54"/>
    <w:rsid w:val="00C53918"/>
    <w:rsid w:val="00C546D4"/>
    <w:rsid w:val="00C55D50"/>
    <w:rsid w:val="00C55D6C"/>
    <w:rsid w:val="00C57A13"/>
    <w:rsid w:val="00C60ACB"/>
    <w:rsid w:val="00C62AD5"/>
    <w:rsid w:val="00C62EB7"/>
    <w:rsid w:val="00C6351E"/>
    <w:rsid w:val="00C64C5B"/>
    <w:rsid w:val="00C6597C"/>
    <w:rsid w:val="00C662A2"/>
    <w:rsid w:val="00C7686C"/>
    <w:rsid w:val="00C81142"/>
    <w:rsid w:val="00C81242"/>
    <w:rsid w:val="00C825FC"/>
    <w:rsid w:val="00C82CDC"/>
    <w:rsid w:val="00C82FDD"/>
    <w:rsid w:val="00C861B2"/>
    <w:rsid w:val="00C90E31"/>
    <w:rsid w:val="00C91075"/>
    <w:rsid w:val="00C9274A"/>
    <w:rsid w:val="00C94CF7"/>
    <w:rsid w:val="00C94D09"/>
    <w:rsid w:val="00C9500E"/>
    <w:rsid w:val="00C97801"/>
    <w:rsid w:val="00C97811"/>
    <w:rsid w:val="00CA0980"/>
    <w:rsid w:val="00CA1D10"/>
    <w:rsid w:val="00CB1C11"/>
    <w:rsid w:val="00CB1DD1"/>
    <w:rsid w:val="00CB3430"/>
    <w:rsid w:val="00CB6FCB"/>
    <w:rsid w:val="00CB7C1D"/>
    <w:rsid w:val="00CC33E4"/>
    <w:rsid w:val="00CC467A"/>
    <w:rsid w:val="00CC5211"/>
    <w:rsid w:val="00CC569E"/>
    <w:rsid w:val="00CC6D59"/>
    <w:rsid w:val="00CD02B6"/>
    <w:rsid w:val="00CD235E"/>
    <w:rsid w:val="00CD2794"/>
    <w:rsid w:val="00CD32D7"/>
    <w:rsid w:val="00CD50B5"/>
    <w:rsid w:val="00CD694D"/>
    <w:rsid w:val="00CD711C"/>
    <w:rsid w:val="00CD7C5F"/>
    <w:rsid w:val="00CD7CB0"/>
    <w:rsid w:val="00CE27FE"/>
    <w:rsid w:val="00CF068A"/>
    <w:rsid w:val="00CF0B6C"/>
    <w:rsid w:val="00CF0C8D"/>
    <w:rsid w:val="00CF1200"/>
    <w:rsid w:val="00CF2C48"/>
    <w:rsid w:val="00CF6256"/>
    <w:rsid w:val="00CF7B03"/>
    <w:rsid w:val="00D0085A"/>
    <w:rsid w:val="00D02872"/>
    <w:rsid w:val="00D031AB"/>
    <w:rsid w:val="00D03740"/>
    <w:rsid w:val="00D14A4B"/>
    <w:rsid w:val="00D16457"/>
    <w:rsid w:val="00D16F77"/>
    <w:rsid w:val="00D215F8"/>
    <w:rsid w:val="00D22AA0"/>
    <w:rsid w:val="00D22C8B"/>
    <w:rsid w:val="00D25FC9"/>
    <w:rsid w:val="00D26CFA"/>
    <w:rsid w:val="00D30AE7"/>
    <w:rsid w:val="00D33DBF"/>
    <w:rsid w:val="00D403EE"/>
    <w:rsid w:val="00D418B7"/>
    <w:rsid w:val="00D4218F"/>
    <w:rsid w:val="00D435AE"/>
    <w:rsid w:val="00D450B4"/>
    <w:rsid w:val="00D4609E"/>
    <w:rsid w:val="00D46612"/>
    <w:rsid w:val="00D46F6C"/>
    <w:rsid w:val="00D515D8"/>
    <w:rsid w:val="00D52083"/>
    <w:rsid w:val="00D528BB"/>
    <w:rsid w:val="00D55887"/>
    <w:rsid w:val="00D55CD8"/>
    <w:rsid w:val="00D5651A"/>
    <w:rsid w:val="00D60834"/>
    <w:rsid w:val="00D63188"/>
    <w:rsid w:val="00D631AB"/>
    <w:rsid w:val="00D66530"/>
    <w:rsid w:val="00D66533"/>
    <w:rsid w:val="00D67CB1"/>
    <w:rsid w:val="00D74A55"/>
    <w:rsid w:val="00D75DBF"/>
    <w:rsid w:val="00D76CE7"/>
    <w:rsid w:val="00D7748B"/>
    <w:rsid w:val="00D778D2"/>
    <w:rsid w:val="00D81572"/>
    <w:rsid w:val="00D8189E"/>
    <w:rsid w:val="00D82B34"/>
    <w:rsid w:val="00D8344D"/>
    <w:rsid w:val="00D83E04"/>
    <w:rsid w:val="00D84482"/>
    <w:rsid w:val="00D865FE"/>
    <w:rsid w:val="00D86D0D"/>
    <w:rsid w:val="00D9101D"/>
    <w:rsid w:val="00D91256"/>
    <w:rsid w:val="00D913A1"/>
    <w:rsid w:val="00D9217A"/>
    <w:rsid w:val="00D9339B"/>
    <w:rsid w:val="00D9688A"/>
    <w:rsid w:val="00D97AB8"/>
    <w:rsid w:val="00DB1225"/>
    <w:rsid w:val="00DB247F"/>
    <w:rsid w:val="00DB318F"/>
    <w:rsid w:val="00DB35F9"/>
    <w:rsid w:val="00DB3D26"/>
    <w:rsid w:val="00DB42F3"/>
    <w:rsid w:val="00DB75C3"/>
    <w:rsid w:val="00DB79F9"/>
    <w:rsid w:val="00DC365A"/>
    <w:rsid w:val="00DC3CF3"/>
    <w:rsid w:val="00DC52EC"/>
    <w:rsid w:val="00DC6F9F"/>
    <w:rsid w:val="00DD3D84"/>
    <w:rsid w:val="00DD4BD5"/>
    <w:rsid w:val="00DD64D6"/>
    <w:rsid w:val="00DE1F9F"/>
    <w:rsid w:val="00DE38DA"/>
    <w:rsid w:val="00DF04B3"/>
    <w:rsid w:val="00DF468B"/>
    <w:rsid w:val="00DF4975"/>
    <w:rsid w:val="00DF5988"/>
    <w:rsid w:val="00DF6541"/>
    <w:rsid w:val="00DF7341"/>
    <w:rsid w:val="00E0042F"/>
    <w:rsid w:val="00E01027"/>
    <w:rsid w:val="00E0640A"/>
    <w:rsid w:val="00E13872"/>
    <w:rsid w:val="00E15118"/>
    <w:rsid w:val="00E17B06"/>
    <w:rsid w:val="00E20A24"/>
    <w:rsid w:val="00E21FBC"/>
    <w:rsid w:val="00E2439C"/>
    <w:rsid w:val="00E2479D"/>
    <w:rsid w:val="00E24BB5"/>
    <w:rsid w:val="00E24DE5"/>
    <w:rsid w:val="00E25BB0"/>
    <w:rsid w:val="00E2766C"/>
    <w:rsid w:val="00E27924"/>
    <w:rsid w:val="00E30B8F"/>
    <w:rsid w:val="00E34F39"/>
    <w:rsid w:val="00E41B7B"/>
    <w:rsid w:val="00E43370"/>
    <w:rsid w:val="00E44B12"/>
    <w:rsid w:val="00E5264E"/>
    <w:rsid w:val="00E545E6"/>
    <w:rsid w:val="00E55E41"/>
    <w:rsid w:val="00E560A9"/>
    <w:rsid w:val="00E61582"/>
    <w:rsid w:val="00E61DAA"/>
    <w:rsid w:val="00E61E1D"/>
    <w:rsid w:val="00E65398"/>
    <w:rsid w:val="00E66652"/>
    <w:rsid w:val="00E6680C"/>
    <w:rsid w:val="00E67782"/>
    <w:rsid w:val="00E713CE"/>
    <w:rsid w:val="00E71D97"/>
    <w:rsid w:val="00E7201C"/>
    <w:rsid w:val="00E75DF7"/>
    <w:rsid w:val="00E76D38"/>
    <w:rsid w:val="00E80873"/>
    <w:rsid w:val="00E8182A"/>
    <w:rsid w:val="00E844D2"/>
    <w:rsid w:val="00E85311"/>
    <w:rsid w:val="00E854FB"/>
    <w:rsid w:val="00E86DC9"/>
    <w:rsid w:val="00E9050F"/>
    <w:rsid w:val="00E954A3"/>
    <w:rsid w:val="00E959BA"/>
    <w:rsid w:val="00E97FEB"/>
    <w:rsid w:val="00EA0294"/>
    <w:rsid w:val="00EA16DB"/>
    <w:rsid w:val="00EA341F"/>
    <w:rsid w:val="00EA3554"/>
    <w:rsid w:val="00EA526A"/>
    <w:rsid w:val="00EA5ABB"/>
    <w:rsid w:val="00EA689B"/>
    <w:rsid w:val="00EB365F"/>
    <w:rsid w:val="00EB3E35"/>
    <w:rsid w:val="00EB4160"/>
    <w:rsid w:val="00EB478A"/>
    <w:rsid w:val="00EB5AF3"/>
    <w:rsid w:val="00EB5FD2"/>
    <w:rsid w:val="00EB6152"/>
    <w:rsid w:val="00EC25B0"/>
    <w:rsid w:val="00EC4D16"/>
    <w:rsid w:val="00EC56BE"/>
    <w:rsid w:val="00EC7786"/>
    <w:rsid w:val="00ED0C14"/>
    <w:rsid w:val="00ED3E2D"/>
    <w:rsid w:val="00ED471C"/>
    <w:rsid w:val="00ED5C70"/>
    <w:rsid w:val="00EE1952"/>
    <w:rsid w:val="00EE78AA"/>
    <w:rsid w:val="00EF1114"/>
    <w:rsid w:val="00EF3EED"/>
    <w:rsid w:val="00EF4696"/>
    <w:rsid w:val="00EF52CA"/>
    <w:rsid w:val="00F007C7"/>
    <w:rsid w:val="00F01F81"/>
    <w:rsid w:val="00F0425A"/>
    <w:rsid w:val="00F04CF1"/>
    <w:rsid w:val="00F0503D"/>
    <w:rsid w:val="00F068AF"/>
    <w:rsid w:val="00F10451"/>
    <w:rsid w:val="00F127D2"/>
    <w:rsid w:val="00F13F08"/>
    <w:rsid w:val="00F14818"/>
    <w:rsid w:val="00F171A1"/>
    <w:rsid w:val="00F17B39"/>
    <w:rsid w:val="00F17CBD"/>
    <w:rsid w:val="00F21C3A"/>
    <w:rsid w:val="00F229E2"/>
    <w:rsid w:val="00F23572"/>
    <w:rsid w:val="00F243AA"/>
    <w:rsid w:val="00F266A0"/>
    <w:rsid w:val="00F30D29"/>
    <w:rsid w:val="00F32AB8"/>
    <w:rsid w:val="00F3413D"/>
    <w:rsid w:val="00F355CF"/>
    <w:rsid w:val="00F36108"/>
    <w:rsid w:val="00F508D4"/>
    <w:rsid w:val="00F50934"/>
    <w:rsid w:val="00F52474"/>
    <w:rsid w:val="00F5265A"/>
    <w:rsid w:val="00F546D7"/>
    <w:rsid w:val="00F548C9"/>
    <w:rsid w:val="00F551B7"/>
    <w:rsid w:val="00F555BE"/>
    <w:rsid w:val="00F56D5E"/>
    <w:rsid w:val="00F5766C"/>
    <w:rsid w:val="00F57AA7"/>
    <w:rsid w:val="00F57B2D"/>
    <w:rsid w:val="00F60118"/>
    <w:rsid w:val="00F60DB8"/>
    <w:rsid w:val="00F61255"/>
    <w:rsid w:val="00F614FE"/>
    <w:rsid w:val="00F617BA"/>
    <w:rsid w:val="00F643B5"/>
    <w:rsid w:val="00F66EE8"/>
    <w:rsid w:val="00F7159F"/>
    <w:rsid w:val="00F73A6D"/>
    <w:rsid w:val="00F75247"/>
    <w:rsid w:val="00F757B0"/>
    <w:rsid w:val="00F75B5D"/>
    <w:rsid w:val="00F77E6C"/>
    <w:rsid w:val="00F82746"/>
    <w:rsid w:val="00F841C5"/>
    <w:rsid w:val="00F87C91"/>
    <w:rsid w:val="00F90329"/>
    <w:rsid w:val="00F91FE6"/>
    <w:rsid w:val="00F92858"/>
    <w:rsid w:val="00F92C28"/>
    <w:rsid w:val="00F939B1"/>
    <w:rsid w:val="00F93F9F"/>
    <w:rsid w:val="00F963B3"/>
    <w:rsid w:val="00F97674"/>
    <w:rsid w:val="00FA1231"/>
    <w:rsid w:val="00FA284B"/>
    <w:rsid w:val="00FA3796"/>
    <w:rsid w:val="00FA3F5D"/>
    <w:rsid w:val="00FA4174"/>
    <w:rsid w:val="00FA6E78"/>
    <w:rsid w:val="00FB1E01"/>
    <w:rsid w:val="00FB1EDC"/>
    <w:rsid w:val="00FB3F6A"/>
    <w:rsid w:val="00FB4D53"/>
    <w:rsid w:val="00FC07C8"/>
    <w:rsid w:val="00FC1246"/>
    <w:rsid w:val="00FC1433"/>
    <w:rsid w:val="00FC239A"/>
    <w:rsid w:val="00FC2704"/>
    <w:rsid w:val="00FC3DB2"/>
    <w:rsid w:val="00FC6E26"/>
    <w:rsid w:val="00FD3297"/>
    <w:rsid w:val="00FD36EE"/>
    <w:rsid w:val="00FD3813"/>
    <w:rsid w:val="00FD5405"/>
    <w:rsid w:val="00FD780D"/>
    <w:rsid w:val="00FE2C19"/>
    <w:rsid w:val="00FF044A"/>
    <w:rsid w:val="00FF24DD"/>
    <w:rsid w:val="00FF25FE"/>
    <w:rsid w:val="00FF55EB"/>
    <w:rsid w:val="00FF5AA7"/>
    <w:rsid w:val="00FF6547"/>
    <w:rsid w:val="00FF6B9F"/>
    <w:rsid w:val="00FF7261"/>
    <w:rsid w:val="12C6602B"/>
    <w:rsid w:val="150A04E7"/>
    <w:rsid w:val="15A10189"/>
    <w:rsid w:val="24A3267C"/>
    <w:rsid w:val="29C60960"/>
    <w:rsid w:val="29F23F07"/>
    <w:rsid w:val="2FB13E9F"/>
    <w:rsid w:val="302F2063"/>
    <w:rsid w:val="36A47D8D"/>
    <w:rsid w:val="3AAC5462"/>
    <w:rsid w:val="48561B3A"/>
    <w:rsid w:val="491D78BA"/>
    <w:rsid w:val="553359F6"/>
    <w:rsid w:val="55EF09CE"/>
    <w:rsid w:val="5E6D6B33"/>
    <w:rsid w:val="64CE30A0"/>
    <w:rsid w:val="66604799"/>
    <w:rsid w:val="6A5A0CDB"/>
    <w:rsid w:val="6A8B2B76"/>
    <w:rsid w:val="6C0827A9"/>
    <w:rsid w:val="6EBA74B5"/>
    <w:rsid w:val="79E1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qFormat="1" w:unhideWhenUsed="0" w:uiPriority="0" w:semiHidden="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9"/>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3">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qFormat/>
    <w:uiPriority w:val="0"/>
    <w:pPr>
      <w:jc w:val="left"/>
    </w:pPr>
  </w:style>
  <w:style w:type="paragraph" w:styleId="4">
    <w:name w:val="Date"/>
    <w:basedOn w:val="1"/>
    <w:next w:val="1"/>
    <w:qFormat/>
    <w:uiPriority w:val="0"/>
    <w:pPr>
      <w:ind w:left="100" w:leftChars="2500"/>
    </w:pPr>
    <w:rPr>
      <w:rFonts w:eastAsia="楷体_GB2312"/>
      <w:b/>
      <w:bCs/>
      <w:sz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after="120"/>
      <w:ind w:left="420" w:leftChars="200"/>
    </w:pPr>
    <w:rPr>
      <w:sz w:val="16"/>
      <w:szCs w:val="16"/>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Table Simple 1"/>
    <w:basedOn w:val="9"/>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2">
    <w:name w:val="Table Grid 3"/>
    <w:basedOn w:val="9"/>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14">
    <w:name w:val="Strong"/>
    <w:basedOn w:val="13"/>
    <w:qFormat/>
    <w:uiPriority w:val="0"/>
    <w:rPr>
      <w:b/>
      <w:bCs/>
    </w:rPr>
  </w:style>
  <w:style w:type="character" w:styleId="15">
    <w:name w:val="annotation reference"/>
    <w:basedOn w:val="13"/>
    <w:semiHidden/>
    <w:qFormat/>
    <w:uiPriority w:val="0"/>
    <w:rPr>
      <w:sz w:val="21"/>
      <w:szCs w:val="21"/>
    </w:rPr>
  </w:style>
  <w:style w:type="paragraph" w:customStyle="1" w:styleId="16">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table" w:customStyle="1" w:styleId="17">
    <w:name w:val="模板型"/>
    <w:basedOn w:val="11"/>
    <w:qFormat/>
    <w:uiPriority w:val="0"/>
    <w:rPr>
      <w:rFonts w:eastAsia="楷体_GB2312"/>
      <w:sz w:val="18"/>
      <w:szCs w:val="18"/>
    </w:r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paragraph" w:customStyle="1" w:styleId="18">
    <w:name w:val="A1内文一级标题"/>
    <w:basedOn w:val="1"/>
    <w:qFormat/>
    <w:uiPriority w:val="0"/>
    <w:pPr>
      <w:spacing w:before="312" w:beforeLines="100"/>
      <w:ind w:firstLine="411" w:firstLineChars="128"/>
    </w:pPr>
    <w:rPr>
      <w:rFonts w:ascii="Arial" w:hAnsi="Arial" w:eastAsia="楷体_GB2312" w:cs="Arial"/>
      <w:b/>
      <w:bCs/>
      <w:sz w:val="32"/>
    </w:rPr>
  </w:style>
  <w:style w:type="paragraph" w:customStyle="1" w:styleId="19">
    <w:name w:val="A2内文二级标题"/>
    <w:basedOn w:val="1"/>
    <w:qFormat/>
    <w:uiPriority w:val="0"/>
    <w:pPr>
      <w:spacing w:before="156" w:beforeLines="50"/>
      <w:ind w:firstLine="358" w:firstLineChars="162"/>
    </w:pPr>
    <w:rPr>
      <w:rFonts w:ascii="Arial" w:hAnsi="Arial" w:eastAsia="楷体_GB2312" w:cs="Arial"/>
      <w:b/>
      <w:sz w:val="22"/>
    </w:rPr>
  </w:style>
  <w:style w:type="paragraph" w:customStyle="1" w:styleId="20">
    <w:name w:val="A4内文"/>
    <w:basedOn w:val="1"/>
    <w:qFormat/>
    <w:uiPriority w:val="0"/>
    <w:pPr>
      <w:spacing w:before="62" w:beforeLines="20" w:line="280" w:lineRule="exact"/>
      <w:ind w:firstLine="384" w:firstLineChars="200"/>
    </w:pPr>
    <w:rPr>
      <w:rFonts w:eastAsia="楷体_GB2312" w:cs="Arial"/>
      <w:color w:val="000000"/>
      <w:spacing w:val="-4"/>
      <w:sz w:val="20"/>
    </w:rPr>
  </w:style>
  <w:style w:type="paragraph" w:customStyle="1" w:styleId="21">
    <w:name w:val="B1内文表格标题"/>
    <w:basedOn w:val="1"/>
    <w:qFormat/>
    <w:uiPriority w:val="0"/>
    <w:rPr>
      <w:rFonts w:eastAsia="楷体_GB2312"/>
      <w:b/>
      <w:bCs/>
      <w:sz w:val="18"/>
      <w:szCs w:val="21"/>
    </w:rPr>
  </w:style>
  <w:style w:type="paragraph" w:customStyle="1" w:styleId="22">
    <w:name w:val="B3内文表格内容"/>
    <w:basedOn w:val="1"/>
    <w:qFormat/>
    <w:uiPriority w:val="0"/>
    <w:pPr>
      <w:spacing w:line="0" w:lineRule="atLeast"/>
    </w:pPr>
    <w:rPr>
      <w:rFonts w:ascii="Arial" w:hAnsi="Arial" w:eastAsia="楷体_GB2312" w:cs="Arial"/>
      <w:sz w:val="15"/>
      <w:szCs w:val="15"/>
    </w:rPr>
  </w:style>
  <w:style w:type="paragraph" w:customStyle="1" w:styleId="23">
    <w:name w:val="内文图表脚注"/>
    <w:basedOn w:val="1"/>
    <w:qFormat/>
    <w:uiPriority w:val="0"/>
    <w:rPr>
      <w:rFonts w:eastAsia="楷体_GB2312"/>
      <w:color w:val="000000"/>
      <w:sz w:val="15"/>
    </w:rPr>
  </w:style>
  <w:style w:type="paragraph" w:customStyle="1" w:styleId="24">
    <w:name w:val="Char Char Char1 Char Char Char Char Char Char Char Char Char Char Char Char Char Char Char Char Char Char Char Char Char Char Char Char Char"/>
    <w:basedOn w:val="1"/>
    <w:qFormat/>
    <w:uiPriority w:val="0"/>
    <w:rPr>
      <w:rFonts w:ascii="Tahoma" w:hAnsi="Tahoma"/>
      <w:sz w:val="24"/>
      <w:szCs w:val="20"/>
    </w:rPr>
  </w:style>
  <w:style w:type="paragraph" w:customStyle="1" w:styleId="25">
    <w:name w:val="B1内文图表标题"/>
    <w:basedOn w:val="1"/>
    <w:qFormat/>
    <w:uiPriority w:val="0"/>
    <w:pPr>
      <w:spacing w:line="240" w:lineRule="exact"/>
    </w:pPr>
    <w:rPr>
      <w:rFonts w:ascii="楷体_GB2312" w:eastAsia="楷体_GB2312"/>
      <w:b/>
      <w:bCs/>
      <w:spacing w:val="-4"/>
      <w:sz w:val="18"/>
      <w:szCs w:val="21"/>
    </w:rPr>
  </w:style>
  <w:style w:type="paragraph" w:customStyle="1" w:styleId="26">
    <w:name w:val="Plain Text1"/>
    <w:basedOn w:val="1"/>
    <w:qFormat/>
    <w:uiPriority w:val="0"/>
    <w:pPr>
      <w:adjustRightInd w:val="0"/>
      <w:textAlignment w:val="baseline"/>
    </w:pPr>
    <w:rPr>
      <w:rFonts w:ascii="宋体" w:hAnsi="Courier New"/>
      <w:szCs w:val="20"/>
    </w:rPr>
  </w:style>
  <w:style w:type="paragraph" w:customStyle="1" w:styleId="27">
    <w:name w:val="A图表前内文"/>
    <w:basedOn w:val="20"/>
    <w:qFormat/>
    <w:uiPriority w:val="0"/>
    <w:pPr>
      <w:spacing w:before="20" w:after="50" w:afterLines="50"/>
      <w:ind w:firstLine="200"/>
    </w:pPr>
    <w:rPr>
      <w:rFonts w:ascii="Arial" w:hAnsi="Arial"/>
      <w:kern w:val="0"/>
    </w:rPr>
  </w:style>
  <w:style w:type="character" w:customStyle="1" w:styleId="28">
    <w:name w:val="big1"/>
    <w:basedOn w:val="13"/>
    <w:qFormat/>
    <w:uiPriority w:val="0"/>
    <w:rPr>
      <w:sz w:val="22"/>
      <w:szCs w:val="22"/>
    </w:rPr>
  </w:style>
  <w:style w:type="paragraph" w:customStyle="1" w:styleId="29">
    <w:name w:val="I1摘要标题"/>
    <w:basedOn w:val="1"/>
    <w:qFormat/>
    <w:uiPriority w:val="0"/>
    <w:pPr>
      <w:numPr>
        <w:ilvl w:val="1"/>
        <w:numId w:val="1"/>
      </w:numPr>
      <w:tabs>
        <w:tab w:val="left" w:pos="142"/>
      </w:tabs>
    </w:pPr>
    <w:rPr>
      <w:rFonts w:eastAsia="楷体_GB2312"/>
      <w:b/>
      <w:bCs/>
      <w:szCs w:val="28"/>
    </w:rPr>
  </w:style>
  <w:style w:type="paragraph" w:customStyle="1" w:styleId="30">
    <w:name w:val="默认段落字体 Para Char Char Char Char Char Char Char"/>
    <w:basedOn w:val="1"/>
    <w:qFormat/>
    <w:uiPriority w:val="0"/>
    <w:pPr>
      <w:tabs>
        <w:tab w:val="left" w:pos="4665"/>
        <w:tab w:val="left" w:pos="8970"/>
      </w:tabs>
      <w:ind w:firstLine="400"/>
    </w:pPr>
    <w:rPr>
      <w:rFonts w:ascii="Tahoma" w:hAnsi="Tahoma"/>
      <w:sz w:val="24"/>
      <w:szCs w:val="20"/>
    </w:rPr>
  </w:style>
  <w:style w:type="paragraph" w:customStyle="1" w:styleId="31">
    <w:name w:val="样式 楷体_GB2312 12 磅 黑色 段后: 6 磅 行距: 多倍行距 1.25 字行"/>
    <w:basedOn w:val="1"/>
    <w:qFormat/>
    <w:uiPriority w:val="0"/>
    <w:pPr>
      <w:spacing w:after="120" w:line="300" w:lineRule="auto"/>
    </w:pPr>
    <w:rPr>
      <w:rFonts w:ascii="楷体_GB2312" w:hAnsi="Arial" w:eastAsia="楷体_GB2312" w:cs="宋体"/>
      <w:color w:val="000000"/>
      <w:w w:val="90"/>
      <w:kern w:val="0"/>
      <w:sz w:val="24"/>
    </w:rPr>
  </w:style>
  <w:style w:type="paragraph" w:customStyle="1" w:styleId="32">
    <w:name w:val="右表格文字"/>
    <w:basedOn w:val="1"/>
    <w:qFormat/>
    <w:uiPriority w:val="0"/>
    <w:pPr>
      <w:spacing w:before="20" w:beforeLines="20" w:after="20" w:afterLines="20"/>
    </w:pPr>
    <w:rPr>
      <w:rFonts w:ascii="Arial" w:hAnsi="Arial" w:eastAsia="黑体" w:cs="宋体"/>
      <w:b/>
      <w:color w:val="4D4D4D"/>
      <w:sz w:val="18"/>
      <w:szCs w:val="18"/>
    </w:rPr>
  </w:style>
  <w:style w:type="paragraph" w:customStyle="1" w:styleId="33">
    <w:name w:val="样式 样式 右表格文字 + 段前: 0.5 行 段后: 0.5 行 + 段前: 0.2 行 段后: 0.2 行"/>
    <w:basedOn w:val="1"/>
    <w:qFormat/>
    <w:uiPriority w:val="0"/>
    <w:pPr>
      <w:spacing w:before="62" w:beforeLines="20" w:after="62" w:afterLines="20"/>
    </w:pPr>
    <w:rPr>
      <w:rFonts w:ascii="Arial" w:hAnsi="Arial" w:eastAsia="黑体" w:cs="宋体"/>
      <w:b/>
      <w:bCs/>
      <w:color w:val="4D4D4D"/>
      <w:sz w:val="16"/>
      <w:szCs w:val="20"/>
    </w:rPr>
  </w:style>
  <w:style w:type="paragraph" w:customStyle="1" w:styleId="34">
    <w:name w:val="栏目"/>
    <w:basedOn w:val="1"/>
    <w:qFormat/>
    <w:uiPriority w:val="0"/>
    <w:pPr>
      <w:spacing w:before="50" w:beforeLines="50"/>
    </w:pPr>
    <w:rPr>
      <w:rFonts w:eastAsia="楷体_GB2312"/>
      <w:b/>
      <w:sz w:val="24"/>
    </w:rPr>
  </w:style>
  <w:style w:type="paragraph" w:customStyle="1" w:styleId="35">
    <w:name w:val="样式 楷体_GB2312 9 磅 加粗 黑色 右 介于: (单实线  1.5 磅 行宽 距正文:  1 磅 边框间..."/>
    <w:basedOn w:val="1"/>
    <w:qFormat/>
    <w:uiPriority w:val="0"/>
    <w:pPr>
      <w:pBdr>
        <w:between w:val="single" w:color="000000" w:sz="12" w:space="1"/>
      </w:pBdr>
      <w:jc w:val="right"/>
    </w:pPr>
    <w:rPr>
      <w:rFonts w:ascii="Arial" w:hAnsi="Arial" w:eastAsia="楷体_GB2312" w:cs="宋体"/>
      <w:b/>
      <w:bCs/>
      <w:color w:val="000000"/>
      <w:sz w:val="18"/>
      <w:szCs w:val="18"/>
    </w:rPr>
  </w:style>
  <w:style w:type="paragraph" w:customStyle="1" w:styleId="36">
    <w:name w:val="样式1"/>
    <w:basedOn w:val="1"/>
    <w:qFormat/>
    <w:uiPriority w:val="0"/>
    <w:rPr>
      <w:rFonts w:eastAsia="楷体_GB2312"/>
      <w:sz w:val="18"/>
    </w:rPr>
  </w:style>
  <w:style w:type="paragraph" w:customStyle="1" w:styleId="37">
    <w:name w:val="样式2"/>
    <w:basedOn w:val="16"/>
    <w:qFormat/>
    <w:uiPriority w:val="0"/>
    <w:pPr>
      <w:jc w:val="center"/>
    </w:pPr>
    <w:rPr>
      <w:rFonts w:ascii="楷体_GB2312" w:hAnsi="楷体_GB2312" w:eastAsia="楷体_GB2312"/>
      <w:b/>
      <w:bCs/>
      <w:sz w:val="32"/>
    </w:rPr>
  </w:style>
  <w:style w:type="paragraph" w:customStyle="1" w:styleId="38">
    <w:name w:val="样式 Default + 楷体_GB2312 加粗"/>
    <w:basedOn w:val="16"/>
    <w:autoRedefine/>
    <w:qFormat/>
    <w:uiPriority w:val="0"/>
    <w:pPr>
      <w:jc w:val="center"/>
    </w:pPr>
    <w:rPr>
      <w:rFonts w:ascii="楷体_GB2312" w:hAnsi="楷体_GB2312" w:eastAsia="楷体_GB2312"/>
      <w:b/>
      <w:bCs/>
      <w:sz w:val="32"/>
    </w:rPr>
  </w:style>
  <w:style w:type="paragraph" w:customStyle="1" w:styleId="39">
    <w:name w:val="Char Char Char1 Char Char Char Char Char Char Char Char Char Char Char Char Char Char Char Char Char Char Char Char Char Char Char Char Char1"/>
    <w:basedOn w:val="1"/>
    <w:qFormat/>
    <w:uiPriority w:val="0"/>
    <w:rPr>
      <w:rFonts w:ascii="Tahoma" w:hAnsi="Tahoma"/>
      <w:sz w:val="24"/>
      <w:szCs w:val="20"/>
    </w:rPr>
  </w:style>
  <w:style w:type="paragraph" w:customStyle="1" w:styleId="40">
    <w:name w:val="财务指标格式"/>
    <w:basedOn w:val="1"/>
    <w:qFormat/>
    <w:uiPriority w:val="0"/>
    <w:pPr>
      <w:adjustRightInd w:val="0"/>
    </w:pPr>
    <w:rPr>
      <w:rFonts w:ascii="Arial" w:hAnsi="Arial" w:eastAsia="楷体_GB2312"/>
    </w:rPr>
  </w:style>
  <w:style w:type="paragraph" w:styleId="41">
    <w:name w:val="List Paragraph"/>
    <w:basedOn w:val="1"/>
    <w:qFormat/>
    <w:uiPriority w:val="34"/>
    <w:pPr>
      <w:ind w:firstLine="420" w:firstLineChars="200"/>
    </w:pPr>
    <w:rPr>
      <w:rFonts w:eastAsia="楷体_GB2312"/>
      <w:sz w:val="20"/>
      <w:szCs w:val="22"/>
    </w:rPr>
  </w:style>
  <w:style w:type="paragraph" w:customStyle="1" w:styleId="42">
    <w:name w:val="光大正文"/>
    <w:qFormat/>
    <w:uiPriority w:val="0"/>
    <w:pPr>
      <w:spacing w:after="120"/>
      <w:jc w:val="both"/>
    </w:pPr>
    <w:rPr>
      <w:rFonts w:ascii="Arial" w:hAnsi="Arial" w:eastAsia="华文楷体" w:cs="Arial"/>
      <w:sz w:val="21"/>
      <w:szCs w:val="24"/>
      <w:lang w:val="en-US" w:eastAsia="zh-CN" w:bidi="ar-SA"/>
    </w:rPr>
  </w:style>
  <w:style w:type="character" w:customStyle="1" w:styleId="43">
    <w:name w:val="font61"/>
    <w:basedOn w:val="13"/>
    <w:qFormat/>
    <w:uiPriority w:val="0"/>
    <w:rPr>
      <w:rFonts w:ascii="楷体_GB2312" w:eastAsia="楷体_GB2312" w:cs="楷体_GB2312"/>
      <w:b/>
      <w:bCs/>
      <w:color w:val="FFFFFF"/>
      <w:sz w:val="12"/>
      <w:szCs w:val="12"/>
      <w:u w:val="none"/>
    </w:rPr>
  </w:style>
  <w:style w:type="character" w:customStyle="1" w:styleId="44">
    <w:name w:val="font51"/>
    <w:basedOn w:val="13"/>
    <w:qFormat/>
    <w:uiPriority w:val="0"/>
    <w:rPr>
      <w:rFonts w:hint="default" w:ascii="Times New Roman" w:hAnsi="Times New Roman" w:cs="Times New Roman"/>
      <w:b/>
      <w:bCs/>
      <w:color w:val="FFFFFF"/>
      <w:sz w:val="12"/>
      <w:szCs w:val="12"/>
      <w:u w:val="none"/>
    </w:rPr>
  </w:style>
  <w:style w:type="character" w:customStyle="1" w:styleId="45">
    <w:name w:val="font71"/>
    <w:basedOn w:val="13"/>
    <w:qFormat/>
    <w:uiPriority w:val="0"/>
    <w:rPr>
      <w:rFonts w:hint="default" w:ascii="Times New Roman" w:hAnsi="Times New Roman" w:cs="Times New Roman"/>
      <w:color w:val="000000"/>
      <w:sz w:val="12"/>
      <w:szCs w:val="12"/>
      <w:u w:val="none"/>
    </w:rPr>
  </w:style>
  <w:style w:type="character" w:customStyle="1" w:styleId="46">
    <w:name w:val="font91"/>
    <w:basedOn w:val="13"/>
    <w:qFormat/>
    <w:uiPriority w:val="0"/>
    <w:rPr>
      <w:rFonts w:hint="eastAsia" w:ascii="楷体_GB2312" w:eastAsia="楷体_GB2312" w:cs="楷体_GB2312"/>
      <w:color w:val="000000"/>
      <w:sz w:val="12"/>
      <w:szCs w:val="12"/>
      <w:u w:val="none"/>
    </w:rPr>
  </w:style>
  <w:style w:type="character" w:customStyle="1" w:styleId="47">
    <w:name w:val="font81"/>
    <w:basedOn w:val="13"/>
    <w:qFormat/>
    <w:uiPriority w:val="0"/>
    <w:rPr>
      <w:rFonts w:hint="default" w:ascii="Times New Roman" w:hAnsi="Times New Roman" w:cs="Times New Roman"/>
      <w:b/>
      <w:bCs/>
      <w:color w:val="000000"/>
      <w:sz w:val="12"/>
      <w:szCs w:val="12"/>
      <w:u w:val="none"/>
    </w:rPr>
  </w:style>
  <w:style w:type="character" w:customStyle="1" w:styleId="48">
    <w:name w:val="font101"/>
    <w:basedOn w:val="13"/>
    <w:qFormat/>
    <w:uiPriority w:val="0"/>
    <w:rPr>
      <w:rFonts w:hint="eastAsia" w:ascii="楷体_GB2312" w:eastAsia="楷体_GB2312" w:cs="楷体_GB2312"/>
      <w:b/>
      <w:bCs/>
      <w:color w:val="000000"/>
      <w:sz w:val="12"/>
      <w:szCs w:val="12"/>
      <w:u w:val="none"/>
    </w:rPr>
  </w:style>
  <w:style w:type="character" w:customStyle="1" w:styleId="49">
    <w:name w:val="标题 1 Char"/>
    <w:link w:val="2"/>
    <w:qFormat/>
    <w:uiPriority w:val="0"/>
    <w:rPr>
      <w:b/>
      <w:kern w:val="44"/>
      <w:sz w:val="44"/>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microsoft.com/office/2006/relationships/keyMapCustomizations" Target="customization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3005</Words>
  <Characters>3669</Characters>
  <Lines>137</Lines>
  <Paragraphs>105</Paragraphs>
  <TotalTime>1</TotalTime>
  <ScaleCrop>false</ScaleCrop>
  <LinksUpToDate>false</LinksUpToDate>
  <CharactersWithSpaces>3695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2023-03-31T10:04:00Z</dcterms:created>
  <dc:creator>长城基金王文祥</dc:creator>
  <cp:lastModifiedBy>fafa</cp:lastModifiedBy>
  <cp:lastPrinted>2008-12-02T08:37:00Z</cp:lastPrinted>
  <dcterms:modified xsi:type="dcterms:W3CDTF">2024-07-11T11:27:57Z</dcterms:modified>
  <dc:title>研究报告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kcode">
    <vt:lpwstr> </vt:lpwstr>
  </property>
  <property fmtid="{D5CDD505-2E9C-101B-9397-08002B2CF9AE}" pid="3" name="stkname">
    <vt:lpwstr> </vt:lpwstr>
  </property>
  <property fmtid="{D5CDD505-2E9C-101B-9397-08002B2CF9AE}" pid="4" name="investrank">
    <vt:lpwstr> </vt:lpwstr>
  </property>
  <property fmtid="{D5CDD505-2E9C-101B-9397-08002B2CF9AE}" pid="5" name="investrankname">
    <vt:lpwstr> </vt:lpwstr>
  </property>
  <property fmtid="{D5CDD505-2E9C-101B-9397-08002B2CF9AE}" pid="6" name="version">
    <vt:lpwstr>ccjjccv1.5_20120515</vt:lpwstr>
  </property>
  <property fmtid="{D5CDD505-2E9C-101B-9397-08002B2CF9AE}" pid="7" name="XMLConfigFile">
    <vt:lpwstr>调研简报.xml</vt:lpwstr>
  </property>
  <property fmtid="{D5CDD505-2E9C-101B-9397-08002B2CF9AE}" pid="8" name="industrycode">
    <vt:lpwstr> </vt:lpwstr>
  </property>
  <property fmtid="{D5CDD505-2E9C-101B-9397-08002B2CF9AE}" pid="9" name="industryname">
    <vt:lpwstr> </vt:lpwstr>
  </property>
  <property fmtid="{D5CDD505-2E9C-101B-9397-08002B2CF9AE}" pid="10" name="empid">
    <vt:lpwstr> </vt:lpwstr>
  </property>
  <property fmtid="{D5CDD505-2E9C-101B-9397-08002B2CF9AE}" pid="11" name="empname">
    <vt:lpwstr> </vt:lpwstr>
  </property>
  <property fmtid="{D5CDD505-2E9C-101B-9397-08002B2CF9AE}" pid="12" name="date">
    <vt:lpwstr> </vt:lpwstr>
  </property>
  <property fmtid="{D5CDD505-2E9C-101B-9397-08002B2CF9AE}" pid="13" name="dataurl">
    <vt:lpwstr>http://10.18.8.51:8050</vt:lpwstr>
  </property>
  <property fmtid="{D5CDD505-2E9C-101B-9397-08002B2CF9AE}" pid="14" name="yeare">
    <vt:lpwstr> </vt:lpwstr>
  </property>
  <property fmtid="{D5CDD505-2E9C-101B-9397-08002B2CF9AE}" pid="15" name="snkdocver">
    <vt:lpwstr>v2</vt:lpwstr>
  </property>
  <property fmtid="{D5CDD505-2E9C-101B-9397-08002B2CF9AE}" pid="16" name="snkdocid">
    <vt:lpwstr>132</vt:lpwstr>
  </property>
  <property fmtid="{D5CDD505-2E9C-101B-9397-08002B2CF9AE}" pid="17" name="WSURL">
    <vt:lpwstr>HTTP://61.144.219.219:9090</vt:lpwstr>
  </property>
  <property fmtid="{D5CDD505-2E9C-101B-9397-08002B2CF9AE}" pid="18" name="doctypeid">
    <vt:lpwstr>88</vt:lpwstr>
  </property>
  <property fmtid="{D5CDD505-2E9C-101B-9397-08002B2CF9AE}" pid="19" name="templatetype">
    <vt:lpwstr>0</vt:lpwstr>
  </property>
  <property fmtid="{D5CDD505-2E9C-101B-9397-08002B2CF9AE}" pid="20" name="researcherunitid">
    <vt:lpwstr>999000922</vt:lpwstr>
  </property>
  <property fmtid="{D5CDD505-2E9C-101B-9397-08002B2CF9AE}" pid="21" name="KSOProductBuildVer">
    <vt:lpwstr>2052-12.1.0.16929</vt:lpwstr>
  </property>
  <property fmtid="{D5CDD505-2E9C-101B-9397-08002B2CF9AE}" pid="22" name="ICV">
    <vt:lpwstr>721B861A864C41EBAAA6BF20CDCEE1E4_12</vt:lpwstr>
  </property>
  <property fmtid="{D5CDD505-2E9C-101B-9397-08002B2CF9AE}" pid="23" name="BD_Document_Page_Count">
    <vt:lpwstr>7</vt:lpwstr>
  </property>
</Properties>
</file>