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IPCC</w:t>
      </w:r>
      <w:r>
        <w:t xml:space="preserve"> </w:t>
      </w:r>
      <w:r>
        <w:t xml:space="preserve">Reports</w:t>
      </w:r>
      <w:r>
        <w:t xml:space="preserve"> </w:t>
      </w:r>
      <w:r>
        <w:t xml:space="preserve">and</w:t>
      </w:r>
      <w:r>
        <w:t xml:space="preserve"> </w:t>
      </w:r>
      <w:r>
        <w:t xml:space="preserve">City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  <w:r>
        <w:t xml:space="preserve"> </w:t>
      </w:r>
      <w:r>
        <w:t xml:space="preserve">Plans:</w:t>
      </w:r>
      <w:r>
        <w:t xml:space="preserve"> </w:t>
      </w: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prototype</w:t>
      </w:r>
    </w:p>
    <w:p>
      <w:pPr>
        <w:pStyle w:val="Author"/>
      </w:pPr>
      <w:r>
        <w:t xml:space="preserve">FSCI</w:t>
      </w:r>
      <w:r>
        <w:t xml:space="preserve"> </w:t>
      </w:r>
      <w:r>
        <w:t xml:space="preserve">Hackathon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8/4/23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1" w:name="question-1"/>
    <w:p>
      <w:pPr>
        <w:pStyle w:val="Heading1"/>
      </w:pPr>
      <w:r>
        <w:t xml:space="preserve">2. Question 1</w:t>
      </w:r>
    </w:p>
    <w:bookmarkEnd w:id="21"/>
    <w:bookmarkStart w:id="27" w:name="renewable-energy"/>
    <w:p>
      <w:pPr>
        <w:pStyle w:val="Heading1"/>
      </w:pPr>
      <w:r>
        <w:t xml:space="preserve">3. Renewable Energy?</w:t>
      </w:r>
    </w:p>
    <w:bookmarkStart w:id="22" w:name="X7961030c37fc6999db9d5dfb4e16d49e1a3570b"/>
    <w:p>
      <w:pPr>
        <w:pStyle w:val="Heading2"/>
      </w:pPr>
      <w:r>
        <w:t xml:space="preserve">3.1 Question: What role do renewable energy sources play in city climate plans?</w:t>
      </w:r>
    </w:p>
    <w:bookmarkEnd w:id="22"/>
    <w:bookmarkStart w:id="24" w:name="X2fa4724e38c1fb8ba6c7f0512f5a8f927100a51"/>
    <w:p>
      <w:pPr>
        <w:pStyle w:val="Heading2"/>
      </w:pPr>
      <w:r>
        <w:t xml:space="preserve">3.2 Query result: Box 6.8 | 100% Renewables in Net-zero Energy Systems (Page 675-676)</w:t>
      </w:r>
    </w:p>
    <w:p>
      <w:pPr>
        <w:pStyle w:val="FirstParagraph"/>
      </w:pPr>
      <w:r>
        <w:t xml:space="preserve">Chapter 6 Energy Systems. In IPCC, 2022: Climate Change 2022: Mitigation of Climate Change. Contribution of Working Group III to the 6th Assessment Report of the IPCC</w:t>
      </w:r>
    </w:p>
    <w:p>
      <w:pPr>
        <w:pStyle w:val="BodyText"/>
      </w:pPr>
      <w:r>
        <w:t xml:space="preserve">URL:</w:t>
      </w:r>
      <w:r>
        <w:t xml:space="preserve"> </w:t>
      </w:r>
      <w:hyperlink r:id="rId23">
        <w:r>
          <w:rPr>
            <w:rStyle w:val="Hyperlink"/>
          </w:rPr>
          <w:t xml:space="preserve">https://www.ipcc.ch/report/ar6/wg3/</w:t>
        </w:r>
      </w:hyperlink>
    </w:p>
    <w:p>
      <w:pPr>
        <w:pStyle w:val="BodyText"/>
      </w:pPr>
      <w:r>
        <w:rPr>
          <w:iCs/>
          <w:i/>
        </w:rPr>
        <w:t xml:space="preserve">Cite: Clarke, L., Y.-M. Wei, A. De La Vega Navarro, A. Garg, A.N. Hahmann, S. Khennas, I.M.L. Azevedo, A. Löschel, A.K. Singh, L. Steg, G. Strbac, K. Wada, 2022: Energy Systems. In IPCC, 2022: Climate Change 2022: Mitigation of Climate Change. Contribution of Working Group III to the Sixth Assessment Report of the Intergovernmental Panel on Climate Change [P.R. Shukla, J. Skea, R. Slade, A. Al Khourdajie, R. van Diemen, D. McCollum, M. Pathak, S. Some, P. Vyas, R. Fradera, M. Belkacemi, A. Hasija, G. Lisboa, S. Luz, J. Malley, (eds.)]. Cambridge University Press, Cambridge, UK and New York, NY, USA. doi: 10.1017/9781009157926.008.</w:t>
      </w:r>
    </w:p>
    <w:p>
      <w:r>
        <w:pict>
          <v:rect style="width:0;height:1.5pt" o:hralign="center" o:hrstd="t" o:hr="t"/>
        </w:pict>
      </w:r>
    </w:p>
    <w:bookmarkEnd w:id="24"/>
    <w:bookmarkStart w:id="26" w:name="content"/>
    <w:p>
      <w:pPr>
        <w:pStyle w:val="Heading2"/>
      </w:pPr>
      <w:r>
        <w:t xml:space="preserve">3.3 Content:</w:t>
      </w:r>
    </w:p>
    <w:bookmarkStart w:id="25" w:name="Xe256c71edba966c9cce8f707b3b06d0615a6adf"/>
    <w:p>
      <w:pPr>
        <w:pStyle w:val="Heading3"/>
      </w:pPr>
      <w:r>
        <w:t xml:space="preserve">3.3.1 Box 6.8 | 100% Renewables in Net-zero Energy Systems</w:t>
      </w:r>
    </w:p>
    <w:p>
      <w:pPr>
        <w:pStyle w:val="FirstParagraph"/>
      </w:pPr>
      <w:r>
        <w:t xml:space="preserve">The decreasing cost and increasing performance of renewable energy has generated interest in the feasibility of providing nearly all energy</w:t>
      </w:r>
      <w:r>
        <w:t xml:space="preserve"> </w:t>
      </w:r>
      <w:r>
        <w:t xml:space="preserve">services with renewables. Renewable energy includes wind power, solar power, hydroelectric power, bioenergy, geothermal energy, tidal</w:t>
      </w:r>
      <w:r>
        <w:t xml:space="preserve"> </w:t>
      </w:r>
      <w:r>
        <w:t xml:space="preserve">power, and ocean power. There are two primary frames around which 100% renewable energy systems are discussed: 100% renewable</w:t>
      </w:r>
      <w:r>
        <w:t xml:space="preserve"> </w:t>
      </w:r>
      <w:r>
        <w:t xml:space="preserve">electricity systems and 100% renewable energy systems, considering not only electricity but all aspects of the energy system.</w:t>
      </w:r>
    </w:p>
    <w:p>
      <w:pPr>
        <w:pStyle w:val="BodyText"/>
      </w:pPr>
      <w:r>
        <w:t xml:space="preserve">It is technically feasible to use very high renewable shares (e.g., above 75% of annual regional generation) to meet hourly electricity</w:t>
      </w:r>
      <w:r>
        <w:t xml:space="preserve"> </w:t>
      </w:r>
      <w:r>
        <w:t xml:space="preserve">demand under a range of conditions, especially when VRE options, notably wind and solar, are complemented by other resources (high</w:t>
      </w:r>
      <w:r>
        <w:t xml:space="preserve"> </w:t>
      </w:r>
      <w:r>
        <w:t xml:space="preserve">confidence). There are currently many grids with high renewable shares and large anticipated roles for VRE sources, in particular wind</w:t>
      </w:r>
      <w:r>
        <w:t xml:space="preserve"> </w:t>
      </w:r>
      <w:r>
        <w:t xml:space="preserve">and solar (Section 6.4), in future low-carbon electricity systems. An increasingly large set of studies examines the feasibility of high</w:t>
      </w:r>
      <w:r>
        <w:t xml:space="preserve"> </w:t>
      </w:r>
      <w:r>
        <w:t xml:space="preserve">renewable penetration and economic drivers under different policy, technology, and market scenarios (Cochran et al. 2014; Deason</w:t>
      </w:r>
      <w:r>
        <w:t xml:space="preserve"> </w:t>
      </w:r>
      <w:r>
        <w:t xml:space="preserve">2018; Jenkins et al. 2018b; Bistline et al. 2019; Hansen et al. 2019; Dowling et al. 2020; Blanford et al. 2021; Denholm et al. 2021).</w:t>
      </w:r>
      <w:r>
        <w:t xml:space="preserve"> </w:t>
      </w:r>
      <w:r>
        <w:t xml:space="preserve">High wind and solar penetration involves technical and economic challenges due to their unique characteristics such as spatial and</w:t>
      </w:r>
      <w:r>
        <w:t xml:space="preserve"> </w:t>
      </w:r>
      <w:r>
        <w:t xml:space="preserve">temporal variability, short- and long-term uncertainty, and non-synchronous generation (Cole et al. 2017). These challenges become</w:t>
      </w:r>
      <w:r>
        <w:t xml:space="preserve"> </w:t>
      </w:r>
      <w:r>
        <w:t xml:space="preserve">increasingly important as renewable shares approach 100% (Sections 6.6.2.2 and 6.4.3).</w:t>
      </w:r>
    </w:p>
    <w:p>
      <w:pPr>
        <w:pStyle w:val="BodyText"/>
      </w:pPr>
      <w:r>
        <w:t xml:space="preserve">There are many balancing options in systems with very high renewables (Milligan et al. 2015; Jenkins et al. 2018b; Mai et al. 2018;</w:t>
      </w:r>
      <w:r>
        <w:t xml:space="preserve"> </w:t>
      </w:r>
      <w:r>
        <w:t xml:space="preserve">Bistline 2021a; Denholm et al. 2021).</w:t>
      </w:r>
    </w:p>
    <w:p>
      <w:pPr>
        <w:numPr>
          <w:ilvl w:val="0"/>
          <w:numId w:val="1001"/>
        </w:numPr>
        <w:pStyle w:val="Compact"/>
      </w:pPr>
      <w:r>
        <w:t xml:space="preserve">Energy storage. Energy storage technologies like batteries, pumped hydro, and hydrogen can provide a range of system</w:t>
      </w:r>
      <w:r>
        <w:t xml:space="preserve"> </w:t>
      </w:r>
      <w:r>
        <w:t xml:space="preserve">services (Balducci et al. 2018; Bistline et al. 2020a) (Section 6.4.4). Lithium-ion batteries have received attention as costs fall and</w:t>
      </w:r>
      <w:r>
        <w:t xml:space="preserve"> </w:t>
      </w:r>
      <w:r>
        <w:t xml:space="preserve">installations increase, but very high renewable shares typically entail either dispatchable generation or long-duration storage in</w:t>
      </w:r>
      <w:r>
        <w:t xml:space="preserve"> </w:t>
      </w:r>
      <w:r>
        <w:t xml:space="preserve">addition to short-duration options (Jenkins et al. 2018b; Arbabzadeh et al. 2019; Schill 2020). Energy storage technologies are</w:t>
      </w:r>
      <w:r>
        <w:t xml:space="preserve"> </w:t>
      </w:r>
      <w:r>
        <w:t xml:space="preserve">part of a broad set of options (including synchronous condensers, demand-side measures, and even inverter-based technologies</w:t>
      </w:r>
      <w:r>
        <w:t xml:space="preserve"> </w:t>
      </w:r>
      <w:r>
        <w:t xml:space="preserve">themselves) for providing grid services (Castillo and Gayme 2014; EPRI 2019a).</w:t>
      </w:r>
    </w:p>
    <w:p>
      <w:pPr>
        <w:numPr>
          <w:ilvl w:val="0"/>
          <w:numId w:val="1001"/>
        </w:numPr>
        <w:pStyle w:val="Compact"/>
      </w:pPr>
      <w:r>
        <w:t xml:space="preserve">Transmission and trade. To balance differences in resource availability, high renewable systems will very likely entail investments</w:t>
      </w:r>
      <w:r>
        <w:t xml:space="preserve"> </w:t>
      </w:r>
      <w:r>
        <w:t xml:space="preserve">in transmission capacity (Mai et al. 2014; Macdonald et al. 2016; Pleßmann and Blechinger 2017; Zappa et al. 2019) (Section 6.4.5)</w:t>
      </w:r>
      <w:r>
        <w:t xml:space="preserve"> </w:t>
      </w:r>
      <w:r>
        <w:t xml:space="preserve">and changes in trade (Abrell and Rausch 2016; Bistline et al. 2019). These increases will likely be accompanied by expanded</w:t>
      </w:r>
      <w:r>
        <w:t xml:space="preserve"> </w:t>
      </w:r>
      <w:r>
        <w:t xml:space="preserve">balancing regions to take advantage of geographical smoothing.</w:t>
      </w:r>
    </w:p>
    <w:p>
      <w:pPr>
        <w:numPr>
          <w:ilvl w:val="0"/>
          <w:numId w:val="1001"/>
        </w:numPr>
        <w:pStyle w:val="Compact"/>
      </w:pPr>
      <w:r>
        <w:t xml:space="preserve">Dispatchable (</w:t>
      </w:r>
      <w:r>
        <w:t xml:space="preserve">‘</w:t>
      </w:r>
      <w:r>
        <w:t xml:space="preserve">on-demand</w:t>
      </w:r>
      <w:r>
        <w:t xml:space="preserve">’</w:t>
      </w:r>
      <w:r>
        <w:t xml:space="preserve">) generation. Dispatchable generation could include flexible fossil units or low-carbon fuels such</w:t>
      </w:r>
      <w:r>
        <w:t xml:space="preserve"> </w:t>
      </w:r>
      <w:r>
        <w:t xml:space="preserve">as hydrogen with lower minimum load levels (Denholm et al. 2018; Bistline 2019), renewables like hydropower, geothermal, or</w:t>
      </w:r>
      <w:r>
        <w:t xml:space="preserve"> </w:t>
      </w:r>
      <w:r>
        <w:t xml:space="preserve">biomass (Hirth 2016; Hansen et al. 2019), or flexible nuclear (Jenkins et al. 2018a). The composition depends on costs and other</w:t>
      </w:r>
      <w:r>
        <w:t xml:space="preserve"> </w:t>
      </w:r>
      <w:r>
        <w:t xml:space="preserve">policy goals, though in all cases, capacity factors are low for these resources (Mills et al. 2020).</w:t>
      </w:r>
    </w:p>
    <w:p>
      <w:pPr>
        <w:numPr>
          <w:ilvl w:val="0"/>
          <w:numId w:val="1001"/>
        </w:numPr>
        <w:pStyle w:val="Compact"/>
      </w:pPr>
      <w:r>
        <w:t xml:space="preserve">Demand management: Many low-emitting and high-renewables systems also utilise increased load flexibility in the forms of</w:t>
      </w:r>
      <w:r>
        <w:t xml:space="preserve"> </w:t>
      </w:r>
      <w:r>
        <w:t xml:space="preserve">energy efficiency, demand response, and demand flexibility, utilising newly electrified end uses such as electric vehicles to shape</w:t>
      </w:r>
      <w:r>
        <w:t xml:space="preserve"> </w:t>
      </w:r>
      <w:r>
        <w:t xml:space="preserve">demand profiles to better match supply (Ameli et al. 2017; Hale 2017; Brown et al. 2018; Imelda et al. 2018a; Bistline 2021a).</w:t>
      </w:r>
      <w:r>
        <w:t xml:space="preserve"> </w:t>
      </w:r>
      <w:r>
        <w:t xml:space="preserve">• Sector coupling: Sector coupling includes increased end-use electrification and PtX electricity conversion pathways, which may</w:t>
      </w:r>
      <w:r>
        <w:t xml:space="preserve"> </w:t>
      </w:r>
      <w:r>
        <w:t xml:space="preserve">entail using electricity to create synthetic fuels such as hydrogen (Davis et al. 2018; Ueckerdt et al. 2021) (Sections 6.4.3, 6.4.,</w:t>
      </w:r>
      <w:r>
        <w:t xml:space="preserve"> </w:t>
      </w:r>
      <w:r>
        <w:t xml:space="preserve">6.4.5, 6.6.4.3, and 6.6.4.6).</w:t>
      </w:r>
    </w:p>
    <w:p>
      <w:pPr>
        <w:pStyle w:val="FirstParagraph"/>
      </w:pPr>
      <w:r>
        <w:t xml:space="preserve">Deployment of integration options depends on their relative costs and value, regulations, and electricity market design. There is</w:t>
      </w:r>
      <w:r>
        <w:t xml:space="preserve"> </w:t>
      </w:r>
      <w:r>
        <w:t xml:space="preserve">considerable uncertainty about future technology costs, performance, availability, scalability, and public acceptance (Kondziella and</w:t>
      </w:r>
      <w:r>
        <w:t xml:space="preserve"> </w:t>
      </w:r>
      <w:r>
        <w:t xml:space="preserve">Bruckner 2016; Bistline et al. 2019). Deploying balanced resources likely requires operational, market design, and other institutional</w:t>
      </w:r>
      <w:r>
        <w:t xml:space="preserve"> </w:t>
      </w:r>
      <w:r>
        <w:t xml:space="preserve">changes, as well as technological changes in some cases (Denholm et al. 2021; Cochran et al. 2014). Mixes will differ based on</w:t>
      </w:r>
      <w:r>
        <w:t xml:space="preserve"> </w:t>
      </w:r>
      <w:r>
        <w:t xml:space="preserve">resources, system size, flexibility, and whether grids are isolated or interconnected.</w:t>
      </w:r>
    </w:p>
    <w:p>
      <w:pPr>
        <w:pStyle w:val="BodyText"/>
      </w:pPr>
      <w:r>
        <w:t xml:space="preserve">Although there are no technical upper bounds on renewable electricity penetration, the economic value of additional wind and</w:t>
      </w:r>
      <w:r>
        <w:t xml:space="preserve"> </w:t>
      </w:r>
      <w:r>
        <w:t xml:space="preserve">solar capacity typically decreases as their penetration rises, creating economic challenges at higher deployment levels (Hirth 2013;</w:t>
      </w:r>
      <w:r>
        <w:t xml:space="preserve"> </w:t>
      </w:r>
      <w:r>
        <w:t xml:space="preserve">Gowrisankaran et al. 2016; Cole et al. 2021; Denholm et al. 2021; Millstein et al. 2021). The integration options above, as well as changes</w:t>
      </w:r>
      <w:r>
        <w:t xml:space="preserve"> </w:t>
      </w:r>
      <w:r>
        <w:t xml:space="preserve">to market design, can mitigate these challenges but likely will not solve them, especially since these options can exhibit declining value</w:t>
      </w:r>
      <w:r>
        <w:t xml:space="preserve"> </w:t>
      </w:r>
      <w:r>
        <w:t xml:space="preserve">themselves (De Sisternes et al. 2016; Bistline 2017; Denholm and Mai 2019) and may be complements or substitutes to each other.</w:t>
      </w:r>
    </w:p>
    <w:p>
      <w:pPr>
        <w:pStyle w:val="BodyText"/>
      </w:pPr>
      <w:r>
        <w:t xml:space="preserve">Energy systems that are 100% renewable (including all parts of the energy sector, and not only electricity generation) raise a range</w:t>
      </w:r>
      <w:r>
        <w:t xml:space="preserve"> </w:t>
      </w:r>
      <w:r>
        <w:t xml:space="preserve">of technological, regulatory, market, and operational challenges that make their competitiveness uncertain (high confidence).</w:t>
      </w:r>
      <w:r>
        <w:t xml:space="preserve"> </w:t>
      </w:r>
      <w:r>
        <w:t xml:space="preserve">These systems require decarbonising all electricity, using this zero-carbon electricity broadly, and then utilising zero-carbon energy</w:t>
      </w:r>
      <w:r>
        <w:t xml:space="preserve"> </w:t>
      </w:r>
      <w:r>
        <w:t xml:space="preserve">carriers for all end uses not served by electricity, for example, air travel, long-distance transport, and high-temperature process heat.</w:t>
      </w:r>
      <w:r>
        <w:t xml:space="preserve"> </w:t>
      </w:r>
      <w:r>
        <w:t xml:space="preserve">Broader questions emerge regarding the attractiveness of supplying all energy, and not just electricity, with renewables (Figure 6.22).</w:t>
      </w:r>
      <w:r>
        <w:t xml:space="preserve"> </w:t>
      </w:r>
      <w:r>
        <w:t xml:space="preserve">Integrated assessment and energy systems research suggest large roles for renewables, but energy and electricity shares are far from</w:t>
      </w:r>
      <w:r>
        <w:t xml:space="preserve"> </w:t>
      </w:r>
      <w:r>
        <w:t xml:space="preserve">100%, even with stringent emissions reductions targets and optimistic assumptions about future cost reductions (Bauer et al. 2018;</w:t>
      </w:r>
      <w:r>
        <w:t xml:space="preserve"> </w:t>
      </w:r>
      <w:r>
        <w:t xml:space="preserve">Bistline et al. 2018; Jenkins et al. 2018b; Huntington et al. 2020) (Section 6.7.1). Scenarios with 100% renewable energy systems</w:t>
      </w:r>
      <w:r>
        <w:t xml:space="preserve"> </w:t>
      </w:r>
      <w:r>
        <w:t xml:space="preserve">are an emerging subset in the decarbonisation literature, especially at regional levels (Hansen et al. 2019; Denholm et al. 2021).</w:t>
      </w:r>
      <w:r>
        <w:t xml:space="preserve"> </w:t>
      </w:r>
      <w:r>
        <w:t xml:space="preserve">Many 100% renewables studies focus more heavily on electrification for decarbonising end uses, and include less biofuels and</w:t>
      </w:r>
      <w:r>
        <w:t xml:space="preserve"> </w:t>
      </w:r>
      <w:r>
        <w:t xml:space="preserve">hydrogen than the broader literature on deep decarbonisation (Bauer et al. 2018a). These studies typically assume a constrained set of</w:t>
      </w:r>
      <w:r>
        <w:t xml:space="preserve"> </w:t>
      </w:r>
      <w:r>
        <w:t xml:space="preserve">available technologies to demonstrate the technical feasibility of very high renewable systems and do not optimise to find least-cost,</w:t>
      </w:r>
      <w:r>
        <w:t xml:space="preserve"> </w:t>
      </w:r>
      <w:r>
        <w:t xml:space="preserve">technology-neutral decarbonisation pathways, and many 100% renewables studies focus on the electricity sector or a limited number</w:t>
      </w:r>
      <w:r>
        <w:t xml:space="preserve"> </w:t>
      </w:r>
      <w:r>
        <w:t xml:space="preserve">of sectors (Jenkins et al. 2018a; Hansen et al. 2019). In addition to renewables, studies broadly agree that including additional lowcarbon</w:t>
      </w:r>
      <w:r>
        <w:t xml:space="preserve"> </w:t>
      </w:r>
      <w:r>
        <w:t xml:space="preserve">options – including not only low-carbon electricity but also targeted use of fossil fuels with and without CCS (Section 6.6.2.1)</w:t>
      </w:r>
      <w:r>
        <w:t xml:space="preserve"> </w:t>
      </w:r>
      <w:r>
        <w:t xml:space="preserve">and alternative fuels for sectors that are difficult to electrify (Section 6.6.2.4) – can lower the cost of decarbonisation, even with very</w:t>
      </w:r>
      <w:r>
        <w:t xml:space="preserve"> </w:t>
      </w:r>
      <w:r>
        <w:t xml:space="preserve">high shares of renewables (Figure 6.22). However, there is disagreement about the magnitude of cost savings from larger portfolios,</w:t>
      </w:r>
      <w:r>
        <w:t xml:space="preserve"> </w:t>
      </w:r>
      <w:r>
        <w:t xml:space="preserve">which depend on context- and scenario-specific assumptions about technologies, markets, and policies.</w:t>
      </w:r>
    </w:p>
    <w:bookmarkEnd w:id="25"/>
    <w:bookmarkEnd w:id="26"/>
    <w:bookmarkEnd w:id="27"/>
    <w:bookmarkStart w:id="28" w:name="question-3"/>
    <w:p>
      <w:pPr>
        <w:pStyle w:val="Heading1"/>
      </w:pPr>
      <w:r>
        <w:t xml:space="preserve">4. Question 3</w:t>
      </w:r>
    </w:p>
    <w:bookmarkEnd w:id="28"/>
    <w:bookmarkStart w:id="29" w:name="question-4"/>
    <w:p>
      <w:pPr>
        <w:pStyle w:val="Heading1"/>
      </w:pPr>
      <w:r>
        <w:t xml:space="preserve">5. Question 4</w:t>
      </w:r>
    </w:p>
    <w:bookmarkEnd w:id="29"/>
    <w:bookmarkStart w:id="30" w:name="question-5"/>
    <w:p>
      <w:pPr>
        <w:pStyle w:val="Heading1"/>
      </w:pPr>
      <w:r>
        <w:t xml:space="preserve">6. Question 5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ipcc.ch/report/ar6/wg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ipcc.ch/report/ar6/wg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IPCC Reports and City Climate Change Plans: Proof of concept prototype</dc:title>
  <dc:creator>FSCI Hackathon Team</dc:creator>
  <cp:keywords/>
  <dcterms:created xsi:type="dcterms:W3CDTF">2023-08-15T12:02:05Z</dcterms:created>
  <dcterms:modified xsi:type="dcterms:W3CDTF">2023-08-15T12:02:05Z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8/4/23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