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Relationship Id="rIdCustom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Title"/>
        <ck:id v="lead-qualification-and-follow-up-report"/>
      </w:pPr>
      <w:bookmarkStart w:id="0" w:name="lead_qualification_and_follow_up_report"/>
      <w:r>
        <w:t>Lead Qualification and Follow-Up Report</w:t>
      </w:r>
      <w:bookmarkEnd w:id="0"/>
    </w:p>
    <w:p>
      <w:r>
        <w:rPr>
          <w:rStyle w:val="CkMuted"/>
        </w:rPr>
        <w:t>Period: Sept 8 – Sept 9, 2026 · 5 inbound leads processed</w:t>
      </w:r>
    </w:p>
    <w:p>
      <w:pPr>
        <w:pStyle w:val="Heading2"/>
        <ck:id v="summary"/>
      </w:pPr>
      <w:bookmarkStart w:id="1" w:name="summary"/>
      <w:r>
        <w:t>Summary</w:t>
      </w:r>
      <w:bookmarkEnd w:id="1"/>
    </w:p>
    <w:sdt>
      <w:sdtPr>
        <w:tag w:val="clarkdown:layout"/>
        <ck:layout v="row|4|2410,2410,2410,2410"/>
        <ck:layoutAttr v="||gap=1em"/>
        <ck:layoutCell v="col:||w=1fr"/>
        <ck:layoutCell v="col:||w=1fr"/>
        <ck:layoutCell v="col:||w=1fr"/>
        <ck:layoutCell v="col:||w=1fr"/>
      </w:sdtPr>
      <w:sdtContent>
        <w:tbl>
          <w:tblPr>
            <w:tblStyle w:val="CkLayout"/>
            <w:tblW w:w="5000" w:type="pct"/>
            <w:tblLayout w:type="fixed"/>
          </w:tblPr>
          <w:tblGrid>
            <w:gridCol w:w="2410"/>
            <w:gridCol w:w="2410"/>
            <w:gridCol w:w="2410"/>
            <w:gridCol w:w="2410"/>
          </w:tblGrid>
          <w:tr>
            <w:tc>
              <w:tcPr>
                <w:tcW w:w="2410" w:type="dxa"/>
              </w:tcPr>
              <w:sdt>
                <w:sdtPr>
                  <w:tag w:val="clarkdown:div"/>
                  <ck:div v="|panel|tint=accent"/>
                </w:sdtPr>
                <w:sdtContent>
                  <w:tbl>
                    <w:tblPr>
                      <w:tblW w:w="5000" w:type="pct"/>
                      <w:tblBorders>
                        <w:top w:val="none"/>
                        <w:left w:val="none"/>
                        <w:bottom w:val="none"/>
                        <w:right w:val="none"/>
                        <w:insideH w:val="none"/>
                        <w:insideV w:val="none"/>
                      </w:tblBorders>
                      <w:tblCellMar>
                        <w:top w:w="320" w:type="dxa"/>
                        <w:left w:w="240" w:type="dxa"/>
                        <w:bottom w:w="320" w:type="dxa"/>
                        <w:right w:w="240" w:type="dxa"/>
                      </w:tblCellMar>
                    </w:tblPr>
                    <w:tblGrid>
                      <w:gridCol/>
                    </w:tblGrid>
                    <w:tr>
                      <w:tc>
                        <w:tcPr>
                          <w:shd w:val="clear" w:fill="E4E4E4"/>
                        </w:tcPr>
                        <w:p>
                          <w:pPr>
                            <w:pStyle w:val="CkDisplay"/>
                            <w:spacing w:before="0"/>
                            <ck:id v="5"/>
                          </w:pPr>
                          <w:bookmarkStart w:id="2" w:name="_5"/>
                          <w:r>
                            <w:t>5</w:t>
                          </w:r>
                          <w:bookmarkEnd w:id="2"/>
                        </w:p>
                        <w:p>
                          <w:r>
                            <w:t>Leads Processed</w:t>
                          </w:r>
                        </w:p>
                      </w:tc>
                    </w:tr>
                  </w:tbl>
                </w:sdtContent>
              </w:sdt>
              <w:p/>
            </w:tc>
            <w:tc>
              <w:tcPr>
                <w:tcW w:w="2410" w:type="dxa"/>
              </w:tcPr>
              <w:sdt>
                <w:sdtPr>
                  <w:tag w:val="clarkdown:div"/>
                  <ck:div v="|panel|tint=accent"/>
                </w:sdtPr>
                <w:sdtContent>
                  <w:tbl>
                    <w:tblPr>
                      <w:tblW w:w="5000" w:type="pct"/>
                      <w:tblBorders>
                        <w:top w:val="none"/>
                        <w:left w:val="none"/>
                        <w:bottom w:val="none"/>
                        <w:right w:val="none"/>
                        <w:insideH w:val="none"/>
                        <w:insideV w:val="none"/>
                      </w:tblBorders>
                      <w:tblCellMar>
                        <w:top w:w="320" w:type="dxa"/>
                        <w:left w:w="240" w:type="dxa"/>
                        <w:bottom w:w="320" w:type="dxa"/>
                        <w:right w:w="240" w:type="dxa"/>
                      </w:tblCellMar>
                    </w:tblPr>
                    <w:tblGrid>
                      <w:gridCol/>
                    </w:tblGrid>
                    <w:tr>
                      <w:tc>
                        <w:tcPr>
                          <w:shd w:val="clear" w:fill="E4E4E4"/>
                        </w:tcPr>
                        <w:p>
                          <w:pPr>
                            <w:pStyle w:val="CkDisplay"/>
                            <w:spacing w:before="0"/>
                            <ck:id v="2"/>
                          </w:pPr>
                          <w:bookmarkStart w:id="3" w:name="_2"/>
                          <w:r>
                            <w:t>2</w:t>
                          </w:r>
                          <w:bookmarkEnd w:id="3"/>
                        </w:p>
                        <w:p>
                          <w:r>
                            <w:t>Hot Leads</w:t>
                          </w:r>
                        </w:p>
                      </w:tc>
                    </w:tr>
                  </w:tbl>
                </w:sdtContent>
              </w:sdt>
              <w:p/>
            </w:tc>
            <w:tc>
              <w:tcPr>
                <w:tcW w:w="2410" w:type="dxa"/>
              </w:tcPr>
              <w:sdt>
                <w:sdtPr>
                  <w:tag w:val="clarkdown:div"/>
                  <ck:div v="|panel|tint=neutral"/>
                </w:sdtPr>
                <w:sdtContent>
                  <w:tbl>
                    <w:tblPr>
                      <w:tblW w:w="5000" w:type="pct"/>
                      <w:tblBorders>
                        <w:top w:val="none"/>
                        <w:left w:val="none"/>
                        <w:bottom w:val="none"/>
                        <w:right w:val="none"/>
                        <w:insideH w:val="none"/>
                        <w:insideV w:val="none"/>
                      </w:tblBorders>
                      <w:tblCellMar>
                        <w:top w:w="320" w:type="dxa"/>
                        <w:left w:w="240" w:type="dxa"/>
                        <w:bottom w:w="320" w:type="dxa"/>
                        <w:right w:w="240" w:type="dxa"/>
                      </w:tblCellMar>
                    </w:tblPr>
                    <w:tblGrid>
                      <w:gridCol/>
                    </w:tblGrid>
                    <w:tr>
                      <w:tc>
                        <w:tcPr>
                          <w:shd w:val="clear" w:fill="F7F7F7"/>
                        </w:tcPr>
                        <w:p>
                          <w:pPr>
                            <w:pStyle w:val="CkDisplay"/>
                            <w:spacing w:before="0"/>
                            <ck:id v="1"/>
                          </w:pPr>
                          <w:bookmarkStart w:id="4" w:name="_1"/>
                          <w:r>
                            <w:t>1</w:t>
                          </w:r>
                          <w:bookmarkEnd w:id="4"/>
                        </w:p>
                        <w:p>
                          <w:r>
                            <w:t>Nurture</w:t>
                          </w:r>
                        </w:p>
                      </w:tc>
                    </w:tr>
                  </w:tbl>
                </w:sdtContent>
              </w:sdt>
              <w:p/>
            </w:tc>
            <w:tc>
              <w:tcPr>
                <w:tcW w:w="2410" w:type="dxa"/>
              </w:tcPr>
              <w:sdt>
                <w:sdtPr>
                  <w:tag w:val="clarkdown:div"/>
                  <ck:div v="|panel|tint=neutral"/>
                </w:sdtPr>
                <w:sdtContent>
                  <w:tbl>
                    <w:tblPr>
                      <w:tblW w:w="5000" w:type="pct"/>
                      <w:tblBorders>
                        <w:top w:val="none"/>
                        <w:left w:val="none"/>
                        <w:bottom w:val="none"/>
                        <w:right w:val="none"/>
                        <w:insideH w:val="none"/>
                        <w:insideV w:val="none"/>
                      </w:tblBorders>
                      <w:tblCellMar>
                        <w:top w:w="320" w:type="dxa"/>
                        <w:left w:w="240" w:type="dxa"/>
                        <w:bottom w:w="320" w:type="dxa"/>
                        <w:right w:w="240" w:type="dxa"/>
                      </w:tblCellMar>
                    </w:tblPr>
                    <w:tblGrid>
                      <w:gridCol/>
                    </w:tblGrid>
                    <w:tr>
                      <w:tc>
                        <w:tcPr>
                          <w:shd w:val="clear" w:fill="F7F7F7"/>
                        </w:tcPr>
                        <w:p>
                          <w:pPr>
                            <w:pStyle w:val="CkDisplay"/>
                            <w:spacing w:before="0"/>
                            <ck:id v="2-1"/>
                          </w:pPr>
                          <w:bookmarkStart w:id="5" w:name="_2_1"/>
                          <w:r>
                            <w:t>2</w:t>
                          </w:r>
                          <w:bookmarkEnd w:id="5"/>
                        </w:p>
                        <w:p>
                          <w:r>
                            <w:t>Not a Fit / Spam</w:t>
                          </w:r>
                        </w:p>
                      </w:tc>
                    </w:tr>
                  </w:tbl>
                </w:sdtContent>
              </w:sdt>
              <w:p/>
            </w:tc>
          </w:tr>
        </w:tbl>
      </w:sdtContent>
    </w:sdt>
    <w:p>
      <w:pPr>
        <w:pStyle w:val="Heading2"/>
        <ck:id v="lead-tracker"/>
      </w:pPr>
      <w:bookmarkStart w:id="6" w:name="lead_tracker"/>
      <w:r>
        <w:t>Lead Tracker</w:t>
      </w:r>
      <w:bookmarkEnd w:id="6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Lead</w:t>
            </w:r>
          </w:p>
        </w:tc>
        <w:tc>
          <w:tcPr/>
          <w:p>
            <w:r>
              <w:rPr>
                <w:b/>
              </w:rPr>
              <w:t>Score</w:t>
            </w:r>
          </w:p>
        </w:tc>
        <w:tc>
          <w:tcPr/>
          <w:p>
            <w:r>
              <w:rPr>
                <w:b/>
              </w:rPr>
              <w:t>Status</w:t>
            </w:r>
          </w:p>
        </w:tc>
        <w:tc>
          <w:tcPr/>
          <w:p>
            <w:r>
              <w:rPr>
                <w:b/>
              </w:rPr>
              <w:t>Next Action</w:t>
            </w:r>
          </w:p>
        </w:tc>
      </w:tr>
      <w:tr>
        <w:tc>
          <w:tcPr/>
          <w:p>
            <w:r>
              <w:t>Sarah Mitchell — Bright Bakery Co.</w:t>
            </w:r>
          </w:p>
        </w:tc>
        <w:tc>
          <w:tcPr/>
          <w:p>
            <w:r>
              <w:rPr>
                <w:rStyle w:val="CkAccent"/>
                <w:b/>
              </w:rPr>
              <w:t>9/10</w:t>
            </w:r>
          </w:p>
        </w:tc>
        <w:tc>
          <w:tcPr/>
          <w:p>
            <w:r>
              <w:t>Hot Lead</w:t>
            </w:r>
          </w:p>
        </w:tc>
        <w:tc>
          <w:tcPr/>
          <w:p>
            <w:r>
              <w:t>Discovery call this week</w:t>
            </w:r>
          </w:p>
        </w:tc>
      </w:tr>
      <w:tr>
        <w:tc>
          <w:tcPr/>
          <w:p>
            <w:r>
              <w:t>David Chen — Meridian Logistics</w:t>
            </w:r>
          </w:p>
        </w:tc>
        <w:tc>
          <w:tcPr/>
          <w:p>
            <w:r>
              <w:rPr>
                <w:rStyle w:val="CkAccent"/>
                <w:b/>
              </w:rPr>
              <w:t>9/10</w:t>
            </w:r>
          </w:p>
        </w:tc>
        <w:tc>
          <w:tcPr/>
          <w:p>
            <w:r>
              <w:t>Hot Lead</w:t>
            </w:r>
          </w:p>
        </w:tc>
        <w:tc>
          <w:tcPr/>
          <w:p>
            <w:r>
              <w:t>Scoping call + proposal by Friday</w:t>
            </w:r>
          </w:p>
        </w:tc>
      </w:tr>
      <w:tr>
        <w:tc>
          <w:tcPr/>
          <w:p>
            <w:r>
              <w:t>James Okafor — Okafor Landscaping</w:t>
            </w:r>
          </w:p>
        </w:tc>
        <w:tc>
          <w:tcPr/>
          <w:p>
            <w:r>
              <w:t>3/10</w:t>
            </w:r>
          </w:p>
        </w:tc>
        <w:tc>
          <w:tcPr/>
          <w:p>
            <w:r>
              <w:t>Nurture</w:t>
            </w:r>
          </w:p>
        </w:tc>
        <w:tc>
          <w:tcPr/>
          <w:p>
            <w:r>
              <w:t>Add to nurture sequence</w:t>
            </w:r>
          </w:p>
        </w:tc>
      </w:tr>
      <w:tr>
        <w:tc>
          <w:tcPr/>
          <w:p>
            <w:r>
              <w:t>Priya Anand — Student inquiry</w:t>
            </w:r>
          </w:p>
        </w:tc>
        <w:tc>
          <w:tcPr/>
          <w:p>
            <w:r>
              <w:t>1/10</w:t>
            </w:r>
          </w:p>
        </w:tc>
        <w:tc>
          <w:tcPr/>
          <w:p>
            <w:r>
              <w:t>Not a Fit</w:t>
            </w:r>
          </w:p>
        </w:tc>
        <w:tc>
          <w:tcPr/>
          <w:p>
            <w:r>
              <w:t>Polite decline reply</w:t>
            </w:r>
          </w:p>
        </w:tc>
      </w:tr>
      <w:tr>
        <w:tc>
          <w:tcPr/>
          <w:p>
            <w:r>
              <w:t>Marketing Solutions LLC</w:t>
            </w:r>
          </w:p>
        </w:tc>
        <w:tc>
          <w:tcPr/>
          <w:p>
            <w:r>
              <w:t>0/10</w:t>
            </w:r>
          </w:p>
        </w:tc>
        <w:tc>
          <w:tcPr/>
          <w:p>
            <w:r>
              <w:t>Spam/Vendor</w:t>
            </w:r>
          </w:p>
        </w:tc>
        <w:tc>
          <w:tcPr/>
          <w:p>
            <w:r>
              <w:t>No reply — archived</w:t>
            </w:r>
          </w:p>
        </w:tc>
      </w:tr>
    </w:tbl>
    <w:p>
      <w:pPr>
        <w:pStyle w:val="Heading2"/>
        <ck:id v="how-the-score-is-calculated"/>
      </w:pPr>
      <w:bookmarkStart w:id="7" w:name="how_the_score_is_calculated"/>
      <w:r>
        <w:t>How the Score Is Calculated</w:t>
      </w:r>
      <w:bookmarkEnd w:id="7"/>
    </w:p>
    <w:p>
      <w:r>
        <w:t>Each inbound lead is scored out of 10 across four signals the agent extracts from the message text: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Clarity of need</w:t>
      </w:r>
      <w:r>
        <w:t xml:space="preserve"> (0–2) — is the ask specific, or vague?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Budget signal</w:t>
      </w:r>
      <w:r>
        <w:t xml:space="preserve"> (0–3) — is a number mentioned, and is it realistic for the ask?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Urgency / timeline</w:t>
      </w:r>
      <w:r>
        <w:t xml:space="preserve"> (0–2) — is there a deadline or stated urgency?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Decision authority</w:t>
      </w:r>
      <w:r>
        <w:t xml:space="preserve"> (0–2) — does the sender sound like the person who can say yes?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Service fit</w:t>
      </w:r>
      <w:r>
        <w:t xml:space="preserve"> (0–1) — does the request match services actually offered?</w:t>
      </w:r>
    </w:p>
    <w:sdt>
      <w:sdtPr>
        <w:tag w:val="clarkdown:div"/>
        <ck:div v="|panel|tint=neutral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F7F7F7"/>
              </w:tcPr>
              <w:p>
                <w:r>
                  <w:t xml:space="preserve">Leads scoring </w:t>
                </w:r>
                <w:r>
                  <w:rPr>
                    <w:b/>
                  </w:rPr>
                  <w:t>7+</w:t>
                </w:r>
                <w:r>
                  <w:t xml:space="preserve"> get a same-day, fully personalized reply proposing a specific next step. Leads scoring </w:t>
                </w:r>
                <w:r>
                  <w:rPr>
                    <w:b/>
                  </w:rPr>
                  <w:t>3–6</w:t>
                </w:r>
                <w:r>
                  <w:t xml:space="preserve"> get a lower-pressure nurture reply. Anything below that — including clear vendor pitches — gets archived with no reply, so the business owner's inbox only surfaces what actually needs their attention.</w:t>
                </w:r>
              </w:p>
            </w:tc>
          </w:tr>
        </w:tbl>
      </w:sdtContent>
    </w:sdt>
    <w:p>
      <w:pPr>
        <w:pStyle w:val="Heading2"/>
        <ck:id v="why-this-matters"/>
      </w:pPr>
      <w:bookmarkStart w:id="8" w:name="why_this_matters"/>
      <w:r>
        <w:t>Why This Matters</w:t>
      </w:r>
      <w:bookmarkEnd w:id="8"/>
    </w:p>
    <w:p>
      <w:r>
        <w:t xml:space="preserve">A business owner checking their inbox manually treats every message the same — a hot $15k opportunity sits next to a spam pitch until someone reads both. This agent applies consistent scoring in seconds, drafts a response that already matches the lead's context, and only asks a human to review before anything goes out — full follow-up drafts are in </w:t>
      </w:r>
      <w:r>
        <w:rPr>
          <w:rStyle w:val="CkCode"/>
        </w:rPr>
        <w:t>follow-up-drafts.md</w:t>
      </w:r>
      <w:r>
        <w:t>.</w:t>
      </w:r>
    </w:p>
    <w:sectPr>
      <ck:section v="1:||margins=2.2cm 2cm,size=a4"/>
      <w:pgSz w:w="11906" w:h="16838"/>
      <w:pgMar w:top="1247" w:right="1134" w:bottom="1247" w:left="1134" w:header="720" w:footer="720" w:gutter="0"/>
    </w:sectPr>
  </w:body>
</w:document>
</file>

<file path=word/fontTable.xml><?xml version="1.0" encoding="utf-8"?>
<w:fonts xmlns:w="http://schemas.openxmlformats.org/wordprocessingml/2006/main">
  <w:font w:name="Arial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480" w:line="264" w:lineRule="auto"/>
      <w:outlineLvl w:val="0"/>
    </w:pPr>
    <w:rPr>
      <w:rFonts w:ascii="Arial" w:hAnsi="Arial"/>
      <w:b/>
      <w:color w:val="1A1A1A"/>
      <w:sz w:val="52"/>
      <w:szCs w:val="52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Arial" w:hAnsi="Arial"/>
      <w:b/>
      <w:sz w:val="39"/>
      <w:szCs w:val="39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Arial" w:hAnsi="Arial"/>
      <w:b/>
      <w:sz w:val="29"/>
      <w:szCs w:val="29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Arial" w:hAnsi="Arial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Arial" w:hAnsi="Arial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Arial" w:hAnsi="Arial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Arial" w:hAnsi="Arial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Arial" w:hAnsi="Arial"/>
      <w:b/>
      <w:sz w:val="69"/>
      <w:szCs w:val="69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7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7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rkdownFrontMatter">
    <vt:lpwstr>{"kv":{"theme":"swiss"},"v":1}</vt:lpwstr>
  </property>
</Properties>
</file>