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fontTable.xml" ContentType="application/vnd.openxmlformats-officedocument.wordprocessingml.fontTable+xml"/>
  <Override PartName="/word/footnotes.xml" ContentType="application/vnd.openxmlformats-officedocument.wordprocessingml.footnotes+xml"/>
  <Override PartName="/word/header2.xml" ContentType="application/vnd.openxmlformats-officedocument.wordprocessingml.header+xml"/>
  <Override PartName="/word/settings.xml" ContentType="application/vnd.openxmlformats-officedocument.wordprocessingml.settings+xml"/>
  <Override PartName="/word/header1.xml" ContentType="application/vnd.openxmlformats-officedocument.wordprocessingml.header+xml"/>
  <Override PartName="/docProps/core.xml" ContentType="application/vnd.openxmlformats-package.core-properties+xml"/>
  <Override PartName="/word/styles.xml" ContentType="application/vnd.openxmlformats-officedocument.wordprocessingml.styles+xml"/>
  <Override PartName="/word/footer1.xml" ContentType="application/vnd.openxmlformats-officedocument.wordprocessingml.footer+xml"/>
  <Override PartName="/docProps/app.xml" ContentType="application/vnd.openxmlformats-officedocument.extended-properties+xml"/>
  <Override PartName="/word/footer4.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header3.xml" ContentType="application/vnd.openxmlformats-officedocument.wordprocessingml.header+xml"/>
  <Override PartName="/word/theme/theme1.xml" ContentType="application/vnd.openxmlformats-officedocument.theme+xml"/>
  <Override PartName="/word/endnotes.xml" ContentType="application/vnd.openxmlformats-officedocument.wordprocessingml.endnotes+xml"/>
  <Override PartName="/word/footer3.xml" ContentType="application/vnd.openxmlformats-officedocument.wordprocessingml.footer+xml"/>
  <Override PartName="/word/footer5.xml" ContentType="application/vnd.openxmlformats-officedocument.wordprocessingml.footer+xml"/>
  <Override PartName="/word/footer2.xml" ContentType="application/vnd.openxmlformats-officedocument.wordprocessingml.footer+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p14="http://schemas.microsoft.com/office/word/2010/wordprocessingDrawing" xmlns:w14="http://schemas.microsoft.com/office/word/2010/wordml" xmlns:m="http://schemas.openxmlformats.org/officeDocument/2006/math" xmlns:w="http://schemas.openxmlformats.org/wordprocessingml/2006/main" xmlns:a="http://schemas.openxmlformats.org/drawingml/2006/main" xmlns:r="http://schemas.openxmlformats.org/officeDocument/2006/relationships" xmlns:wp="http://schemas.openxmlformats.org/drawingml/2006/wordprocessingDrawing" xmlns:pic="http://schemas.openxmlformats.org/drawingml/2006/picture" xmlns:mc="http://schemas.openxmlformats.org/markup-compatibility/2006" mc:Ignorable="wp14 w14">
  <w:body>
    <w:p>
      <w:pPr>
        <w:pStyle w:val="0000b1"/>
        <w:rPr>
          <w:rFonts w:hint="eastAsia" w:asciiTheme="minorHAnsi" w:hAnsiTheme="minorHAnsi" w:eastAsiaTheme="minorEastAsia" w:cstheme="minorBidi"/>
          <w:color w:val="auto"/>
          <w:kern w:val="2"/>
          <w:sz w:val="21"/>
          <w:szCs w:val="22"/>
          <w:lang w:val="zh-CN"/>
        </w:rPr>
      </w:pPr>
      <w:r>
        <w:rPr>
          <w:rFonts w:ascii="等线" w:hAnsi="等线" w:eastAsia="等线" w:cs="Times New Roman"/>
          <w:noProof w:val="1"/>
          <w:color w:val="auto"/>
          <w:kern w:val="2"/>
          <w:sz w:val="21"/>
          <w:szCs w:val="22"/>
        </w:rPr>
        <w:drawing>
          <wp:anchor distT="0" distB="0" distL="114300" distR="114300" simplePos="0" relativeHeight="251667456" behindDoc="0" locked="0" layoutInCell="1" allowOverlap="1">
            <wp:simplePos x="0" y="0"/>
            <wp:positionH relativeFrom="page">
              <wp:align>left</wp:align>
            </wp:positionH>
            <wp:positionV relativeFrom="paragraph">
              <wp:posOffset>-927588</wp:posOffset>
            </wp:positionV>
            <wp:extent cx="7571215" cy="10752455"/>
            <wp:effectExtent l="0" t="0" r="0" b="0"/>
            <wp:wrapNone/>
            <wp:docPr id="2" name="图片 2"/>
            <wp:cNvGraphicFramePr>
              <a:graphicFrameLocks noChangeAspect="1"/>
            </wp:cNvGraphicFramePr>
            <a:graphic>
              <a:graphicData uri="http://schemas.openxmlformats.org/drawingml/2006/picture">
                <pic:pic>
                  <pic:nvPicPr>
                    <pic:cNvPr id="3" name="Picture 1"/>
                    <pic:cNvPicPr>
                      <a:picLocks noChangeAspect="1" noChangeArrowheads="1"/>
                    </pic:cNvPicPr>
                  </pic:nvPicPr>
                  <pic:blipFill rotWithShape="1">
                    <a:blip r:embed="rId15">
                      <a:extLst>
                        <a:ext uri="{28A0092B-C50C-407E-A947-70E740481C1C}"/>
                      </a:extLst>
                    </a:blip>
                    <a:srcRect t="448"/>
                    <a:stretch>
                      <a:fillRect/>
                    </a:stretch>
                  </pic:blipFill>
                  <pic:spPr bwMode="auto">
                    <a:xfrm>
                      <a:off x="0" y="0"/>
                      <a:ext cx="7571215" cy="10752455"/>
                    </a:xfrm>
                    <a:prstGeom prst="rect">
                      <a:avLst/>
                    </a:prstGeom>
                    <a:noFill/>
                    <a:ln>
                      <a:noFill/>
                    </a:ln>
                    <a:extLst>
                      <a:ext uri="{53640926-AAD7-44D8-BBD7-CCE9431645EC}"/>
                    </a:extLst>
                  </pic:spPr>
                </pic:pic>
              </a:graphicData>
            </a:graphic>
            <wp14:sizeRelH relativeFrom="margin">
              <wp14:pctWidth>0</wp14:pctWidth>
            </wp14:sizeRelH>
            <wp14:sizeRelV relativeFrom="margin">
              <wp14:pctHeight>0</wp14:pctHeight>
            </wp14:sizeRelV>
          </wp:anchor>
        </w:drawing>
      </w:r>
    </w:p>
    <w:p>
      <w:pPr>
        <w:pStyle w:val="0000b1"/>
        <w:rPr>
          <w:rFonts w:hint="eastAsia" w:asciiTheme="minorHAnsi" w:hAnsiTheme="minorHAnsi" w:eastAsiaTheme="minorEastAsia" w:cstheme="minorBidi"/>
          <w:color w:val="auto"/>
          <w:kern w:val="2"/>
          <w:sz w:val="21"/>
          <w:szCs w:val="22"/>
          <w:lang w:val="zh-CN"/>
        </w:rPr>
      </w:pPr>
    </w:p>
    <w:sdt>
      <w:sdtPr>
        <w:rPr>
          <w:rFonts w:asciiTheme="minorHAnsi" w:hAnsiTheme="minorHAnsi" w:eastAsiaTheme="minorEastAsia" w:cstheme="minorBidi"/>
          <w:color w:val="auto"/>
          <w:kern w:val="2"/>
          <w:sz w:val="21"/>
          <w:szCs w:val="22"/>
          <w:lang w:val="zh-CN"/>
        </w:rPr>
        <w:id w:val="392317929"/>
        <w:docPartObj>
          <w:docPartGallery w:val="Table of Contents"/>
          <w:docPartUnique w:val="1"/>
        </w:docPartObj>
      </w:sdtPr>
      <w:sdtContent>
        <w:p>
          <w:pPr>
            <w:pStyle w:val="0000b1"/>
            <w:rPr>
              <w:rFonts w:hint="eastAsia" w:asciiTheme="minorHAnsi" w:hAnsiTheme="minorHAnsi" w:eastAsiaTheme="minorEastAsia" w:cstheme="minorBidi"/>
              <w:color w:val="auto"/>
              <w:kern w:val="2"/>
              <w:sz w:val="21"/>
              <w:szCs w:val="22"/>
              <w:lang w:val="zh-CN"/>
            </w:rPr>
            <w:sectPr w:rsidRPr="00801596" w:rsidR="00801596" w:rsidSect="00F92965">
              <w:headerReference r:id="rId8" w:type="first"/>
              <w:headerReference r:id="rId9" w:type="even"/>
              <w:headerReference r:id="rId7" w:type="default"/>
              <w:footerReference r:id="rId11" w:type="first"/>
              <w:footerReference r:id="rId10" w:type="default"/>
              <w:pgSz w:w="11906" w:h="16838"/>
              <w:pgMar w:top="1440" w:right="1800" w:bottom="1440" w:left="1800" w:header="851" w:footer="992" w:gutter="0"/>
              <w:pgNumType w:fmt="upperRoman" w:start="1"/>
              <w:cols w:space="425"/>
              <w:docGrid w:type="lines" w:linePitch="312"/>
            </w:sectPr>
          </w:pPr>
        </w:p>
        <w:p>
          <w:pPr>
            <w:pStyle w:val="0000b1"/>
            <w:jc w:val="center"/>
            <w:rPr>
              <w:rFonts w:hint="eastAsia" w:ascii="黑体" w:hAnsi="黑体" w:eastAsia="黑体"/>
              <w:color w:val="auto"/>
              <w:sz w:val="36"/>
              <w:szCs w:val="36"/>
            </w:rPr>
          </w:pPr>
          <w:r>
            <w:rPr>
              <w:rFonts w:ascii="黑体" w:hAnsi="黑体" w:eastAsia="黑体"/>
              <w:color w:val="auto"/>
              <w:sz w:val="36"/>
              <w:szCs w:val="36"/>
              <w:lang w:val="zh-CN"/>
            </w:rPr>
            <w:t>目录</w:t>
          </w:r>
        </w:p>
        <w:p>
          <w:pPr>
            <w:pStyle w:val="0000b3"/>
            <w:rPr>
              <w:rFonts w:hint="eastAsia"/>
            </w:rPr>
          </w:pPr>
          <w:r>
            <w:rPr>
              <w:rFonts w:hint="eastAsia"/>
              <w:b w:val="1"/>
              <w:bCs w:val="1"/>
            </w:rPr>
            <w:t>第一部分：执行摘要</w:t>
          </w:r>
          <w:r>
            <w:rPr/>
            <w:ptab w:alignment="right" w:relativeTo="margin" w:leader="dot"/>
          </w:r>
          <w:r>
            <w:rPr>
              <w:b w:val="1"/>
              <w:bCs w:val="1"/>
              <w:lang w:val="zh-CN"/>
            </w:rPr>
            <w:t>1</w:t>
          </w:r>
        </w:p>
        <w:p>
          <w:pPr>
            <w:pStyle w:val="0000b2"/>
            <w:ind w:left="216"/>
            <w:rPr>
              <w:rFonts w:hint="eastAsia"/>
              <w:lang w:val="zh-CN"/>
            </w:rPr>
          </w:pPr>
          <w:r>
            <w:rPr>
              <w:rFonts w:hint="eastAsia"/>
            </w:rPr>
            <w:t>一、项目背景与痛点</w:t>
          </w:r>
          <w:r>
            <w:rPr/>
            <w:ptab w:alignment="right" w:relativeTo="margin" w:leader="dot"/>
          </w:r>
          <w:r>
            <w:rPr>
              <w:rFonts w:hint="eastAsia"/>
              <w:lang w:val="zh-CN"/>
            </w:rPr>
            <w:t>1</w:t>
          </w:r>
        </w:p>
        <w:p>
          <w:pPr>
            <w:pStyle w:val="0000b2"/>
            <w:ind w:left="216"/>
            <w:rPr>
              <w:rFonts w:hint="eastAsia"/>
            </w:rPr>
          </w:pPr>
          <w:r>
            <w:rPr>
              <w:rFonts w:hint="eastAsia"/>
            </w:rPr>
            <w:t>二、解决方案</w:t>
          </w:r>
          <w:r>
            <w:rPr/>
            <w:ptab w:alignment="right" w:relativeTo="margin" w:leader="dot"/>
          </w:r>
          <w:r>
            <w:rPr>
              <w:rFonts w:hint="eastAsia"/>
              <w:lang w:val="zh-CN"/>
            </w:rPr>
            <w:t>1</w:t>
          </w:r>
        </w:p>
        <w:p>
          <w:pPr>
            <w:pStyle w:val="0000b2"/>
            <w:ind w:left="216"/>
            <w:rPr>
              <w:rFonts w:hint="eastAsia"/>
            </w:rPr>
          </w:pPr>
          <w:r>
            <w:rPr/>
            <w:t>三、核心竞争优势</w:t>
          </w:r>
          <w:r>
            <w:rPr/>
            <w:ptab w:alignment="right" w:relativeTo="margin" w:leader="dot"/>
          </w:r>
          <w:r>
            <w:rPr>
              <w:rFonts w:hint="eastAsia"/>
              <w:lang w:val="zh-CN"/>
            </w:rPr>
            <w:t>1</w:t>
          </w:r>
        </w:p>
        <w:p>
          <w:pPr>
            <w:pStyle w:val="0000b2"/>
            <w:ind w:left="216"/>
            <w:rPr>
              <w:rFonts w:hint="eastAsia"/>
            </w:rPr>
          </w:pPr>
          <w:r>
            <w:rPr>
              <w:rFonts w:hint="eastAsia"/>
            </w:rPr>
            <w:t>四、政策前瞻与未来应用</w:t>
          </w:r>
          <w:r>
            <w:rPr/>
            <w:ptab w:alignment="right" w:relativeTo="margin" w:leader="dot"/>
          </w:r>
          <w:r>
            <w:rPr>
              <w:rFonts w:hint="eastAsia"/>
              <w:lang w:val="zh-CN"/>
            </w:rPr>
            <w:t>1</w:t>
          </w:r>
        </w:p>
        <w:p>
          <w:pPr>
            <w:pStyle w:val="0000b2"/>
            <w:ind w:left="216"/>
            <w:rPr>
              <w:rFonts w:hint="eastAsia"/>
            </w:rPr>
          </w:pPr>
          <w:r>
            <w:rPr>
              <w:rFonts w:hint="eastAsia"/>
            </w:rPr>
            <w:t>五、市场与财务概览</w:t>
          </w:r>
          <w:r>
            <w:rPr/>
            <w:ptab w:alignment="right" w:relativeTo="margin" w:leader="dot"/>
          </w:r>
          <w:r>
            <w:rPr>
              <w:lang w:val="zh-CN"/>
            </w:rPr>
            <w:t>2</w:t>
          </w:r>
        </w:p>
        <w:p>
          <w:pPr>
            <w:pStyle w:val="0000b2"/>
            <w:ind w:left="216"/>
            <w:rPr>
              <w:rFonts w:hint="eastAsia"/>
            </w:rPr>
          </w:pPr>
          <w:r>
            <w:rPr>
              <w:rFonts w:hint="eastAsia"/>
            </w:rPr>
            <w:t>六、团队概述</w:t>
          </w:r>
          <w:r>
            <w:rPr/>
            <w:ptab w:alignment="right" w:relativeTo="margin" w:leader="dot"/>
          </w:r>
          <w:r>
            <w:rPr>
              <w:lang w:val="zh-CN"/>
            </w:rPr>
            <w:t>2</w:t>
          </w:r>
        </w:p>
        <w:p>
          <w:pPr>
            <w:pStyle w:val="0000b3"/>
            <w:rPr>
              <w:rFonts w:hint="eastAsia"/>
            </w:rPr>
          </w:pPr>
          <w:r>
            <w:rPr>
              <w:rFonts w:hint="eastAsia"/>
              <w:b w:val="1"/>
              <w:bCs w:val="1"/>
            </w:rPr>
            <w:t>第二部分：市场痛点</w:t>
          </w:r>
          <w:r>
            <w:rPr/>
            <w:ptab w:alignment="right" w:relativeTo="margin" w:leader="dot"/>
          </w:r>
          <w:r>
            <w:rPr>
              <w:rFonts w:hint="eastAsia"/>
              <w:b w:val="1"/>
              <w:bCs w:val="1"/>
              <w:lang w:val="zh-CN"/>
            </w:rPr>
            <w:t>3</w:t>
          </w:r>
        </w:p>
        <w:p>
          <w:pPr>
            <w:pStyle w:val="0000b2"/>
            <w:ind w:left="216"/>
            <w:rPr>
              <w:rFonts w:hint="eastAsia"/>
            </w:rPr>
          </w:pPr>
          <w:r>
            <w:rPr>
              <w:rFonts w:hint="eastAsia"/>
            </w:rPr>
            <w:t>一、关键数据</w:t>
          </w:r>
          <w:r>
            <w:rPr/>
            <w:ptab w:alignment="right" w:relativeTo="margin" w:leader="dot"/>
          </w:r>
          <w:r>
            <w:rPr>
              <w:rFonts w:hint="eastAsia"/>
              <w:lang w:val="zh-CN"/>
            </w:rPr>
            <w:t>3</w:t>
          </w:r>
        </w:p>
        <w:p>
          <w:pPr>
            <w:pStyle w:val="0000b4"/>
            <w:ind w:left="446"/>
            <w:rPr>
              <w:rFonts w:hint="eastAsia"/>
              <w:lang w:val="zh-CN"/>
            </w:rPr>
          </w:pPr>
          <w:r>
            <w:rPr>
              <w:rFonts w:hint="eastAsia"/>
            </w:rPr>
            <w:t>（一）事故发生率与致死率</w:t>
          </w:r>
          <w:r>
            <w:rPr/>
            <w:ptab w:alignment="right" w:relativeTo="margin" w:leader="dot"/>
          </w:r>
          <w:r>
            <w:rPr>
              <w:rFonts w:hint="eastAsia"/>
              <w:lang w:val="zh-CN"/>
            </w:rPr>
            <w:t>3</w:t>
          </w:r>
        </w:p>
        <w:p>
          <w:pPr>
            <w:pStyle w:val="0000b4"/>
            <w:ind w:left="446"/>
            <w:rPr>
              <w:rFonts w:hint="eastAsia"/>
              <w:lang w:val="zh-CN"/>
            </w:rPr>
          </w:pPr>
          <w:r>
            <w:rPr>
              <w:rFonts w:hint="eastAsia"/>
            </w:rPr>
            <w:t>（二）现有方案覆盖率与盲区</w:t>
          </w:r>
          <w:r>
            <w:rPr/>
            <w:ptab w:alignment="right" w:relativeTo="margin" w:leader="dot"/>
          </w:r>
          <w:r>
            <w:rPr>
              <w:rFonts w:hint="eastAsia"/>
              <w:lang w:val="zh-CN"/>
            </w:rPr>
            <w:t>3</w:t>
          </w:r>
        </w:p>
        <w:p>
          <w:pPr>
            <w:pStyle w:val="0000b4"/>
            <w:ind w:left="446"/>
            <w:rPr>
              <w:rFonts w:hint="eastAsia"/>
              <w:lang w:val="zh-CN"/>
            </w:rPr>
          </w:pPr>
          <w:r>
            <w:rPr>
              <w:rFonts w:hint="eastAsia"/>
            </w:rPr>
            <w:t>（三）市场缺口</w:t>
          </w:r>
          <w:r>
            <w:rPr/>
            <w:ptab w:alignment="right" w:relativeTo="margin" w:leader="dot"/>
          </w:r>
          <w:r>
            <w:rPr>
              <w:rFonts w:hint="eastAsia"/>
              <w:lang w:val="zh-CN"/>
            </w:rPr>
            <w:t>3</w:t>
          </w:r>
        </w:p>
        <w:p>
          <w:pPr>
            <w:pStyle w:val="0000b2"/>
            <w:ind w:left="216"/>
            <w:rPr>
              <w:rFonts w:hint="eastAsia"/>
            </w:rPr>
          </w:pPr>
          <w:r>
            <w:rPr>
              <w:rFonts w:hint="eastAsia"/>
            </w:rPr>
            <w:t>二、市场数据与调研结果分析</w:t>
          </w:r>
          <w:r>
            <w:rPr/>
            <w:ptab w:alignment="right" w:relativeTo="margin" w:leader="dot"/>
          </w:r>
          <w:r>
            <w:rPr>
              <w:rFonts w:hint="eastAsia"/>
              <w:lang w:val="zh-CN"/>
            </w:rPr>
            <w:t>4</w:t>
          </w:r>
        </w:p>
        <w:p>
          <w:pPr>
            <w:pStyle w:val="0000b4"/>
            <w:ind w:left="446"/>
            <w:rPr>
              <w:rFonts w:hint="eastAsia"/>
              <w:lang w:val="zh-CN"/>
            </w:rPr>
          </w:pPr>
          <w:r>
            <w:rPr>
              <w:rFonts w:hint="eastAsia"/>
            </w:rPr>
            <w:t>（一）认知偏差</w:t>
          </w:r>
          <w:r>
            <w:rPr/>
            <w:ptab w:alignment="right" w:relativeTo="margin" w:leader="dot"/>
          </w:r>
          <w:r>
            <w:rPr>
              <w:rFonts w:hint="eastAsia"/>
              <w:lang w:val="zh-CN"/>
            </w:rPr>
            <w:t>4</w:t>
          </w:r>
        </w:p>
        <w:p>
          <w:pPr>
            <w:pStyle w:val="0000b4"/>
            <w:ind w:left="446"/>
            <w:rPr>
              <w:rFonts w:hint="eastAsia"/>
              <w:lang w:val="zh-CN"/>
            </w:rPr>
          </w:pPr>
          <w:r>
            <w:rPr>
              <w:rFonts w:hint="eastAsia"/>
            </w:rPr>
            <w:t>（二）行车痛点</w:t>
          </w:r>
          <w:r>
            <w:rPr/>
            <w:ptab w:alignment="right" w:relativeTo="margin" w:leader="dot"/>
          </w:r>
          <w:r>
            <w:rPr>
              <w:rFonts w:hint="eastAsia"/>
              <w:lang w:val="zh-CN"/>
            </w:rPr>
            <w:t>5</w:t>
          </w:r>
        </w:p>
        <w:p>
          <w:pPr>
            <w:pStyle w:val="0000b4"/>
            <w:ind w:left="446"/>
            <w:rPr>
              <w:rFonts w:hint="eastAsia"/>
              <w:lang w:val="zh-CN"/>
            </w:rPr>
          </w:pPr>
          <w:r>
            <w:rPr>
              <w:rFonts w:hint="eastAsia"/>
            </w:rPr>
            <w:t>（三）经济损失</w:t>
          </w:r>
          <w:r>
            <w:rPr/>
            <w:ptab w:alignment="right" w:relativeTo="margin" w:leader="dot"/>
          </w:r>
          <w:r>
            <w:rPr>
              <w:rFonts w:hint="eastAsia"/>
              <w:lang w:val="zh-CN"/>
            </w:rPr>
            <w:t>7</w:t>
          </w:r>
        </w:p>
        <w:p>
          <w:pPr>
            <w:pStyle w:val="0000b2"/>
            <w:ind w:left="216"/>
            <w:rPr>
              <w:rFonts w:hint="eastAsia"/>
            </w:rPr>
          </w:pPr>
          <w:r>
            <w:rPr/>
            <w:t>三、</w:t>
          </w:r>
          <w:r>
            <w:rPr>
              <w:rFonts w:hint="eastAsia"/>
            </w:rPr>
            <w:t>市面上现有方案的工作原理与缺陷</w:t>
          </w:r>
          <w:r>
            <w:rPr/>
            <w:ptab w:alignment="right" w:relativeTo="margin" w:leader="dot"/>
          </w:r>
          <w:r>
            <w:rPr>
              <w:rFonts w:hint="eastAsia"/>
              <w:lang w:val="zh-CN"/>
            </w:rPr>
            <w:t>10</w:t>
          </w:r>
        </w:p>
        <w:p>
          <w:pPr>
            <w:pStyle w:val="0000b3"/>
            <w:rPr>
              <w:rFonts w:hint="eastAsia"/>
            </w:rPr>
          </w:pPr>
          <w:r>
            <w:rPr>
              <w:rFonts w:hint="eastAsia"/>
              <w:b w:val="1"/>
              <w:bCs w:val="1"/>
            </w:rPr>
            <w:t>第三部分：解决方案</w:t>
          </w:r>
          <w:r>
            <w:rPr/>
            <w:ptab w:alignment="right" w:relativeTo="margin" w:leader="dot"/>
          </w:r>
          <w:r>
            <w:rPr>
              <w:rFonts w:hint="eastAsia"/>
              <w:b w:val="1"/>
              <w:bCs w:val="1"/>
              <w:lang w:val="zh-CN"/>
            </w:rPr>
            <w:t>11</w:t>
          </w:r>
        </w:p>
        <w:p>
          <w:pPr>
            <w:pStyle w:val="0000b2"/>
            <w:ind w:left="216"/>
            <w:rPr>
              <w:rFonts w:hint="eastAsia"/>
            </w:rPr>
          </w:pPr>
          <w:r>
            <w:rPr>
              <w:rFonts w:hint="eastAsia"/>
            </w:rPr>
            <w:t>一、技术原理</w:t>
          </w:r>
          <w:r>
            <w:rPr/>
            <w:ptab w:alignment="right" w:relativeTo="margin" w:leader="dot"/>
          </w:r>
          <w:r>
            <w:rPr>
              <w:rFonts w:hint="eastAsia"/>
              <w:lang w:val="zh-CN"/>
            </w:rPr>
            <w:t>11</w:t>
          </w:r>
        </w:p>
        <w:p>
          <w:pPr>
            <w:pStyle w:val="0000b4"/>
            <w:ind w:left="446"/>
            <w:rPr>
              <w:rFonts w:hint="eastAsia"/>
            </w:rPr>
          </w:pPr>
          <w:r>
            <w:rPr>
              <w:rFonts w:hint="eastAsia"/>
            </w:rPr>
            <w:t>（一）MATLAB建模仿真</w:t>
          </w:r>
          <w:r>
            <w:rPr/>
            <w:ptab w:alignment="right" w:relativeTo="margin" w:leader="dot"/>
          </w:r>
          <w:r>
            <w:rPr>
              <w:rFonts w:hint="eastAsia"/>
            </w:rPr>
            <w:t>11</w:t>
          </w:r>
        </w:p>
        <w:p>
          <w:pPr>
            <w:pStyle w:val="0000b4"/>
            <w:ind w:left="446"/>
            <w:rPr>
              <w:rFonts w:hint="eastAsia"/>
              <w:lang w:val="zh-CN"/>
            </w:rPr>
          </w:pPr>
          <w:r>
            <w:rPr>
              <w:rFonts w:hint="eastAsia"/>
            </w:rPr>
            <w:t>（二）Python技术栈支撑</w:t>
          </w:r>
          <w:r>
            <w:rPr/>
            <w:ptab w:alignment="right" w:relativeTo="margin" w:leader="dot"/>
          </w:r>
          <w:r>
            <w:rPr>
              <w:rFonts w:hint="eastAsia"/>
              <w:lang w:val="zh-CN"/>
            </w:rPr>
            <w:t>12</w:t>
          </w:r>
        </w:p>
        <w:p>
          <w:pPr>
            <w:pStyle w:val="0000b4"/>
            <w:ind w:left="446"/>
            <w:rPr>
              <w:rFonts w:hint="eastAsia"/>
              <w:lang w:val="zh-CN"/>
            </w:rPr>
          </w:pPr>
          <w:r>
            <w:rPr>
              <w:rFonts w:hint="eastAsia"/>
            </w:rPr>
            <w:t>（三）危险区域构建</w:t>
          </w:r>
          <w:r>
            <w:rPr/>
            <w:ptab w:alignment="right" w:relativeTo="margin" w:leader="dot"/>
          </w:r>
          <w:r>
            <w:rPr>
              <w:rFonts w:hint="eastAsia"/>
              <w:lang w:val="zh-CN"/>
            </w:rPr>
            <w:t>13</w:t>
          </w:r>
        </w:p>
        <w:p>
          <w:pPr>
            <w:pStyle w:val="0000b4"/>
            <w:ind w:left="446"/>
            <w:rPr>
              <w:rFonts w:hint="eastAsia"/>
              <w:lang w:val="zh-CN"/>
            </w:rPr>
          </w:pPr>
          <w:r>
            <w:rPr>
              <w:rFonts w:hint="eastAsia"/>
            </w:rPr>
            <w:t>（四）嵌入式硬件的实时轨迹预测部署</w:t>
          </w:r>
          <w:r>
            <w:rPr/>
            <w:ptab w:alignment="right" w:relativeTo="margin" w:leader="dot"/>
          </w:r>
          <w:r>
            <w:rPr>
              <w:rFonts w:hint="eastAsia"/>
              <w:lang w:val="zh-CN"/>
            </w:rPr>
            <w:t>13</w:t>
          </w:r>
        </w:p>
        <w:p>
          <w:pPr>
            <w:pStyle w:val="0000b4"/>
            <w:ind w:left="446"/>
            <w:rPr>
              <w:rFonts w:hint="eastAsia"/>
              <w:lang w:val="zh-CN"/>
            </w:rPr>
          </w:pPr>
          <w:r>
            <w:rPr>
              <w:rFonts w:hint="eastAsia"/>
            </w:rPr>
            <w:t>（五）毫米波雷达的空间风险匹配与预警</w:t>
          </w:r>
          <w:r>
            <w:rPr/>
            <w:ptab w:alignment="right" w:relativeTo="margin" w:leader="dot"/>
          </w:r>
          <w:r>
            <w:rPr>
              <w:rFonts w:hint="eastAsia"/>
              <w:lang w:val="zh-CN"/>
            </w:rPr>
            <w:t>14</w:t>
          </w:r>
        </w:p>
        <w:p>
          <w:pPr>
            <w:pStyle w:val="0000b2"/>
            <w:ind w:left="216"/>
            <w:rPr>
              <w:rFonts w:hint="eastAsia"/>
            </w:rPr>
          </w:pPr>
          <w:r>
            <w:rPr>
              <w:rFonts w:hint="eastAsia"/>
            </w:rPr>
            <w:t>二、产品核心功能</w:t>
          </w:r>
          <w:r>
            <w:rPr/>
            <w:ptab w:alignment="right" w:relativeTo="margin" w:leader="dot"/>
          </w:r>
          <w:r>
            <w:rPr>
              <w:rFonts w:hint="eastAsia"/>
              <w:lang w:val="zh-CN"/>
            </w:rPr>
            <w:t>15</w:t>
          </w:r>
        </w:p>
        <w:p>
          <w:pPr>
            <w:pStyle w:val="0000b4"/>
            <w:ind w:left="446"/>
            <w:rPr>
              <w:rFonts w:hint="eastAsia"/>
            </w:rPr>
          </w:pPr>
          <w:r>
            <w:rPr>
              <w:rFonts w:hint="eastAsia"/>
            </w:rPr>
            <w:t>（一）参数化转弯扫掠区精准生成</w:t>
          </w:r>
          <w:r>
            <w:rPr/>
            <w:ptab w:alignment="right" w:relativeTo="margin" w:leader="dot"/>
          </w:r>
          <w:r>
            <w:rPr>
              <w:rFonts w:hint="eastAsia"/>
            </w:rPr>
            <w:t>15</w:t>
          </w:r>
        </w:p>
        <w:p>
          <w:pPr>
            <w:pStyle w:val="0000b4"/>
            <w:ind w:left="446"/>
            <w:rPr>
              <w:rFonts w:hint="eastAsia"/>
              <w:lang w:val="zh-CN"/>
            </w:rPr>
          </w:pPr>
          <w:r>
            <w:rPr>
              <w:rFonts w:hint="eastAsia"/>
            </w:rPr>
            <w:t>（二）产品形态</w:t>
          </w:r>
          <w:r>
            <w:rPr/>
            <w:ptab w:alignment="right" w:relativeTo="margin" w:leader="dot"/>
          </w:r>
          <w:r>
            <w:rPr>
              <w:rFonts w:hint="eastAsia"/>
              <w:lang w:val="zh-CN"/>
            </w:rPr>
            <w:t>15</w:t>
          </w:r>
        </w:p>
        <w:p>
          <w:pPr>
            <w:pStyle w:val="0000b3"/>
            <w:rPr>
              <w:rFonts w:hint="eastAsia"/>
            </w:rPr>
          </w:pPr>
          <w:r>
            <w:rPr>
              <w:rFonts w:hint="eastAsia"/>
              <w:b w:val="1"/>
              <w:bCs w:val="1"/>
              <w:lang w:val="zh-CN"/>
            </w:rPr>
            <w:t>第四部分：竞争优势</w:t>
          </w:r>
          <w:r>
            <w:rPr/>
            <w:ptab w:alignment="right" w:relativeTo="margin" w:leader="dot"/>
          </w:r>
          <w:r>
            <w:rPr>
              <w:rFonts w:hint="eastAsia"/>
              <w:b w:val="1"/>
              <w:bCs w:val="1"/>
              <w:lang w:val="zh-CN"/>
            </w:rPr>
            <w:t>17</w:t>
          </w:r>
        </w:p>
        <w:p>
          <w:pPr>
            <w:pStyle w:val="0000b2"/>
            <w:ind w:left="216"/>
            <w:rPr>
              <w:rFonts w:hint="eastAsia"/>
              <w:lang w:val="zh-CN"/>
            </w:rPr>
          </w:pPr>
          <w:r>
            <w:rPr>
              <w:rFonts w:hint="eastAsia"/>
              <w:lang w:val="zh-CN"/>
            </w:rPr>
            <w:t>一、学术对比</w:t>
          </w:r>
          <w:r>
            <w:rPr/>
            <w:ptab w:alignment="right" w:relativeTo="margin" w:leader="dot"/>
          </w:r>
          <w:r>
            <w:rPr>
              <w:rFonts w:hint="eastAsia"/>
              <w:lang w:val="zh-CN"/>
            </w:rPr>
            <w:t>17</w:t>
          </w:r>
        </w:p>
        <w:p>
          <w:pPr>
            <w:pStyle w:val="0000b2"/>
            <w:ind w:left="216"/>
            <w:rPr>
              <w:rFonts w:hint="eastAsia"/>
              <w:lang w:val="zh-CN"/>
            </w:rPr>
          </w:pPr>
          <w:r>
            <w:rPr>
              <w:rFonts w:hint="eastAsia"/>
            </w:rPr>
            <w:t>二、与市场主流产品的对比</w:t>
          </w:r>
          <w:r>
            <w:rPr/>
            <w:ptab w:alignment="right" w:relativeTo="margin" w:leader="dot"/>
          </w:r>
          <w:r>
            <w:rPr>
              <w:rFonts w:hint="eastAsia"/>
              <w:lang w:val="zh-CN"/>
            </w:rPr>
            <w:t>18</w:t>
          </w:r>
        </w:p>
        <w:p>
          <w:pPr>
            <w:pStyle w:val="0000b2"/>
            <w:ind w:left="216"/>
            <w:rPr>
              <w:rFonts w:hint="eastAsia"/>
            </w:rPr>
          </w:pPr>
          <w:r>
            <w:rPr>
              <w:rFonts w:hint="eastAsia"/>
            </w:rPr>
            <w:t>三、核心优势</w:t>
          </w:r>
          <w:r>
            <w:rPr/>
            <w:ptab w:alignment="right" w:relativeTo="margin" w:leader="dot"/>
          </w:r>
          <w:r>
            <w:rPr>
              <w:lang w:val="zh-CN"/>
            </w:rPr>
            <w:t>2</w:t>
          </w:r>
          <w:r>
            <w:rPr>
              <w:rFonts w:hint="eastAsia"/>
              <w:lang w:val="zh-CN"/>
            </w:rPr>
            <w:t>0</w:t>
          </w:r>
        </w:p>
        <w:p>
          <w:pPr>
            <w:pStyle w:val="0000b4"/>
            <w:ind w:left="446"/>
            <w:rPr>
              <w:rFonts w:hint="eastAsia"/>
            </w:rPr>
          </w:pPr>
          <w:r>
            <w:rPr>
              <w:rFonts w:hint="eastAsia"/>
            </w:rPr>
            <w:t>（一）动态轨迹预测</w:t>
          </w:r>
          <w:r>
            <w:rPr/>
            <w:ptab w:alignment="right" w:relativeTo="margin" w:leader="dot"/>
          </w:r>
          <w:r>
            <w:rPr>
              <w:rFonts w:hint="eastAsia"/>
            </w:rPr>
            <w:t>20</w:t>
          </w:r>
        </w:p>
        <w:p>
          <w:pPr>
            <w:pStyle w:val="0000b4"/>
            <w:ind w:left="446"/>
            <w:rPr>
              <w:rFonts w:hint="eastAsia"/>
              <w:lang w:val="zh-CN"/>
            </w:rPr>
          </w:pPr>
          <w:r>
            <w:rPr>
              <w:rFonts w:hint="eastAsia"/>
            </w:rPr>
            <w:t>（二）轻量化部署</w:t>
          </w:r>
          <w:r>
            <w:rPr/>
            <w:ptab w:alignment="right" w:relativeTo="margin" w:leader="dot"/>
          </w:r>
          <w:r>
            <w:rPr>
              <w:rFonts w:hint="eastAsia"/>
              <w:lang w:val="zh-CN"/>
            </w:rPr>
            <w:t>20</w:t>
          </w:r>
        </w:p>
        <w:p>
          <w:pPr>
            <w:pStyle w:val="0000b4"/>
            <w:ind w:left="446"/>
            <w:rPr>
              <w:rFonts w:hint="eastAsia"/>
              <w:lang w:val="zh-CN"/>
            </w:rPr>
          </w:pPr>
          <w:r>
            <w:rPr>
              <w:rFonts w:hint="eastAsia"/>
            </w:rPr>
            <w:t>（三）物理模型可解释</w:t>
          </w:r>
          <w:r>
            <w:rPr/>
            <w:ptab w:alignment="right" w:relativeTo="margin" w:leader="dot"/>
          </w:r>
          <w:r>
            <w:rPr>
              <w:rFonts w:hint="eastAsia"/>
              <w:lang w:val="zh-CN"/>
            </w:rPr>
            <w:t>20</w:t>
          </w:r>
        </w:p>
        <w:p>
          <w:pPr>
            <w:pStyle w:val="0000b4"/>
            <w:ind w:left="446"/>
            <w:rPr>
              <w:rFonts w:hint="eastAsia"/>
              <w:lang w:val="zh-CN"/>
            </w:rPr>
          </w:pPr>
          <w:r>
            <w:rPr>
              <w:rFonts w:hint="eastAsia"/>
            </w:rPr>
            <w:t>（四）自适应能力强</w:t>
          </w:r>
          <w:r>
            <w:rPr/>
            <w:ptab w:alignment="right" w:relativeTo="margin" w:leader="dot"/>
          </w:r>
          <w:r>
            <w:rPr>
              <w:rFonts w:hint="eastAsia"/>
              <w:lang w:val="zh-CN"/>
            </w:rPr>
            <w:t>20</w:t>
          </w:r>
        </w:p>
        <w:p>
          <w:pPr>
            <w:pStyle w:val="0000b2"/>
            <w:ind w:left="216"/>
            <w:rPr>
              <w:rFonts w:hint="eastAsia"/>
            </w:rPr>
          </w:pPr>
          <w:r>
            <w:rPr>
              <w:rFonts w:hint="eastAsia"/>
            </w:rPr>
            <w:t>四、迭代与更新</w:t>
          </w:r>
          <w:r>
            <w:rPr/>
            <w:ptab w:alignment="right" w:relativeTo="margin" w:leader="dot"/>
          </w:r>
          <w:r>
            <w:rPr>
              <w:lang w:val="zh-CN"/>
            </w:rPr>
            <w:t>2</w:t>
          </w:r>
          <w:r>
            <w:rPr>
              <w:rFonts w:hint="eastAsia"/>
              <w:lang w:val="zh-CN"/>
            </w:rPr>
            <w:t>1</w:t>
          </w:r>
        </w:p>
        <w:p>
          <w:pPr>
            <w:pStyle w:val="0000b3"/>
            <w:rPr>
              <w:rFonts w:hint="eastAsia"/>
            </w:rPr>
          </w:pPr>
          <w:r>
            <w:rPr>
              <w:rFonts w:hint="eastAsia"/>
              <w:b w:val="1"/>
              <w:bCs w:val="1"/>
            </w:rPr>
            <w:t>第五部分：商业模式与市场策略</w:t>
          </w:r>
          <w:r>
            <w:rPr/>
            <w:ptab w:alignment="right" w:relativeTo="margin" w:leader="dot"/>
          </w:r>
          <w:r>
            <w:rPr>
              <w:rFonts w:hint="eastAsia"/>
              <w:b w:val="1"/>
              <w:bCs w:val="1"/>
              <w:lang w:val="zh-CN"/>
            </w:rPr>
            <w:t>22</w:t>
          </w:r>
        </w:p>
        <w:p>
          <w:pPr>
            <w:pStyle w:val="0000b2"/>
            <w:ind w:left="216"/>
            <w:rPr>
              <w:rFonts w:hint="eastAsia"/>
            </w:rPr>
          </w:pPr>
          <w:r>
            <w:rPr>
              <w:rFonts w:hint="eastAsia"/>
            </w:rPr>
            <w:t>一、目标市场分层</w:t>
          </w:r>
          <w:r>
            <w:rPr/>
            <w:ptab w:alignment="right" w:relativeTo="margin" w:leader="dot"/>
          </w:r>
          <w:r>
            <w:rPr>
              <w:rFonts w:hint="eastAsia"/>
              <w:lang w:val="zh-CN"/>
            </w:rPr>
            <w:t>22</w:t>
          </w:r>
        </w:p>
        <w:p>
          <w:pPr>
            <w:pStyle w:val="0000b2"/>
            <w:ind w:left="216"/>
            <w:rPr>
              <w:rFonts w:hint="eastAsia"/>
              <w:lang w:val="zh-CN"/>
            </w:rPr>
          </w:pPr>
          <w:r>
            <w:rPr>
              <w:rFonts w:hint="eastAsia"/>
            </w:rPr>
            <w:t>二、盈利模式</w:t>
          </w:r>
          <w:r>
            <w:rPr/>
            <w:ptab w:alignment="right" w:relativeTo="margin" w:leader="dot"/>
          </w:r>
          <w:r>
            <w:rPr>
              <w:lang w:val="zh-CN"/>
            </w:rPr>
            <w:t>2</w:t>
          </w:r>
          <w:r>
            <w:rPr>
              <w:rFonts w:hint="eastAsia"/>
              <w:lang w:val="zh-CN"/>
            </w:rPr>
            <w:t>4</w:t>
          </w:r>
        </w:p>
        <w:p>
          <w:pPr>
            <w:pStyle w:val="0000b4"/>
            <w:ind w:left="446"/>
            <w:rPr>
              <w:rFonts w:hint="eastAsia"/>
            </w:rPr>
          </w:pPr>
          <w:r>
            <w:rPr>
              <w:rFonts w:hint="eastAsia"/>
            </w:rPr>
            <w:t>（一）硬件销售</w:t>
          </w:r>
          <w:r>
            <w:rPr/>
            <w:ptab w:alignment="right" w:relativeTo="margin" w:leader="dot"/>
          </w:r>
          <w:r>
            <w:rPr>
              <w:rFonts w:hint="eastAsia"/>
            </w:rPr>
            <w:t>24</w:t>
          </w:r>
        </w:p>
        <w:p>
          <w:pPr>
            <w:pStyle w:val="0000b4"/>
            <w:ind w:left="446"/>
            <w:rPr>
              <w:rFonts w:hint="eastAsia"/>
              <w:lang w:val="zh-CN"/>
            </w:rPr>
          </w:pPr>
          <w:r>
            <w:rPr>
              <w:rFonts w:hint="eastAsia"/>
            </w:rPr>
            <w:t>（二）服务费</w:t>
          </w:r>
          <w:r>
            <w:rPr/>
            <w:ptab w:alignment="right" w:relativeTo="margin" w:leader="dot"/>
          </w:r>
          <w:r>
            <w:rPr>
              <w:rFonts w:hint="eastAsia"/>
              <w:lang w:val="zh-CN"/>
            </w:rPr>
            <w:t>24</w:t>
          </w:r>
        </w:p>
        <w:p>
          <w:pPr>
            <w:pStyle w:val="0000b4"/>
            <w:ind w:left="446"/>
            <w:rPr>
              <w:rFonts w:hint="eastAsia"/>
              <w:lang w:val="zh-CN"/>
            </w:rPr>
          </w:pPr>
          <w:r>
            <w:rPr>
              <w:rFonts w:hint="eastAsia"/>
            </w:rPr>
            <w:t>（三）算法授权</w:t>
          </w:r>
          <w:r>
            <w:rPr/>
            <w:ptab w:alignment="right" w:relativeTo="margin" w:leader="dot"/>
          </w:r>
          <w:r>
            <w:rPr>
              <w:rFonts w:hint="eastAsia"/>
              <w:lang w:val="zh-CN"/>
            </w:rPr>
            <w:t>25</w:t>
          </w:r>
        </w:p>
        <w:p>
          <w:pPr>
            <w:pStyle w:val="0000b3"/>
            <w:ind w:firstLine="440" w:firstLineChars="200"/>
            <w:rPr>
              <w:rFonts w:hint="eastAsia"/>
              <w:lang w:val="zh-CN"/>
            </w:rPr>
          </w:pPr>
          <w:r>
            <w:rPr>
              <w:rFonts w:hint="eastAsia"/>
            </w:rPr>
            <w:t>（四）保险合作（UBI）</w:t>
          </w:r>
          <w:r>
            <w:rPr/>
            <w:ptab w:alignment="right" w:relativeTo="margin" w:leader="dot"/>
          </w:r>
          <w:r>
            <w:rPr>
              <w:rFonts w:hint="eastAsia"/>
              <w:lang w:val="zh-CN"/>
            </w:rPr>
            <w:t>25</w:t>
          </w:r>
        </w:p>
        <w:p>
          <w:pPr>
            <w:pStyle w:val="0000b2"/>
            <w:ind w:left="216"/>
            <w:rPr>
              <w:rFonts w:hint="eastAsia"/>
            </w:rPr>
          </w:pPr>
          <w:r>
            <w:rPr>
              <w:rFonts w:hint="eastAsia"/>
            </w:rPr>
            <w:t>三、市场推广策略</w:t>
          </w:r>
          <w:r>
            <w:rPr/>
            <w:ptab w:alignment="right" w:relativeTo="margin" w:leader="dot"/>
          </w:r>
          <w:r>
            <w:rPr>
              <w:lang w:val="zh-CN"/>
            </w:rPr>
            <w:t>2</w:t>
          </w:r>
          <w:r>
            <w:rPr>
              <w:rFonts w:hint="eastAsia"/>
              <w:lang w:val="zh-CN"/>
            </w:rPr>
            <w:t>6</w:t>
          </w:r>
        </w:p>
        <w:p>
          <w:pPr>
            <w:pStyle w:val="0000b4"/>
            <w:ind w:left="446"/>
            <w:rPr>
              <w:rFonts w:hint="eastAsia"/>
            </w:rPr>
          </w:pPr>
          <w:r>
            <w:rPr>
              <w:rFonts w:hint="eastAsia"/>
            </w:rPr>
            <w:t>（一）政府端推广</w:t>
          </w:r>
          <w:r>
            <w:rPr/>
            <w:ptab w:alignment="right" w:relativeTo="margin" w:leader="dot"/>
          </w:r>
          <w:r>
            <w:rPr>
              <w:rFonts w:hint="eastAsia"/>
            </w:rPr>
            <w:t>2</w:t>
          </w:r>
          <w:r>
            <w:rPr/>
            <w:t>6</w:t>
          </w:r>
        </w:p>
        <w:p>
          <w:pPr>
            <w:pStyle w:val="0000b4"/>
            <w:ind w:left="446"/>
            <w:rPr>
              <w:rFonts w:hint="eastAsia"/>
              <w:lang w:val="zh-CN"/>
            </w:rPr>
          </w:pPr>
          <w:r>
            <w:rPr>
              <w:rFonts w:hint="eastAsia"/>
            </w:rPr>
            <w:t>（二）市场端推广</w:t>
          </w:r>
          <w:r>
            <w:rPr/>
            <w:ptab w:alignment="right" w:relativeTo="margin" w:leader="dot"/>
          </w:r>
          <w:r>
            <w:rPr>
              <w:rFonts w:hint="eastAsia"/>
            </w:rPr>
            <w:t>2</w:t>
          </w:r>
          <w:r>
            <w:rPr>
              <w:lang w:val="zh-CN"/>
            </w:rPr>
            <w:t>6</w:t>
          </w:r>
        </w:p>
        <w:p>
          <w:pPr>
            <w:pStyle w:val="0000b4"/>
            <w:ind w:left="446"/>
            <w:rPr>
              <w:rFonts w:hint="eastAsia"/>
              <w:lang w:val="zh-CN"/>
            </w:rPr>
          </w:pPr>
          <w:r>
            <w:rPr>
              <w:rFonts w:hint="eastAsia"/>
            </w:rPr>
            <w:t>（三）渠道建设</w:t>
          </w:r>
          <w:r>
            <w:rPr/>
            <w:ptab w:alignment="right" w:relativeTo="margin" w:leader="dot"/>
          </w:r>
          <w:r>
            <w:rPr>
              <w:rFonts w:hint="eastAsia"/>
            </w:rPr>
            <w:t>2</w:t>
          </w:r>
          <w:r>
            <w:rPr>
              <w:lang w:val="zh-CN"/>
            </w:rPr>
            <w:t>6</w:t>
          </w:r>
        </w:p>
        <w:p>
          <w:pPr>
            <w:pStyle w:val="0000b3"/>
            <w:rPr>
              <w:rFonts w:hint="eastAsia"/>
            </w:rPr>
          </w:pPr>
          <w:r>
            <w:rPr>
              <w:rFonts w:hint="eastAsia"/>
              <w:b w:val="1"/>
              <w:bCs w:val="1"/>
            </w:rPr>
            <w:t>第六部分：财务预测与融资规划</w:t>
          </w:r>
          <w:r>
            <w:rPr/>
            <w:ptab w:alignment="right" w:relativeTo="margin" w:leader="dot"/>
          </w:r>
          <w:r>
            <w:rPr>
              <w:rFonts w:hint="eastAsia"/>
              <w:b w:val="1"/>
              <w:bCs w:val="1"/>
              <w:lang w:val="zh-CN"/>
            </w:rPr>
            <w:t>27</w:t>
          </w:r>
        </w:p>
        <w:p>
          <w:pPr>
            <w:pStyle w:val="0000b2"/>
            <w:ind w:left="216"/>
            <w:rPr>
              <w:rFonts w:hint="eastAsia"/>
              <w:lang w:val="zh-CN"/>
            </w:rPr>
          </w:pPr>
          <w:r>
            <w:rPr>
              <w:rFonts w:hint="eastAsia"/>
            </w:rPr>
            <w:t>一、成本结构</w:t>
          </w:r>
          <w:r>
            <w:rPr/>
            <w:ptab w:alignment="right" w:relativeTo="margin" w:leader="dot"/>
          </w:r>
          <w:r>
            <w:rPr>
              <w:rFonts w:hint="eastAsia"/>
              <w:lang w:val="zh-CN"/>
            </w:rPr>
            <w:t>27</w:t>
          </w:r>
        </w:p>
        <w:p>
          <w:pPr>
            <w:pStyle w:val="0000b2"/>
            <w:ind w:left="216"/>
            <w:rPr>
              <w:rFonts w:hint="eastAsia"/>
              <w:lang w:val="zh-CN"/>
            </w:rPr>
          </w:pPr>
          <w:r>
            <w:rPr>
              <w:rFonts w:hint="eastAsia"/>
            </w:rPr>
            <w:t>二、定价策略</w:t>
          </w:r>
          <w:r>
            <w:rPr/>
            <w:ptab w:alignment="right" w:relativeTo="margin" w:leader="dot"/>
          </w:r>
          <w:r>
            <w:rPr>
              <w:lang w:val="zh-CN"/>
            </w:rPr>
            <w:t>2</w:t>
          </w:r>
          <w:r>
            <w:rPr>
              <w:rFonts w:hint="eastAsia"/>
              <w:lang w:val="zh-CN"/>
            </w:rPr>
            <w:t>9</w:t>
          </w:r>
        </w:p>
        <w:p>
          <w:pPr>
            <w:pStyle w:val="0000b4"/>
            <w:ind w:left="446"/>
            <w:rPr>
              <w:rFonts w:hint="eastAsia"/>
            </w:rPr>
          </w:pPr>
          <w:r>
            <w:rPr>
              <w:rFonts w:hint="eastAsia"/>
            </w:rPr>
            <w:t>（一）竞品价格参考</w:t>
          </w:r>
          <w:r>
            <w:rPr/>
            <w:ptab w:alignment="right" w:relativeTo="margin" w:leader="dot"/>
          </w:r>
          <w:r>
            <w:rPr>
              <w:rFonts w:hint="eastAsia"/>
            </w:rPr>
            <w:t>29</w:t>
          </w:r>
        </w:p>
        <w:p>
          <w:pPr>
            <w:pStyle w:val="0000b4"/>
            <w:ind w:left="446"/>
            <w:rPr>
              <w:rFonts w:hint="eastAsia"/>
              <w:lang w:val="zh-CN"/>
            </w:rPr>
          </w:pPr>
          <w:r>
            <w:rPr>
              <w:rFonts w:hint="eastAsia"/>
            </w:rPr>
            <w:t>（二）本方案定价</w:t>
          </w:r>
          <w:r>
            <w:rPr/>
            <w:ptab w:alignment="right" w:relativeTo="margin" w:leader="dot"/>
          </w:r>
          <w:r>
            <w:rPr>
              <w:rFonts w:hint="eastAsia"/>
              <w:lang w:val="zh-CN"/>
            </w:rPr>
            <w:t>29</w:t>
          </w:r>
        </w:p>
        <w:p>
          <w:pPr>
            <w:pStyle w:val="0000b2"/>
            <w:ind w:left="216"/>
            <w:rPr>
              <w:rFonts w:hint="eastAsia"/>
            </w:rPr>
          </w:pPr>
          <w:r>
            <w:rPr>
              <w:rFonts w:hint="eastAsia"/>
            </w:rPr>
            <w:t>三、财务预测（未来三年）</w:t>
          </w:r>
          <w:r>
            <w:rPr/>
            <w:ptab w:alignment="right" w:relativeTo="margin" w:leader="dot"/>
          </w:r>
          <w:r>
            <w:rPr>
              <w:rFonts w:hint="eastAsia"/>
              <w:lang w:val="zh-CN"/>
            </w:rPr>
            <w:t>30</w:t>
          </w:r>
        </w:p>
        <w:p>
          <w:pPr>
            <w:pStyle w:val="0000b4"/>
            <w:ind w:left="446"/>
            <w:rPr>
              <w:rFonts w:hint="eastAsia"/>
            </w:rPr>
          </w:pPr>
          <w:r>
            <w:rPr>
              <w:rFonts w:hint="eastAsia"/>
            </w:rPr>
            <w:t>（一）预测假设</w:t>
          </w:r>
          <w:r>
            <w:rPr/>
            <w:ptab w:alignment="right" w:relativeTo="margin" w:leader="dot"/>
          </w:r>
          <w:r>
            <w:rPr>
              <w:rFonts w:hint="eastAsia"/>
            </w:rPr>
            <w:t>30</w:t>
          </w:r>
        </w:p>
        <w:p>
          <w:pPr>
            <w:pStyle w:val="0000b4"/>
            <w:ind w:left="446"/>
            <w:rPr>
              <w:rFonts w:hint="eastAsia"/>
              <w:lang w:val="zh-CN"/>
            </w:rPr>
          </w:pPr>
          <w:r>
            <w:rPr>
              <w:rFonts w:hint="eastAsia"/>
            </w:rPr>
            <w:t>（二）盈亏平衡分析</w:t>
          </w:r>
          <w:r>
            <w:rPr/>
            <w:ptab w:alignment="right" w:relativeTo="margin" w:leader="dot"/>
          </w:r>
          <w:r>
            <w:rPr>
              <w:rFonts w:hint="eastAsia"/>
              <w:lang w:val="zh-CN"/>
            </w:rPr>
            <w:t>31</w:t>
          </w:r>
        </w:p>
        <w:p>
          <w:pPr>
            <w:pStyle w:val="0000b2"/>
            <w:ind w:left="216"/>
            <w:rPr>
              <w:rFonts w:hint="eastAsia"/>
            </w:rPr>
          </w:pPr>
          <w:r>
            <w:rPr>
              <w:rFonts w:hint="eastAsia"/>
            </w:rPr>
            <w:t>四、融资需求</w:t>
          </w:r>
          <w:r>
            <w:rPr/>
            <w:ptab w:alignment="right" w:relativeTo="margin" w:leader="dot"/>
          </w:r>
          <w:r>
            <w:rPr>
              <w:rFonts w:hint="eastAsia"/>
              <w:lang w:val="zh-CN"/>
            </w:rPr>
            <w:t>33</w:t>
          </w:r>
        </w:p>
        <w:p>
          <w:pPr>
            <w:pStyle w:val="0000b3"/>
            <w:rPr>
              <w:rFonts w:hint="eastAsia"/>
            </w:rPr>
          </w:pPr>
          <w:r>
            <w:rPr>
              <w:rFonts w:hint="eastAsia"/>
              <w:b w:val="1"/>
              <w:bCs w:val="1"/>
            </w:rPr>
            <w:t>第七部分：风险分析与对策</w:t>
          </w:r>
          <w:r>
            <w:rPr/>
            <w:ptab w:alignment="right" w:relativeTo="margin" w:leader="dot"/>
          </w:r>
          <w:r>
            <w:rPr>
              <w:rFonts w:hint="eastAsia"/>
              <w:b w:val="1"/>
              <w:bCs w:val="1"/>
            </w:rPr>
            <w:t>34</w:t>
          </w:r>
        </w:p>
        <w:p>
          <w:pPr>
            <w:pStyle w:val="0000b2"/>
            <w:ind w:left="216"/>
            <w:rPr>
              <w:rFonts w:hint="eastAsia"/>
            </w:rPr>
          </w:pPr>
          <w:r>
            <w:rPr>
              <w:rFonts w:hint="eastAsia"/>
            </w:rPr>
            <w:t>一、PESTEL框架下的核心风险与防控对策</w:t>
          </w:r>
          <w:r>
            <w:rPr/>
            <w:ptab w:alignment="right" w:relativeTo="margin" w:leader="dot"/>
          </w:r>
          <w:r>
            <w:rPr>
              <w:rFonts w:hint="eastAsia"/>
            </w:rPr>
            <w:t>3</w:t>
          </w:r>
          <w:r>
            <w:rPr>
              <w:lang w:val="zh-CN"/>
            </w:rPr>
            <w:t>5</w:t>
          </w:r>
        </w:p>
        <w:p>
          <w:pPr>
            <w:pStyle w:val="0000b4"/>
            <w:ind w:left="446"/>
            <w:rPr>
              <w:rFonts w:hint="eastAsia"/>
              <w:lang w:val="zh-CN"/>
            </w:rPr>
          </w:pPr>
          <w:r>
            <w:rPr>
              <w:rFonts w:hint="eastAsia"/>
            </w:rPr>
            <w:t>（一）政治风险</w:t>
          </w:r>
          <w:r>
            <w:rPr/>
            <w:ptab w:alignment="right" w:relativeTo="margin" w:leader="dot"/>
          </w:r>
          <w:r>
            <w:rPr>
              <w:rFonts w:hint="eastAsia"/>
            </w:rPr>
            <w:t>3</w:t>
          </w:r>
          <w:r>
            <w:rPr>
              <w:rFonts w:hint="eastAsia"/>
              <w:lang w:val="zh-CN"/>
            </w:rPr>
            <w:t>5</w:t>
          </w:r>
        </w:p>
        <w:p>
          <w:pPr>
            <w:pStyle w:val="0000b4"/>
            <w:ind w:left="446"/>
            <w:rPr>
              <w:rFonts w:hint="eastAsia"/>
            </w:rPr>
          </w:pPr>
          <w:r>
            <w:rPr>
              <w:rFonts w:hint="eastAsia"/>
            </w:rPr>
            <w:t>（二）经济风险</w:t>
          </w:r>
          <w:r>
            <w:rPr/>
            <w:ptab w:alignment="right" w:relativeTo="margin" w:leader="dot"/>
          </w:r>
          <w:r>
            <w:rPr>
              <w:rFonts w:hint="eastAsia"/>
              <w:lang w:val="zh-CN"/>
            </w:rPr>
            <w:t>35</w:t>
          </w:r>
        </w:p>
        <w:p>
          <w:pPr>
            <w:pStyle w:val="0000b4"/>
            <w:ind w:left="446"/>
            <w:rPr>
              <w:rFonts w:hint="eastAsia"/>
            </w:rPr>
          </w:pPr>
          <w:r>
            <w:rPr>
              <w:rFonts w:hint="eastAsia"/>
            </w:rPr>
            <w:t>（三）社会风险</w:t>
          </w:r>
          <w:r>
            <w:rPr/>
            <w:ptab w:alignment="right" w:relativeTo="margin" w:leader="dot"/>
          </w:r>
          <w:r>
            <w:rPr>
              <w:rFonts w:hint="eastAsia"/>
            </w:rPr>
            <w:t>3</w:t>
          </w:r>
          <w:r>
            <w:rPr>
              <w:lang w:val="zh-CN"/>
            </w:rPr>
            <w:t>6</w:t>
          </w:r>
        </w:p>
        <w:p>
          <w:pPr>
            <w:pStyle w:val="0000b4"/>
            <w:ind w:left="446"/>
            <w:rPr>
              <w:rFonts w:hint="eastAsia"/>
            </w:rPr>
          </w:pPr>
          <w:r>
            <w:rPr>
              <w:rFonts w:hint="eastAsia"/>
            </w:rPr>
            <w:t>（四）技术风险</w:t>
          </w:r>
          <w:r>
            <w:rPr/>
            <w:ptab w:alignment="right" w:relativeTo="margin" w:leader="dot"/>
          </w:r>
          <w:r>
            <w:rPr>
              <w:rFonts w:hint="eastAsia"/>
            </w:rPr>
            <w:t>3</w:t>
          </w:r>
          <w:r>
            <w:rPr>
              <w:lang w:val="zh-CN"/>
            </w:rPr>
            <w:t>6</w:t>
          </w:r>
        </w:p>
        <w:p>
          <w:pPr>
            <w:pStyle w:val="0000b4"/>
            <w:ind w:left="446"/>
            <w:rPr>
              <w:rFonts w:hint="eastAsia"/>
            </w:rPr>
          </w:pPr>
          <w:r>
            <w:rPr>
              <w:rFonts w:hint="eastAsia"/>
            </w:rPr>
            <w:t>（五）环境风险</w:t>
          </w:r>
          <w:r>
            <w:rPr/>
            <w:ptab w:alignment="right" w:relativeTo="margin" w:leader="dot"/>
          </w:r>
          <w:r>
            <w:rPr>
              <w:rFonts w:hint="eastAsia"/>
              <w:lang w:val="zh-CN"/>
            </w:rPr>
            <w:t>37</w:t>
          </w:r>
        </w:p>
        <w:p>
          <w:pPr>
            <w:pStyle w:val="0000b4"/>
            <w:ind w:left="446"/>
            <w:rPr>
              <w:rFonts w:hint="eastAsia"/>
              <w:lang w:val="zh-CN"/>
            </w:rPr>
          </w:pPr>
          <w:r>
            <w:rPr>
              <w:rFonts w:hint="eastAsia"/>
            </w:rPr>
            <w:t>（六）法律风险</w:t>
          </w:r>
          <w:r>
            <w:rPr/>
            <w:ptab w:alignment="right" w:relativeTo="margin" w:leader="dot"/>
          </w:r>
          <w:r>
            <w:rPr>
              <w:rFonts w:hint="eastAsia"/>
              <w:lang w:val="zh-CN"/>
            </w:rPr>
            <w:t>37</w:t>
          </w:r>
        </w:p>
        <w:p>
          <w:pPr>
            <w:ind w:firstLine="210" w:firstLineChars="100"/>
            <w:rPr>
              <w:rFonts w:hint="eastAsia"/>
            </w:rPr>
          </w:pPr>
          <w:r>
            <w:rPr>
              <w:rFonts w:hint="eastAsia"/>
            </w:rPr>
            <w:t>二、供应链专项风险与防控对策</w:t>
          </w:r>
          <w:r>
            <w:rPr/>
            <w:ptab w:alignment="right" w:relativeTo="margin" w:leader="dot"/>
          </w:r>
          <w:r>
            <w:rPr>
              <w:rFonts w:hint="eastAsia"/>
              <w:lang w:val="zh-CN"/>
            </w:rPr>
            <w:t>38</w:t>
          </w:r>
        </w:p>
        <w:p>
          <w:pPr>
            <w:pStyle w:val="0000b4"/>
            <w:ind w:left="446"/>
            <w:rPr>
              <w:rFonts w:hint="eastAsia"/>
              <w:lang w:val="zh-CN"/>
            </w:rPr>
          </w:pPr>
          <w:r>
            <w:rPr>
              <w:rFonts w:hint="eastAsia"/>
            </w:rPr>
            <w:t>（一）核心风险识别</w:t>
          </w:r>
          <w:r>
            <w:rPr/>
            <w:ptab w:alignment="right" w:relativeTo="margin" w:leader="dot"/>
          </w:r>
          <w:r>
            <w:rPr>
              <w:rFonts w:hint="eastAsia"/>
              <w:lang w:val="zh-CN"/>
            </w:rPr>
            <w:t>38</w:t>
          </w:r>
        </w:p>
        <w:p>
          <w:pPr>
            <w:pStyle w:val="0000b4"/>
            <w:ind w:left="446"/>
            <w:rPr>
              <w:rFonts w:hint="eastAsia"/>
              <w:lang w:val="zh-CN"/>
            </w:rPr>
          </w:pPr>
          <w:r>
            <w:rPr>
              <w:rFonts w:hint="eastAsia"/>
            </w:rPr>
            <w:t>（二）针对性防控对策</w:t>
          </w:r>
          <w:r>
            <w:rPr/>
            <w:ptab w:alignment="right" w:relativeTo="margin" w:leader="dot"/>
          </w:r>
          <w:r>
            <w:rPr>
              <w:rFonts w:hint="eastAsia"/>
              <w:lang w:val="zh-CN"/>
            </w:rPr>
            <w:t>38</w:t>
          </w:r>
        </w:p>
        <w:p>
          <w:pPr>
            <w:pStyle w:val="0000b2"/>
            <w:ind w:left="0" w:firstLine="220" w:firstLineChars="100"/>
            <w:rPr>
              <w:rFonts w:hint="eastAsia"/>
            </w:rPr>
          </w:pPr>
          <w:r>
            <w:rPr>
              <w:rFonts w:hint="eastAsia"/>
            </w:rPr>
            <w:t>三、风险防控整体保障措施</w:t>
          </w:r>
          <w:r>
            <w:rPr/>
            <w:ptab w:alignment="right" w:relativeTo="margin" w:leader="dot"/>
          </w:r>
          <w:r>
            <w:rPr>
              <w:rFonts w:hint="eastAsia"/>
              <w:lang w:val="zh-CN"/>
            </w:rPr>
            <w:t>39</w:t>
          </w:r>
        </w:p>
        <w:p>
          <w:pPr>
            <w:pStyle w:val="0000b4"/>
            <w:ind w:left="446"/>
            <w:rPr>
              <w:rFonts w:hint="eastAsia"/>
              <w:lang w:val="zh-CN"/>
            </w:rPr>
          </w:pPr>
          <w:r>
            <w:rPr>
              <w:rFonts w:hint="eastAsia"/>
            </w:rPr>
            <w:t>（一）建立风险动态监控机制</w:t>
          </w:r>
          <w:r>
            <w:rPr/>
            <w:ptab w:alignment="right" w:relativeTo="margin" w:leader="dot"/>
          </w:r>
          <w:r>
            <w:rPr>
              <w:rFonts w:hint="eastAsia"/>
              <w:lang w:val="zh-CN"/>
            </w:rPr>
            <w:t>39</w:t>
          </w:r>
        </w:p>
        <w:p>
          <w:pPr>
            <w:pStyle w:val="0000b4"/>
            <w:ind w:left="446"/>
            <w:rPr>
              <w:rFonts w:hint="eastAsia"/>
            </w:rPr>
          </w:pPr>
          <w:r>
            <w:rPr>
              <w:rFonts w:hint="eastAsia"/>
            </w:rPr>
            <w:t>（二）强化跨部门协同</w:t>
          </w:r>
          <w:r>
            <w:rPr/>
            <w:ptab w:alignment="right" w:relativeTo="margin" w:leader="dot"/>
          </w:r>
          <w:r>
            <w:rPr>
              <w:rFonts w:hint="eastAsia"/>
              <w:lang w:val="zh-CN"/>
            </w:rPr>
            <w:t>39</w:t>
          </w:r>
        </w:p>
        <w:p>
          <w:pPr>
            <w:pStyle w:val="0000b4"/>
            <w:ind w:left="446"/>
            <w:rPr>
              <w:rFonts w:hint="eastAsia"/>
            </w:rPr>
          </w:pPr>
          <w:r>
            <w:rPr>
              <w:rFonts w:hint="eastAsia"/>
            </w:rPr>
            <w:t>（三）预留风险应对资金</w:t>
          </w:r>
          <w:r>
            <w:rPr/>
            <w:ptab w:alignment="right" w:relativeTo="margin" w:leader="dot"/>
          </w:r>
          <w:r>
            <w:rPr>
              <w:rFonts w:hint="eastAsia"/>
              <w:lang w:val="zh-CN"/>
            </w:rPr>
            <w:t>39</w:t>
          </w:r>
        </w:p>
        <w:p>
          <w:pPr>
            <w:pStyle w:val="0000b3"/>
            <w:rPr>
              <w:rFonts w:hint="eastAsia"/>
            </w:rPr>
          </w:pPr>
          <w:r>
            <w:rPr>
              <w:rFonts w:hint="eastAsia"/>
              <w:b w:val="1"/>
              <w:bCs w:val="1"/>
            </w:rPr>
            <w:t>第八部分：团队介绍</w:t>
          </w:r>
          <w:r>
            <w:rPr/>
            <w:ptab w:alignment="right" w:relativeTo="margin" w:leader="dot"/>
          </w:r>
          <w:r>
            <w:rPr>
              <w:b w:val="1"/>
              <w:bCs w:val="1"/>
              <w:lang w:val="zh-CN"/>
            </w:rPr>
            <w:t>4</w:t>
          </w:r>
          <w:r>
            <w:rPr>
              <w:rFonts w:hint="eastAsia"/>
              <w:b w:val="1"/>
              <w:bCs w:val="1"/>
              <w:lang w:val="zh-CN"/>
            </w:rPr>
            <w:t>0</w:t>
          </w:r>
        </w:p>
        <w:p>
          <w:pPr>
            <w:pStyle w:val="0000b2"/>
            <w:ind w:left="216"/>
            <w:rPr>
              <w:rFonts w:hint="eastAsia"/>
              <w:lang w:val="zh-CN"/>
            </w:rPr>
          </w:pPr>
          <w:r>
            <w:rPr>
              <w:rFonts w:hint="eastAsia"/>
            </w:rPr>
            <w:t>一、专业能力矩阵与成员介绍</w:t>
          </w:r>
          <w:r>
            <w:rPr/>
            <w:ptab w:alignment="right" w:relativeTo="margin" w:leader="dot"/>
          </w:r>
          <w:r>
            <w:rPr>
              <w:rFonts w:hint="eastAsia"/>
              <w:lang w:val="zh-CN"/>
            </w:rPr>
            <w:t>40</w:t>
          </w:r>
        </w:p>
        <w:p>
          <w:pPr>
            <w:pStyle w:val="0000b4"/>
            <w:ind w:left="446"/>
            <w:rPr>
              <w:rFonts w:hint="eastAsia"/>
              <w:lang w:val="zh-CN"/>
            </w:rPr>
          </w:pPr>
          <w:r>
            <w:rPr>
              <w:rFonts w:hint="eastAsia"/>
            </w:rPr>
            <w:t>（一）指导教师简介</w:t>
          </w:r>
          <w:r>
            <w:rPr/>
            <w:ptab w:alignment="right" w:relativeTo="margin" w:leader="dot"/>
          </w:r>
          <w:r>
            <w:rPr>
              <w:rFonts w:hint="eastAsia"/>
              <w:lang w:val="zh-CN"/>
            </w:rPr>
            <w:t>40</w:t>
          </w:r>
        </w:p>
        <w:p>
          <w:pPr>
            <w:pStyle w:val="0000b4"/>
            <w:ind w:left="446"/>
            <w:rPr>
              <w:rFonts w:hint="eastAsia"/>
            </w:rPr>
          </w:pPr>
          <w:r>
            <w:rPr>
              <w:rFonts w:hint="eastAsia"/>
            </w:rPr>
            <w:t>（二）成员介绍</w:t>
          </w:r>
          <w:r>
            <w:rPr/>
            <w:ptab w:alignment="right" w:relativeTo="margin" w:leader="dot"/>
          </w:r>
          <w:r>
            <w:rPr>
              <w:rFonts w:hint="eastAsia"/>
              <w:lang w:val="zh-CN"/>
            </w:rPr>
            <w:t>41</w:t>
          </w:r>
        </w:p>
        <w:p>
          <w:pPr>
            <w:pStyle w:val="0000b2"/>
            <w:ind w:left="216"/>
            <w:rPr>
              <w:rFonts w:hint="eastAsia"/>
            </w:rPr>
          </w:pPr>
          <w:r>
            <w:rPr>
              <w:rFonts w:hint="eastAsia"/>
            </w:rPr>
            <w:t>二、核心研发与成果积淀</w:t>
          </w:r>
          <w:r>
            <w:rPr/>
            <w:ptab w:alignment="right" w:relativeTo="margin" w:leader="dot"/>
          </w:r>
          <w:r>
            <w:rPr>
              <w:rFonts w:hint="eastAsia"/>
            </w:rPr>
            <w:t>43</w:t>
          </w:r>
        </w:p>
        <w:p>
          <w:pPr>
            <w:pStyle w:val="0000b4"/>
            <w:ind w:left="446"/>
            <w:rPr>
              <w:rFonts w:hint="eastAsia"/>
              <w:lang w:val="zh-CN"/>
            </w:rPr>
          </w:pPr>
          <w:r>
            <w:rPr>
              <w:rFonts w:hint="eastAsia"/>
            </w:rPr>
            <w:t>（一）技术验证</w:t>
          </w:r>
          <w:r>
            <w:rPr/>
            <w:ptab w:alignment="right" w:relativeTo="margin" w:leader="dot"/>
          </w:r>
          <w:r>
            <w:rPr>
              <w:rFonts w:hint="eastAsia"/>
              <w:lang w:val="zh-CN"/>
            </w:rPr>
            <w:t>43</w:t>
          </w:r>
        </w:p>
        <w:p>
          <w:pPr>
            <w:pStyle w:val="0000b4"/>
            <w:ind w:left="446"/>
            <w:rPr>
              <w:rFonts w:hint="eastAsia"/>
            </w:rPr>
          </w:pPr>
          <w:r>
            <w:rPr>
              <w:rFonts w:hint="eastAsia"/>
            </w:rPr>
            <w:t>（二）学术成果</w:t>
          </w:r>
          <w:r>
            <w:rPr/>
            <w:ptab w:alignment="right" w:relativeTo="margin" w:leader="dot"/>
          </w:r>
          <w:r>
            <w:rPr>
              <w:rFonts w:hint="eastAsia"/>
              <w:lang w:val="zh-CN"/>
            </w:rPr>
            <w:t>43</w:t>
          </w:r>
        </w:p>
        <w:p>
          <w:pPr>
            <w:pStyle w:val="0000b4"/>
            <w:ind w:left="446"/>
            <w:rPr>
              <w:rFonts w:hint="eastAsia"/>
            </w:rPr>
          </w:pPr>
          <w:r>
            <w:rPr>
              <w:rFonts w:hint="eastAsia"/>
            </w:rPr>
            <w:t>（三）知识产权</w:t>
          </w:r>
          <w:r>
            <w:rPr/>
            <w:ptab w:alignment="right" w:relativeTo="margin" w:leader="dot"/>
          </w:r>
          <w:r>
            <w:rPr>
              <w:rFonts w:hint="eastAsia"/>
              <w:lang w:val="zh-CN"/>
            </w:rPr>
            <w:t>43</w:t>
          </w:r>
        </w:p>
        <w:p>
          <w:pPr>
            <w:pStyle w:val="0000b2"/>
            <w:ind w:left="216"/>
            <w:rPr>
              <w:rFonts w:hint="eastAsia"/>
            </w:rPr>
          </w:pPr>
          <w:r>
            <w:rPr>
              <w:rFonts w:hint="eastAsia"/>
            </w:rPr>
            <w:t>三、团队核心优势</w:t>
          </w:r>
          <w:r>
            <w:rPr/>
            <w:ptab w:alignment="right" w:relativeTo="margin" w:leader="dot"/>
          </w:r>
          <w:r>
            <w:rPr>
              <w:rFonts w:hint="eastAsia"/>
            </w:rPr>
            <w:t>43</w:t>
          </w:r>
        </w:p>
        <w:p>
          <w:pPr>
            <w:pStyle w:val="0000b4"/>
            <w:ind w:left="446"/>
            <w:rPr>
              <w:rFonts w:hint="eastAsia"/>
            </w:rPr>
          </w:pPr>
          <w:r>
            <w:rPr>
              <w:rFonts w:hint="eastAsia"/>
            </w:rPr>
            <w:t>（一）交叉学科协同优势</w:t>
          </w:r>
          <w:r>
            <w:rPr/>
            <w:ptab w:alignment="right" w:relativeTo="margin" w:leader="dot"/>
          </w:r>
          <w:r>
            <w:rPr>
              <w:rFonts w:hint="eastAsia"/>
            </w:rPr>
            <w:t>43</w:t>
          </w:r>
        </w:p>
        <w:p>
          <w:pPr>
            <w:pStyle w:val="0000b4"/>
            <w:ind w:left="446"/>
            <w:rPr>
              <w:rFonts w:hint="eastAsia"/>
              <w:lang w:val="zh-CN"/>
            </w:rPr>
          </w:pPr>
          <w:r>
            <w:rPr>
              <w:rFonts w:hint="eastAsia"/>
            </w:rPr>
            <w:t>（二）核心成员适配优势</w:t>
          </w:r>
          <w:r>
            <w:rPr/>
            <w:ptab w:alignment="right" w:relativeTo="margin" w:leader="dot"/>
          </w:r>
          <w:r>
            <w:rPr>
              <w:rFonts w:hint="eastAsia"/>
              <w:lang w:val="zh-CN"/>
            </w:rPr>
            <w:t>43</w:t>
          </w:r>
        </w:p>
        <w:p>
          <w:pPr>
            <w:pStyle w:val="0000b4"/>
            <w:ind w:left="446"/>
            <w:rPr>
              <w:rFonts w:hint="eastAsia"/>
              <w:lang w:val="zh-CN"/>
            </w:rPr>
          </w:pPr>
          <w:r>
            <w:rPr>
              <w:rFonts w:hint="eastAsia"/>
            </w:rPr>
            <w:t>（三）研用结合落地优势</w:t>
          </w:r>
          <w:r>
            <w:rPr/>
            <w:ptab w:alignment="right" w:relativeTo="margin" w:leader="dot"/>
          </w:r>
          <w:r>
            <w:rPr>
              <w:rFonts w:hint="eastAsia"/>
              <w:lang w:val="zh-CN"/>
            </w:rPr>
            <w:t>43</w:t>
          </w:r>
        </w:p>
        <w:p>
          <w:pPr>
            <w:pStyle w:val="0000b3"/>
            <w:ind w:firstLine="440" w:firstLineChars="200"/>
            <w:rPr>
              <w:rFonts w:hint="eastAsia"/>
              <w:lang w:val="zh-CN"/>
            </w:rPr>
          </w:pPr>
          <w:r>
            <w:rPr>
              <w:rFonts w:hint="eastAsia"/>
            </w:rPr>
            <w:t>（四）持续自主研发优势</w:t>
          </w:r>
          <w:r>
            <w:rPr/>
            <w:ptab w:alignment="right" w:relativeTo="margin" w:leader="dot"/>
          </w:r>
          <w:r>
            <w:rPr>
              <w:rFonts w:hint="eastAsia"/>
              <w:lang w:val="zh-CN"/>
            </w:rPr>
            <w:t>43</w:t>
          </w:r>
        </w:p>
        <w:p>
          <w:pPr>
            <w:pStyle w:val="0000b2"/>
            <w:ind w:left="216"/>
            <w:rPr>
              <w:rFonts w:hint="eastAsia"/>
            </w:rPr>
          </w:pPr>
          <w:r>
            <w:rPr>
              <w:rFonts w:hint="eastAsia"/>
            </w:rPr>
            <w:t>四、指导教师团队</w:t>
          </w:r>
          <w:r>
            <w:rPr/>
            <w:ptab w:alignment="right" w:relativeTo="margin" w:leader="dot"/>
          </w:r>
          <w:r>
            <w:rPr>
              <w:rFonts w:hint="eastAsia"/>
            </w:rPr>
            <w:t>44</w:t>
          </w:r>
        </w:p>
        <w:p>
          <w:pPr>
            <w:pStyle w:val="0000b4"/>
            <w:ind w:left="446"/>
            <w:rPr>
              <w:rFonts w:hint="eastAsia"/>
            </w:rPr>
          </w:pPr>
          <w:r>
            <w:rPr>
              <w:rFonts w:hint="eastAsia"/>
            </w:rPr>
            <w:t>（一）技术指导</w:t>
          </w:r>
          <w:r>
            <w:rPr/>
            <w:ptab w:alignment="right" w:relativeTo="margin" w:leader="dot"/>
          </w:r>
          <w:r>
            <w:rPr>
              <w:rFonts w:hint="eastAsia"/>
            </w:rPr>
            <w:t>44</w:t>
          </w:r>
        </w:p>
        <w:p>
          <w:pPr>
            <w:pStyle w:val="0000b4"/>
            <w:ind w:left="446"/>
            <w:rPr>
              <w:rFonts w:hint="eastAsia"/>
              <w:lang w:val="zh-CN"/>
            </w:rPr>
          </w:pPr>
          <w:r>
            <w:rPr>
              <w:rFonts w:hint="eastAsia"/>
            </w:rPr>
            <w:t>（二）资源支撑</w:t>
          </w:r>
          <w:r>
            <w:rPr/>
            <w:ptab w:alignment="right" w:relativeTo="margin" w:leader="dot"/>
          </w:r>
          <w:r>
            <w:rPr>
              <w:rFonts w:hint="eastAsia"/>
              <w:lang w:val="zh-CN"/>
            </w:rPr>
            <w:t>44</w:t>
          </w:r>
        </w:p>
        <w:p>
          <w:pPr>
            <w:pStyle w:val="0000b2"/>
            <w:ind w:left="216"/>
            <w:rPr>
              <w:rFonts w:hint="eastAsia"/>
            </w:rPr>
          </w:pPr>
          <w:r>
            <w:rPr>
              <w:rFonts w:hint="eastAsia"/>
            </w:rPr>
            <w:t>五、团队发展规划</w:t>
          </w:r>
          <w:r>
            <w:rPr/>
            <w:ptab w:alignment="right" w:relativeTo="margin" w:leader="dot"/>
          </w:r>
          <w:r>
            <w:rPr>
              <w:rFonts w:hint="eastAsia"/>
            </w:rPr>
            <w:t>44</w:t>
          </w:r>
        </w:p>
        <w:p>
          <w:pPr>
            <w:pStyle w:val="0000b4"/>
            <w:ind w:left="446"/>
            <w:rPr>
              <w:rFonts w:hint="eastAsia"/>
            </w:rPr>
          </w:pPr>
          <w:r>
            <w:rPr>
              <w:rFonts w:hint="eastAsia"/>
            </w:rPr>
            <w:t>（一）短期规划（1-2年）</w:t>
          </w:r>
          <w:r>
            <w:rPr/>
            <w:ptab w:alignment="right" w:relativeTo="margin" w:leader="dot"/>
          </w:r>
          <w:r>
            <w:rPr>
              <w:rFonts w:hint="eastAsia"/>
            </w:rPr>
            <w:t>44</w:t>
          </w:r>
        </w:p>
        <w:p>
          <w:pPr>
            <w:pStyle w:val="0000b4"/>
            <w:ind w:left="446"/>
            <w:rPr>
              <w:rFonts w:hint="eastAsia"/>
              <w:lang w:val="zh-CN"/>
            </w:rPr>
          </w:pPr>
          <w:r>
            <w:rPr>
              <w:rFonts w:hint="eastAsia"/>
            </w:rPr>
            <w:t>（二）中期规划（3-5年）</w:t>
          </w:r>
          <w:r>
            <w:rPr/>
            <w:ptab w:alignment="right" w:relativeTo="margin" w:leader="dot"/>
          </w:r>
          <w:r>
            <w:rPr>
              <w:rFonts w:hint="eastAsia"/>
              <w:lang w:val="zh-CN"/>
            </w:rPr>
            <w:t>44</w:t>
          </w:r>
        </w:p>
        <w:p>
          <w:pPr>
            <w:pStyle w:val="0000b3"/>
            <w:rPr>
              <w:rFonts w:hint="eastAsia"/>
              <w:b w:val="1"/>
              <w:bCs w:val="1"/>
              <w:lang w:val="zh-CN"/>
            </w:rPr>
          </w:pPr>
          <w:r>
            <w:rPr>
              <w:rFonts w:hint="eastAsia"/>
              <w:b w:val="1"/>
              <w:bCs w:val="1"/>
            </w:rPr>
            <w:t>第九部分：附录</w:t>
          </w:r>
          <w:r>
            <w:rPr/>
            <w:ptab w:alignment="right" w:relativeTo="margin" w:leader="dot"/>
          </w:r>
          <w:r>
            <w:rPr>
              <w:b w:val="1"/>
              <w:bCs w:val="1"/>
              <w:lang w:val="zh-CN"/>
            </w:rPr>
            <w:t>4</w:t>
          </w:r>
          <w:r>
            <w:rPr>
              <w:rFonts w:hint="eastAsia"/>
              <w:b w:val="1"/>
              <w:bCs w:val="1"/>
              <w:lang w:val="zh-CN"/>
            </w:rPr>
            <w:t>5</w:t>
          </w:r>
        </w:p>
        <w:p>
          <w:pPr>
            <w:pStyle w:val="0000b2"/>
            <w:ind w:left="216"/>
            <w:rPr>
              <w:rFonts w:hint="eastAsia"/>
            </w:rPr>
          </w:pPr>
          <w:r>
            <w:rPr>
              <w:rFonts w:hint="eastAsia"/>
            </w:rPr>
            <w:t>附件一：调查问卷</w:t>
          </w:r>
          <w:r>
            <w:rPr/>
            <w:ptab w:alignment="right" w:relativeTo="margin" w:leader="dot"/>
          </w:r>
          <w:r>
            <w:rPr>
              <w:rFonts w:hint="eastAsia"/>
              <w:lang w:val="zh-CN"/>
            </w:rPr>
            <w:t>45</w:t>
          </w:r>
        </w:p>
        <w:p>
          <w:pPr>
            <w:pStyle w:val="0000b2"/>
            <w:ind w:left="216"/>
            <w:rPr>
              <w:rFonts w:hint="eastAsia"/>
            </w:rPr>
          </w:pPr>
          <w:r>
            <w:rPr>
              <w:rFonts w:hint="eastAsia"/>
            </w:rPr>
            <w:t>附件二：项目核心学术研究论文</w:t>
          </w:r>
          <w:r>
            <w:rPr/>
            <w:ptab w:alignment="right" w:relativeTo="margin" w:leader="dot"/>
          </w:r>
          <w:r>
            <w:rPr>
              <w:rFonts w:hint="eastAsia"/>
              <w:lang w:val="zh-CN"/>
            </w:rPr>
            <w:t>49</w:t>
          </w:r>
        </w:p>
        <w:p>
          <w:pPr>
            <w:pStyle w:val="0000b2"/>
            <w:ind w:left="216"/>
            <w:rPr>
              <w:rFonts w:hint="eastAsia"/>
            </w:rPr>
          </w:pPr>
          <w:r>
            <w:rPr>
              <w:rFonts w:hint="eastAsia"/>
            </w:rPr>
            <w:t>附件三：内轮差动态预警系统主控板原理图</w:t>
          </w:r>
          <w:r>
            <w:rPr/>
            <w:ptab w:alignment="right" w:relativeTo="margin" w:leader="dot"/>
          </w:r>
          <w:r>
            <w:rPr>
              <w:rFonts w:hint="eastAsia"/>
              <w:lang w:val="zh-CN"/>
            </w:rPr>
            <w:t>52</w:t>
          </w:r>
        </w:p>
        <w:p>
          <w:pPr>
            <w:pStyle w:val="0000b2"/>
            <w:ind w:left="0" w:firstLine="220" w:firstLineChars="100"/>
            <w:rPr>
              <w:rFonts w:hint="eastAsia"/>
            </w:rPr>
          </w:pPr>
          <w:r>
            <w:rPr>
              <w:rFonts w:hint="eastAsia"/>
            </w:rPr>
            <w:t>附件四：代码集</w:t>
          </w:r>
          <w:r>
            <w:rPr/>
            <w:ptab w:alignment="right" w:relativeTo="margin" w:leader="dot"/>
          </w:r>
          <w:r>
            <w:rPr>
              <w:rFonts w:hint="eastAsia"/>
              <w:lang w:val="zh-CN"/>
            </w:rPr>
            <w:t>52</w:t>
          </w:r>
        </w:p>
        <w:p>
          <w:pPr>
            <w:rPr>
              <w:rFonts w:hint="eastAsia"/>
            </w:rPr>
          </w:pPr>
        </w:p>
        <w:p>
          <w:pPr>
            <w:rPr>
              <w:rFonts w:hint="eastAsia"/>
              <w:lang w:val="zh-CN"/>
            </w:rPr>
            <w:sectPr w:rsidRPr="007750EB" w:rsidR="007B0D4C" w:rsidSect="00F92965">
              <w:footerReference r:id="rId12" w:type="first"/>
              <w:pgSz w:w="11906" w:h="16838"/>
              <w:pgMar w:top="1440" w:right="1800" w:bottom="1440" w:left="1800" w:header="851" w:footer="992" w:gutter="0"/>
              <w:pgNumType w:fmt="upperRoman" w:start="1"/>
              <w:cols w:space="425"/>
              <w:docGrid w:type="lines" w:linePitch="312"/>
            </w:sectPr>
          </w:pPr>
        </w:p>
      </w:sdtContent>
    </w:sdt>
    <w:p>
      <w:pPr>
        <w:jc w:val="center"/>
        <w:rPr>
          <w:rFonts w:hint="eastAsia" w:ascii="黑体" w:hAnsi="黑体" w:eastAsia="黑体"/>
          <w:b w:val="1"/>
          <w:bCs w:val="1"/>
          <w:color w:val="215E99" w:themeColor="text2" w:themeTint="BF"/>
          <w:sz w:val="36"/>
          <w:szCs w:val="36"/>
        </w:rPr>
      </w:pPr>
      <w:r>
        <w:rPr>
          <w:rFonts w:ascii="黑体" w:hAnsi="黑体" w:eastAsia="黑体"/>
          <w:b w:val="1"/>
          <w:bCs w:val="1"/>
          <w:color w:val="215E99" w:themeColor="text2" w:themeTint="BF"/>
          <w:sz w:val="36"/>
          <w:szCs w:val="36"/>
          <w14:shadow w14:blurRad="50800" w14:dist="38100" w14:dir="2700000" w14:sx="100000" w14:sy="100000" w14:kx="0" w14:ky="0" w14:algn="tl">
            <w14:srgbClr w14:val="000000">
              <w14:alpha w14:val="60000"/>
            </w14:srgbClr>
          </w14:shadow>
        </w:rPr>
        <w:t>第一部分：执行摘要</w:t>
      </w:r>
    </w:p>
    <w:p>
      <w:pPr>
        <w:spacing w:line="400" w:lineRule="exact"/>
        <w:rPr>
          <w:rFonts w:hint="eastAsia" w:ascii="宋体" w:hAnsi="宋体" w:eastAsia="宋体"/>
          <w:b w:val="1"/>
          <w:bCs w:val="1"/>
          <w:sz w:val="24"/>
          <w:szCs w:val="24"/>
        </w:rPr>
      </w:pPr>
      <w:r>
        <w:rPr>
          <w:rFonts w:ascii="宋体" w:hAnsi="宋体" w:eastAsia="宋体"/>
          <w:b w:val="1"/>
          <w:bCs w:val="1"/>
          <w:sz w:val="24"/>
          <w:szCs w:val="24"/>
        </w:rPr>
        <w:t>一、项目背景与痛点</w:t>
      </w:r>
    </w:p>
    <w:p>
      <w:pPr>
        <w:pBdr/>
        <w:spacing w:line="400" w:lineRule="exact"/>
        <w:ind/>
        <w:rPr>
          <w:rFonts w:ascii="宋体" w:hAnsi="宋体" w:eastAsia="宋体"/>
          <w:sz w:val="24"/>
          <w:szCs w:val="24"/>
        </w:rPr>
      </w:pPr>
      <w:r>
        <w:rPr>
          <w:rFonts w:ascii="宋体" w:hAnsi="宋体" w:eastAsia="宋体"/>
          <w:sz w:val="24"/>
          <w:szCs w:val="24"/>
        </w:rPr>
        <w:t>随着城市物流、港口运输、工程运输和干线货运持续发展，大型货运车辆在城市道路、物流园区、港口场站等场景中与行人、非机动车形成高频混行。相比普通单体车辆，大型车辆尤其是半挂车在低速右转过程中同时受到车身尺寸、前后轮轨迹差异、右侧视野遮挡以及牵引车—挂车铰接关系变化等因素影响，其右侧实际危险区域并非一个固定的几何盲区，而会随车速、前轮转向角、铰接角和车辆结构参数持续变化。</w:t>
      </w:r>
    </w:p>
    <w:p>
      <w:pPr>
        <w:numPr>
          <w:ilvl w:val="0"/>
          <w:numId w:val="1"/>
        </w:numPr>
        <w:pBdr/>
        <w:spacing w:line="400" w:lineRule="exact"/>
        <w:rPr>
          <w:rFonts w:ascii="宋体" w:hAnsi="宋体" w:eastAsia="宋体"/>
          <w:sz w:val="24"/>
          <w:szCs w:val="24"/>
        </w:rPr>
      </w:pPr>
      <w:r>
        <w:rPr>
          <w:rFonts w:ascii="宋体" w:hAnsi="宋体" w:eastAsia="宋体"/>
          <w:sz w:val="24"/>
          <w:szCs w:val="24"/>
        </w:rPr>
        <w:t>现有安全辅助方式主要包括后视镜与盲区镜、摄像头显示、毫米波雷达或超声波探测以及基于固定区域的声光报警等。这类方案能够提高驾驶员对车辆右侧环境的感知能力，但对于</w:t>
      </w:r>
      <w:r>
        <w:rPr>
          <w:rFonts w:ascii="宋体" w:hAnsi="宋体" w:eastAsia="宋体"/>
          <w:b w:val="1"/>
          <w:color w:val="1450B8"/>
          <w:sz w:val="24"/>
          <w:szCs w:val="24"/>
        </w:rPr>
        <w:t>半挂车右转</w:t>
      </w:r>
      <w:r>
        <w:rPr>
          <w:rFonts w:ascii="宋体" w:hAnsi="宋体" w:eastAsia="宋体"/>
          <w:sz w:val="24"/>
          <w:szCs w:val="24"/>
        </w:rPr>
        <w:t>过程中“车辆未来将扫掠何处”这一问题，仍需要进一步结合车辆实时运动状态进行表达。特别是在</w:t>
      </w:r>
      <w:r>
        <w:rPr>
          <w:rFonts w:ascii="宋体" w:hAnsi="宋体" w:eastAsia="宋体"/>
          <w:b w:val="1"/>
          <w:color w:val="1450B8"/>
          <w:sz w:val="24"/>
          <w:szCs w:val="24"/>
        </w:rPr>
        <w:t>铰接车辆</w:t>
      </w:r>
      <w:r>
        <w:rPr>
          <w:rFonts w:ascii="宋体" w:hAnsi="宋体" w:eastAsia="宋体"/>
          <w:sz w:val="24"/>
          <w:szCs w:val="24"/>
        </w:rPr>
        <w:t>场景下，如果仅依据目标当前是否进入固定危险区域进行报警，难以充分反映挂车后部内切轨迹以及危险区域随转弯状态变化的过程。</w:t>
      </w:r>
    </w:p>
    <w:p>
      <w:pPr>
        <w:numPr>
          <w:ilvl w:val="0"/>
          <w:numId w:val="1"/>
        </w:numPr>
        <w:pBdr/>
        <w:spacing w:line="400" w:lineRule="exact"/>
        <w:rPr>
          <w:rFonts w:ascii="宋体" w:hAnsi="宋体" w:eastAsia="宋体"/>
          <w:sz w:val="24"/>
          <w:szCs w:val="24"/>
        </w:rPr>
      </w:pPr>
      <w:r>
        <w:rPr>
          <w:rFonts w:ascii="宋体" w:hAnsi="宋体" w:eastAsia="宋体"/>
          <w:sz w:val="24"/>
          <w:szCs w:val="24"/>
        </w:rPr>
        <w:t>因此，本项目并不将右转安全问题单纯定义为“盲区内是否存在目标”的感知问题，而进一步定义为</w:t>
      </w:r>
      <w:r>
        <w:rPr>
          <w:rFonts w:ascii="宋体" w:hAnsi="宋体" w:eastAsia="宋体"/>
          <w:b w:val="1"/>
          <w:color w:val="1450B8"/>
          <w:sz w:val="24"/>
          <w:szCs w:val="24"/>
        </w:rPr>
        <w:t>一个车辆未来短时扫掠区域与弱势交通参与者运动状态之间的时空冲突预测问题</w:t>
      </w:r>
      <w:r>
        <w:rPr>
          <w:rFonts w:ascii="宋体" w:hAnsi="宋体" w:eastAsia="宋体"/>
          <w:sz w:val="24"/>
          <w:szCs w:val="24"/>
        </w:rPr>
        <w:t>。项目希望在目标真正进入高危冲突状态之前，为驾驶员提供具有时间层次和风险等级的预警信息。</w:t>
      </w:r>
    </w:p>
    <w:p>
      <w:pPr>
        <w:pBdr>
          <w:bottom/>
        </w:pBdr>
        <w:snapToGrid w:val="1"/>
        <w:spacing w:before="0" w:after="0" w:line="400" w:lineRule="exact"/>
        <w:ind w:left="0" w:right="0"/>
        <w:jc w:val="both"/>
        <w:rPr/>
      </w:pPr>
      <w:r>
        <w:rPr>
          <w:rFonts w:ascii="宋体" w:hAnsi="宋体" w:eastAsia="宋体" w:cs="宋体"/>
          <w:i w:val="0"/>
          <w:strike w:val="0"/>
          <w:color w:val="000000"/>
          <w:sz w:val="24"/>
          <w:u w:val="none"/>
          <w:shd w:val="clear" w:color="auto" w:fill="FFFF00"/>
        </w:rPr>
        <w:t>根据交通运输部</w:t>
      </w:r>
      <w:r>
        <w:rPr>
          <w:rFonts w:ascii="宋体" w:hAnsi="宋体" w:eastAsia="宋体" w:cs="宋体"/>
          <w:b w:val="1"/>
          <w:i w:val="0"/>
          <w:strike w:val="0"/>
          <w:color w:val="1450B8"/>
          <w:sz w:val="24"/>
          <w:u w:val="none"/>
        </w:rPr>
        <w:t>《2024年交通运输行业发展统计公报》</w:t>
      </w:r>
      <w:r>
        <w:rPr>
          <w:rFonts w:ascii="宋体" w:hAnsi="宋体" w:eastAsia="宋体" w:cs="宋体"/>
          <w:i w:val="0"/>
          <w:strike w:val="0"/>
          <w:color w:val="000000"/>
          <w:sz w:val="24"/>
          <w:u w:val="none"/>
          <w:shd w:val="clear" w:color="auto" w:fill="FFFF00"/>
        </w:rPr>
        <w:t>，2024年末全国公路营运载货汽车1155.70万辆，其中牵引车378.61万辆、挂车379.92万辆。该数据为营运车辆口径，牵引车与挂车不能简单相加视为独立安装车辆，但可作为目标车型筛选和市场测算的官方基础。宁波北仑港区、张家港等地公开治理案例显示，港口集疏运、物流园区和大型车辆通行频繁路口已采用或探索右转必停、危险区警示、盲区监控及右转声光报警等组合措施，说明该问题已形成持续的安全管理与设备应用需求。项目自有探索性问卷中，514名自报现任或曾任货车驾驶员/车队管理者的受访者里，219人表示即使自费也愿意安装，165人表示若能降低事故或保险费用则愿意投资，合计384人（74.71%）；该结果仅反映样本内意向，不等同于真实订单或全国市场转化率。</w:t>
      </w:r>
    </w:p>
    <w:p>
      <w:pPr>
        <w:spacing w:line="400" w:lineRule="exact"/>
        <w:rPr>
          <w:rFonts w:hint="eastAsia" w:ascii="宋体" w:hAnsi="宋体" w:eastAsia="宋体"/>
          <w:b w:val="1"/>
          <w:bCs w:val="1"/>
          <w:sz w:val="24"/>
          <w:szCs w:val="24"/>
        </w:rPr>
      </w:pPr>
      <w:r>
        <w:rPr>
          <w:rFonts w:ascii="宋体" w:hAnsi="宋体" w:eastAsia="宋体"/>
          <w:b w:val="1"/>
          <w:bCs w:val="1"/>
          <w:sz w:val="24"/>
          <w:szCs w:val="24"/>
        </w:rPr>
        <w:t>二、解决方案</w:t>
      </w:r>
    </w:p>
    <w:p>
      <w:pPr>
        <w:spacing w:line="400" w:lineRule="exact"/>
        <w:ind/>
        <w:rPr>
          <w:rFonts w:hint="eastAsia" w:ascii="宋体" w:hAnsi="宋体" w:eastAsia="宋体"/>
          <w:sz w:val="24"/>
          <w:szCs w:val="24"/>
        </w:rPr>
      </w:pPr>
      <w:r>
        <w:rPr>
          <w:rFonts w:hint="eastAsia" w:ascii="宋体" w:hAnsi="宋体" w:eastAsia="宋体"/>
          <w:sz w:val="24"/>
          <w:szCs w:val="24"/>
        </w:rPr>
        <w:t>针对上述问题，“盲区驭智”研发一套北斗高精度定位赋能的大型（铰接）车辆右转内轮差盲区实时预警系统。</w:t>
      </w:r>
    </w:p>
    <w:p>
      <w:pPr>
        <w:spacing w:line="400" w:lineRule="exact"/>
        <w:ind/>
        <w:rPr>
          <w:rFonts w:hint="eastAsia" w:ascii="宋体" w:hAnsi="宋体" w:eastAsia="宋体"/>
          <w:sz w:val="24"/>
          <w:szCs w:val="24"/>
        </w:rPr>
      </w:pPr>
      <w:r>
        <w:rPr>
          <w:rFonts w:hint="eastAsia" w:ascii="宋体" w:hAnsi="宋体" w:eastAsia="宋体"/>
          <w:sz w:val="24"/>
          <w:szCs w:val="24"/>
        </w:rPr>
        <w:t>系统以</w:t>
      </w:r>
      <w:r>
        <w:rPr>
          <w:rFonts w:hint="eastAsia" w:ascii="宋体" w:hAnsi="宋体" w:eastAsia="宋体"/>
          <w:b w:val="1"/>
          <w:color w:val="1450B8"/>
          <w:sz w:val="24"/>
          <w:szCs w:val="24"/>
        </w:rPr>
        <w:t>嵌入式计算平台</w:t>
      </w:r>
      <w:r>
        <w:rPr>
          <w:rFonts w:hint="eastAsia" w:ascii="宋体" w:hAnsi="宋体" w:eastAsia="宋体"/>
          <w:sz w:val="24"/>
          <w:szCs w:val="24"/>
        </w:rPr>
        <w:t>为核心，综合采集车辆车速、前轮转向角、牵引车—挂车铰接角等车辆状态信息，引入</w:t>
      </w:r>
      <w:r>
        <w:rPr>
          <w:rFonts w:hint="eastAsia" w:ascii="宋体" w:hAnsi="宋体" w:eastAsia="宋体"/>
          <w:b w:val="1"/>
          <w:color w:val="1450B8"/>
          <w:sz w:val="24"/>
          <w:szCs w:val="24"/>
        </w:rPr>
        <w:t>北斗高精度定位</w:t>
      </w:r>
      <w:r>
        <w:rPr>
          <w:rFonts w:hint="eastAsia" w:ascii="宋体" w:hAnsi="宋体" w:eastAsia="宋体"/>
          <w:sz w:val="24"/>
          <w:szCs w:val="24"/>
        </w:rPr>
        <w:t>、</w:t>
      </w:r>
      <w:r>
        <w:rPr>
          <w:rFonts w:hint="eastAsia" w:ascii="宋体" w:hAnsi="宋体" w:eastAsia="宋体"/>
          <w:b w:val="1"/>
          <w:color w:val="1450B8"/>
          <w:sz w:val="24"/>
          <w:szCs w:val="24"/>
        </w:rPr>
        <w:t>测速与航向信息</w:t>
      </w:r>
      <w:r>
        <w:rPr>
          <w:rFonts w:hint="eastAsia" w:ascii="宋体" w:hAnsi="宋体" w:eastAsia="宋体"/>
          <w:sz w:val="24"/>
          <w:szCs w:val="24"/>
        </w:rPr>
        <w:t>，并融合</w:t>
      </w:r>
      <w:r>
        <w:rPr>
          <w:rFonts w:hint="eastAsia" w:ascii="宋体" w:hAnsi="宋体" w:eastAsia="宋体"/>
          <w:b w:val="1"/>
          <w:color w:val="1450B8"/>
          <w:sz w:val="24"/>
          <w:szCs w:val="24"/>
        </w:rPr>
        <w:t>毫米波雷达和视觉感知结果</w:t>
      </w:r>
      <w:r>
        <w:rPr>
          <w:rFonts w:hint="eastAsia" w:ascii="宋体" w:hAnsi="宋体" w:eastAsia="宋体"/>
          <w:sz w:val="24"/>
          <w:szCs w:val="24"/>
        </w:rPr>
        <w:t>，建立车辆自身运动状态与右侧外部目标之间的统一时空表达。</w:t>
      </w:r>
    </w:p>
    <w:p>
      <w:pPr>
        <w:spacing w:line="400" w:lineRule="exact"/>
        <w:ind/>
        <w:rPr>
          <w:rFonts w:hint="eastAsia" w:ascii="宋体" w:hAnsi="宋体" w:eastAsia="宋体"/>
          <w:sz w:val="24"/>
          <w:szCs w:val="24"/>
        </w:rPr>
      </w:pPr>
      <w:r>
        <w:rPr>
          <w:rFonts w:hint="eastAsia" w:ascii="宋体" w:hAnsi="宋体" w:eastAsia="宋体"/>
          <w:sz w:val="24"/>
          <w:szCs w:val="24"/>
        </w:rPr>
        <w:t>在车辆运动预测层，项目针对半挂车的铰接结构建立</w:t>
      </w:r>
      <w:r>
        <w:rPr>
          <w:rFonts w:hint="eastAsia" w:ascii="宋体" w:hAnsi="宋体" w:eastAsia="宋体"/>
          <w:b w:val="1"/>
          <w:color w:val="1450B8"/>
          <w:sz w:val="24"/>
          <w:szCs w:val="24"/>
        </w:rPr>
        <w:t>牵引车—挂车耦合运动学模型</w:t>
      </w:r>
      <w:r>
        <w:rPr>
          <w:rFonts w:hint="eastAsia" w:ascii="宋体" w:hAnsi="宋体" w:eastAsia="宋体"/>
          <w:sz w:val="24"/>
          <w:szCs w:val="24"/>
        </w:rPr>
        <w:t>，不将整车简单视为单一刚体，而是考虑牵引车后轴、牵引销及挂车后轴等关键几何关系，通过</w:t>
      </w:r>
      <w:r>
        <w:rPr>
          <w:rFonts w:hint="eastAsia" w:ascii="宋体" w:hAnsi="宋体" w:eastAsia="宋体"/>
          <w:b w:val="1"/>
          <w:color w:val="1450B8"/>
          <w:sz w:val="24"/>
          <w:szCs w:val="24"/>
        </w:rPr>
        <w:t>短时离散递推</w:t>
      </w:r>
      <w:r>
        <w:rPr>
          <w:rFonts w:hint="eastAsia" w:ascii="宋体" w:hAnsi="宋体" w:eastAsia="宋体"/>
          <w:sz w:val="24"/>
          <w:szCs w:val="24"/>
        </w:rPr>
        <w:t>预测车辆未来姿态变化。在此基础上，根据车身宽度和关键点位生成未来不同时间尺度下的右侧车身动态扫掠区域。当前方案设置</w:t>
      </w:r>
      <w:r>
        <w:rPr>
          <w:rFonts w:hint="eastAsia" w:ascii="宋体" w:hAnsi="宋体" w:eastAsia="宋体"/>
          <w:b w:val="1"/>
          <w:color w:val="1450B8"/>
          <w:sz w:val="24"/>
          <w:szCs w:val="24"/>
        </w:rPr>
        <w:t>0.3 s、1.0 s和2.0 s</w:t>
      </w:r>
      <w:r>
        <w:rPr>
          <w:rFonts w:hint="eastAsia" w:ascii="宋体" w:hAnsi="宋体" w:eastAsia="宋体"/>
          <w:sz w:val="24"/>
          <w:szCs w:val="24"/>
        </w:rPr>
        <w:t>等近、中、远多时间窗口，分别服务于</w:t>
      </w:r>
      <w:r>
        <w:rPr>
          <w:rFonts w:hint="eastAsia" w:ascii="宋体" w:hAnsi="宋体" w:eastAsia="宋体"/>
          <w:b w:val="1"/>
          <w:color w:val="1450B8"/>
          <w:sz w:val="24"/>
          <w:szCs w:val="24"/>
        </w:rPr>
        <w:t>紧急报警</w:t>
      </w:r>
      <w:r>
        <w:rPr>
          <w:rFonts w:hint="eastAsia" w:ascii="宋体" w:hAnsi="宋体" w:eastAsia="宋体"/>
          <w:sz w:val="24"/>
          <w:szCs w:val="24"/>
        </w:rPr>
        <w:t>、</w:t>
      </w:r>
      <w:r>
        <w:rPr>
          <w:rFonts w:hint="eastAsia" w:ascii="宋体" w:hAnsi="宋体" w:eastAsia="宋体"/>
          <w:b w:val="1"/>
          <w:color w:val="1450B8"/>
          <w:sz w:val="24"/>
          <w:szCs w:val="24"/>
        </w:rPr>
        <w:t>主动报警</w:t>
      </w:r>
      <w:r>
        <w:rPr>
          <w:rFonts w:hint="eastAsia" w:ascii="宋体" w:hAnsi="宋体" w:eastAsia="宋体"/>
          <w:sz w:val="24"/>
          <w:szCs w:val="24"/>
        </w:rPr>
        <w:t>和</w:t>
      </w:r>
      <w:r>
        <w:rPr>
          <w:rFonts w:hint="eastAsia" w:ascii="宋体" w:hAnsi="宋体" w:eastAsia="宋体"/>
          <w:b w:val="1"/>
          <w:color w:val="1450B8"/>
          <w:sz w:val="24"/>
          <w:szCs w:val="24"/>
        </w:rPr>
        <w:t>提前预警</w:t>
      </w:r>
      <w:r>
        <w:rPr>
          <w:rFonts w:hint="eastAsia" w:ascii="宋体" w:hAnsi="宋体" w:eastAsia="宋体"/>
          <w:sz w:val="24"/>
          <w:szCs w:val="24"/>
        </w:rPr>
        <w:t>。</w:t>
      </w:r>
    </w:p>
    <w:p>
      <w:pPr>
        <w:spacing w:line="400" w:lineRule="exact"/>
        <w:ind/>
        <w:rPr>
          <w:rFonts w:hint="eastAsia" w:ascii="宋体" w:hAnsi="宋体" w:eastAsia="宋体"/>
          <w:sz w:val="24"/>
          <w:szCs w:val="24"/>
        </w:rPr>
      </w:pPr>
      <w:r>
        <w:rPr>
          <w:rFonts w:hint="eastAsia" w:ascii="宋体" w:hAnsi="宋体" w:eastAsia="宋体"/>
          <w:sz w:val="24"/>
          <w:szCs w:val="24"/>
        </w:rPr>
        <w:t>在目标感知层，</w:t>
      </w:r>
      <w:r>
        <w:rPr>
          <w:rFonts w:hint="eastAsia" w:ascii="宋体" w:hAnsi="宋体" w:eastAsia="宋体"/>
          <w:b w:val="1"/>
          <w:color w:val="1450B8"/>
          <w:sz w:val="24"/>
          <w:szCs w:val="24"/>
        </w:rPr>
        <w:t>毫米波雷达</w:t>
      </w:r>
      <w:r>
        <w:rPr>
          <w:rFonts w:hint="eastAsia" w:ascii="宋体" w:hAnsi="宋体" w:eastAsia="宋体"/>
          <w:sz w:val="24"/>
          <w:szCs w:val="24"/>
        </w:rPr>
        <w:t>主要提供目标相对位置和运动速度信息，</w:t>
      </w:r>
      <w:r>
        <w:rPr>
          <w:rFonts w:hint="eastAsia" w:ascii="宋体" w:hAnsi="宋体" w:eastAsia="宋体"/>
          <w:b w:val="1"/>
          <w:color w:val="1450B8"/>
          <w:sz w:val="24"/>
          <w:szCs w:val="24"/>
        </w:rPr>
        <w:t>视觉模块辅助</w:t>
      </w:r>
      <w:r>
        <w:rPr>
          <w:rFonts w:hint="eastAsia" w:ascii="宋体" w:hAnsi="宋体" w:eastAsia="宋体"/>
          <w:sz w:val="24"/>
          <w:szCs w:val="24"/>
        </w:rPr>
        <w:t>识别行人、非机动车等目标类别，并通过</w:t>
      </w:r>
      <w:r>
        <w:rPr>
          <w:rFonts w:hint="eastAsia" w:ascii="宋体" w:hAnsi="宋体" w:eastAsia="宋体"/>
          <w:b w:val="1"/>
          <w:color w:val="1450B8"/>
          <w:sz w:val="24"/>
          <w:szCs w:val="24"/>
        </w:rPr>
        <w:t>传感器</w:t>
      </w:r>
      <w:r>
        <w:rPr>
          <w:rFonts w:hint="eastAsia" w:ascii="宋体" w:hAnsi="宋体" w:eastAsia="宋体"/>
          <w:sz w:val="24"/>
          <w:szCs w:val="24"/>
        </w:rPr>
        <w:t>标定与坐标转换统一至车体坐标系。系统进一步结合目标当前位置、短时运动外推、扫掠区域侵入关系及TTC等信息，对右侧目标进行0—3级风险评估，并通过带有升级、降级滞回逻辑的报警状态机输出分级声光提示，以降低瞬时数据波动对报警稳定性的影响。</w:t>
      </w:r>
    </w:p>
    <w:p>
      <w:pPr>
        <w:pBdr>
          <w:bottom/>
        </w:pBdr>
        <w:spacing w:line="400" w:lineRule="exact"/>
        <w:ind/>
        <w:rPr>
          <w:rFonts w:hint="eastAsia" w:ascii="宋体" w:hAnsi="宋体" w:eastAsia="宋体"/>
          <w:sz w:val="24"/>
          <w:szCs w:val="24"/>
        </w:rPr>
      </w:pPr>
      <w:r>
        <w:rPr>
          <w:rFonts w:hint="eastAsia" w:ascii="宋体" w:hAnsi="宋体" w:eastAsia="宋体"/>
          <w:sz w:val="24"/>
          <w:szCs w:val="24"/>
        </w:rPr>
        <w:t>北斗高精度时空信息在现有方案中不仅服务于车辆位置、速度及航向状态获取，同时为预警事件提供统一的时空基准。随着后续真实车辆数据积累，风险事件可进一步与车辆轨迹和道路位置关联，为车队安全复盘、风险路口识别和道路安全治理提供数据基础。</w:t>
      </w:r>
    </w:p>
    <w:p>
      <w:pPr>
        <w:spacing w:line="400" w:lineRule="exact"/>
        <w:rPr>
          <w:rFonts w:hint="eastAsia" w:ascii="宋体" w:hAnsi="宋体" w:eastAsia="宋体"/>
          <w:b w:val="1"/>
          <w:bCs w:val="1"/>
          <w:sz w:val="24"/>
          <w:szCs w:val="24"/>
        </w:rPr>
      </w:pPr>
      <w:r>
        <w:rPr>
          <w:rFonts w:ascii="宋体" w:hAnsi="宋体" w:eastAsia="宋体"/>
          <w:b w:val="1"/>
          <w:bCs w:val="1"/>
          <w:sz w:val="24"/>
          <w:szCs w:val="24"/>
        </w:rPr>
        <w:t>三、</w:t>
      </w:r>
      <w:r>
        <w:rPr>
          <w:rFonts w:hint="eastAsia" w:ascii="宋体" w:hAnsi="宋体" w:eastAsia="宋体"/>
          <w:b w:val="1"/>
          <w:bCs w:val="1"/>
          <w:sz w:val="24"/>
          <w:szCs w:val="24"/>
        </w:rPr>
        <w:t>项目核心价值</w:t>
      </w:r>
    </w:p>
    <w:p>
      <w:pPr>
        <w:spacing w:line="400" w:lineRule="exact"/>
        <w:ind/>
        <w:rPr>
          <w:rFonts w:hint="eastAsia" w:ascii="宋体" w:hAnsi="宋体" w:eastAsia="宋体"/>
          <w:b w:val="1"/>
          <w:sz w:val="24"/>
          <w:szCs w:val="24"/>
        </w:rPr>
      </w:pPr>
      <w:r>
        <w:rPr>
          <w:rFonts w:hint="eastAsia" w:ascii="宋体" w:hAnsi="宋体" w:eastAsia="宋体"/>
          <w:b w:val="1"/>
          <w:sz w:val="24"/>
          <w:szCs w:val="24"/>
        </w:rPr>
        <w:t>1. 从“当前盲区检测”转向“未来扫掠风险预测”</w:t>
      </w:r>
    </w:p>
    <w:p>
      <w:pPr>
        <w:pBdr>
          <w:bottom/>
        </w:pBdr>
        <w:spacing w:line="400" w:lineRule="exact"/>
        <w:ind/>
        <w:rPr>
          <w:rFonts w:hint="eastAsia" w:ascii="宋体" w:hAnsi="宋体" w:eastAsia="宋体"/>
          <w:sz w:val="24"/>
          <w:szCs w:val="24"/>
        </w:rPr>
      </w:pPr>
      <w:r>
        <w:rPr>
          <w:rFonts w:hint="eastAsia" w:ascii="宋体" w:hAnsi="宋体" w:eastAsia="宋体"/>
          <w:sz w:val="24"/>
          <w:szCs w:val="24"/>
        </w:rPr>
        <w:t>项目基于车辆实时运动状态</w:t>
      </w:r>
      <w:r>
        <w:rPr>
          <w:rFonts w:hint="eastAsia" w:ascii="宋体" w:hAnsi="宋体" w:eastAsia="宋体"/>
          <w:b w:val="1"/>
          <w:color w:val="1450B8"/>
          <w:sz w:val="24"/>
          <w:szCs w:val="24"/>
        </w:rPr>
        <w:t>预测</w:t>
      </w:r>
      <w:r>
        <w:rPr>
          <w:rFonts w:hint="eastAsia" w:ascii="宋体" w:hAnsi="宋体" w:eastAsia="宋体"/>
          <w:sz w:val="24"/>
          <w:szCs w:val="24"/>
        </w:rPr>
        <w:t>未来0.3—2.0秒的车身扫掠区域，并</w:t>
      </w:r>
      <w:r>
        <w:rPr>
          <w:rFonts w:hint="eastAsia" w:ascii="宋体" w:hAnsi="宋体" w:eastAsia="宋体"/>
          <w:b w:val="1"/>
          <w:color w:val="1450B8"/>
          <w:sz w:val="24"/>
          <w:szCs w:val="24"/>
        </w:rPr>
        <w:t>判断</w:t>
      </w:r>
      <w:r>
        <w:rPr>
          <w:rFonts w:hint="eastAsia" w:ascii="宋体" w:hAnsi="宋体" w:eastAsia="宋体"/>
          <w:sz w:val="24"/>
          <w:szCs w:val="24"/>
        </w:rPr>
        <w:t>目标潜在冲突，这是项目最核心的产品价值。</w:t>
      </w:r>
    </w:p>
    <w:p>
      <w:pPr>
        <w:spacing w:line="400" w:lineRule="exact"/>
        <w:ind/>
        <w:rPr>
          <w:rFonts w:hint="eastAsia" w:ascii="宋体" w:hAnsi="宋体" w:eastAsia="宋体"/>
          <w:sz w:val="24"/>
          <w:szCs w:val="24"/>
        </w:rPr>
      </w:pPr>
      <w:r>
        <w:rPr>
          <w:rFonts w:hint="eastAsia" w:ascii="宋体" w:hAnsi="宋体" w:eastAsia="宋体"/>
          <w:b w:val="1"/>
          <w:sz w:val="24"/>
          <w:szCs w:val="24"/>
        </w:rPr>
        <w:t>2. 针对铰接车辆建立专门的运动表达</w:t>
      </w:r>
    </w:p>
    <w:p>
      <w:pPr>
        <w:spacing w:line="400" w:lineRule="exact"/>
        <w:ind/>
        <w:rPr>
          <w:rFonts w:hint="eastAsia" w:ascii="宋体" w:hAnsi="宋体" w:eastAsia="宋体"/>
          <w:sz w:val="24"/>
          <w:szCs w:val="24"/>
        </w:rPr>
      </w:pPr>
      <w:r>
        <w:rPr>
          <w:rFonts w:hint="eastAsia" w:ascii="宋体" w:hAnsi="宋体" w:eastAsia="宋体"/>
          <w:sz w:val="24"/>
          <w:szCs w:val="24"/>
        </w:rPr>
        <w:t>与普通单体车辆不同，半挂车转弯过程中牵引车和挂车之间的</w:t>
      </w:r>
      <w:r>
        <w:rPr>
          <w:rFonts w:hint="eastAsia" w:ascii="宋体" w:hAnsi="宋体" w:eastAsia="宋体"/>
          <w:b w:val="1"/>
          <w:color w:val="1450B8"/>
          <w:sz w:val="24"/>
          <w:szCs w:val="24"/>
        </w:rPr>
        <w:t>铰接角不断变化</w:t>
      </w:r>
      <w:r>
        <w:rPr>
          <w:rFonts w:hint="eastAsia" w:ascii="宋体" w:hAnsi="宋体" w:eastAsia="宋体"/>
          <w:sz w:val="24"/>
          <w:szCs w:val="24"/>
        </w:rPr>
        <w:t>，挂车后轴轨迹及车身内切范围不能简单由牵引车轨迹直接代替。</w:t>
      </w:r>
    </w:p>
    <w:p>
      <w:pPr>
        <w:spacing w:line="400" w:lineRule="exact"/>
        <w:ind/>
        <w:rPr>
          <w:rFonts w:hint="eastAsia" w:ascii="宋体" w:hAnsi="宋体" w:eastAsia="宋体"/>
          <w:sz w:val="24"/>
          <w:szCs w:val="24"/>
        </w:rPr>
      </w:pPr>
      <w:r>
        <w:rPr>
          <w:rFonts w:hint="eastAsia" w:ascii="宋体" w:hAnsi="宋体" w:eastAsia="宋体"/>
          <w:sz w:val="24"/>
          <w:szCs w:val="24"/>
        </w:rPr>
        <w:t>项目在模型中保留牵引销位置及牵引车—挂车之间的运动耦合关系，根据</w:t>
      </w:r>
      <w:r>
        <w:rPr>
          <w:rFonts w:hint="eastAsia" w:ascii="宋体" w:hAnsi="宋体" w:eastAsia="宋体"/>
          <w:b w:val="1"/>
          <w:color w:val="1450B8"/>
          <w:sz w:val="24"/>
          <w:szCs w:val="24"/>
        </w:rPr>
        <w:t>车速</w:t>
      </w:r>
      <w:r>
        <w:rPr>
          <w:rFonts w:hint="eastAsia" w:ascii="宋体" w:hAnsi="宋体" w:eastAsia="宋体"/>
          <w:sz w:val="24"/>
          <w:szCs w:val="24"/>
        </w:rPr>
        <w:t>、</w:t>
      </w:r>
      <w:r>
        <w:rPr>
          <w:rFonts w:hint="eastAsia" w:ascii="宋体" w:hAnsi="宋体" w:eastAsia="宋体"/>
          <w:b w:val="1"/>
          <w:color w:val="1450B8"/>
          <w:sz w:val="24"/>
          <w:szCs w:val="24"/>
        </w:rPr>
        <w:t>前轮转向角</w:t>
      </w:r>
      <w:r>
        <w:rPr>
          <w:rFonts w:hint="eastAsia" w:ascii="宋体" w:hAnsi="宋体" w:eastAsia="宋体"/>
          <w:sz w:val="24"/>
          <w:szCs w:val="24"/>
        </w:rPr>
        <w:t>和</w:t>
      </w:r>
      <w:r>
        <w:rPr>
          <w:rFonts w:hint="eastAsia" w:ascii="宋体" w:hAnsi="宋体" w:eastAsia="宋体"/>
          <w:b w:val="1"/>
          <w:color w:val="1450B8"/>
          <w:sz w:val="24"/>
          <w:szCs w:val="24"/>
        </w:rPr>
        <w:t>铰接角</w:t>
      </w:r>
      <w:r>
        <w:rPr>
          <w:rFonts w:hint="eastAsia" w:ascii="宋体" w:hAnsi="宋体" w:eastAsia="宋体"/>
          <w:sz w:val="24"/>
          <w:szCs w:val="24"/>
        </w:rPr>
        <w:t>预测整车短时姿态，使危险区域能够</w:t>
      </w:r>
      <w:r>
        <w:rPr>
          <w:rFonts w:hint="eastAsia" w:ascii="宋体" w:hAnsi="宋体" w:eastAsia="宋体"/>
          <w:b w:val="1"/>
          <w:color w:val="1450B8"/>
          <w:sz w:val="24"/>
          <w:szCs w:val="24"/>
        </w:rPr>
        <w:t>随实际转弯状态动态变化</w:t>
      </w:r>
      <w:r>
        <w:rPr>
          <w:rFonts w:hint="eastAsia" w:ascii="宋体" w:hAnsi="宋体" w:eastAsia="宋体"/>
          <w:sz w:val="24"/>
          <w:szCs w:val="24"/>
        </w:rPr>
        <w:t>。</w:t>
      </w:r>
    </w:p>
    <w:p>
      <w:pPr>
        <w:spacing w:line="400" w:lineRule="exact"/>
        <w:ind/>
        <w:rPr>
          <w:rFonts w:hint="eastAsia" w:ascii="宋体" w:hAnsi="宋体" w:eastAsia="宋体"/>
          <w:b w:val="1"/>
          <w:sz w:val="24"/>
          <w:szCs w:val="24"/>
        </w:rPr>
      </w:pPr>
      <w:r>
        <w:rPr>
          <w:rFonts w:hint="eastAsia" w:ascii="宋体" w:hAnsi="宋体" w:eastAsia="宋体"/>
          <w:b w:val="1"/>
          <w:sz w:val="24"/>
          <w:szCs w:val="24"/>
        </w:rPr>
        <w:t>3. 形成“车辆状态＋环境感知＋时空信息”的多源融合架构</w:t>
      </w:r>
    </w:p>
    <w:p>
      <w:pPr>
        <w:spacing w:line="400" w:lineRule="exact"/>
        <w:ind/>
        <w:rPr>
          <w:rFonts w:hint="eastAsia" w:ascii="宋体" w:hAnsi="宋体" w:eastAsia="宋体"/>
          <w:sz w:val="24"/>
          <w:szCs w:val="24"/>
        </w:rPr>
      </w:pPr>
      <w:r>
        <w:rPr>
          <w:rFonts w:hint="eastAsia" w:ascii="宋体" w:hAnsi="宋体" w:eastAsia="宋体"/>
          <w:sz w:val="24"/>
          <w:szCs w:val="24"/>
        </w:rPr>
        <w:t>系统不是单独依赖某一种传感器，而是分别利用不同信息源解决不同问题：</w:t>
      </w:r>
    </w:p>
    <w:p>
      <w:pPr>
        <w:spacing w:line="400" w:lineRule="exact"/>
        <w:ind/>
        <w:rPr>
          <w:rFonts w:hint="eastAsia" w:ascii="宋体" w:hAnsi="宋体" w:eastAsia="宋体"/>
          <w:sz w:val="24"/>
          <w:szCs w:val="24"/>
        </w:rPr>
      </w:pPr>
      <w:r>
        <w:rPr>
          <w:rFonts w:hint="eastAsia" w:ascii="宋体" w:hAnsi="宋体" w:eastAsia="宋体"/>
          <w:b w:val="1"/>
          <w:color w:val="1450B8"/>
          <w:sz w:val="24"/>
          <w:szCs w:val="24"/>
        </w:rPr>
        <w:t>车辆状态信息</w:t>
      </w:r>
      <w:r>
        <w:rPr>
          <w:rFonts w:hint="eastAsia" w:ascii="宋体" w:hAnsi="宋体" w:eastAsia="宋体"/>
          <w:sz w:val="24"/>
          <w:szCs w:val="24"/>
        </w:rPr>
        <w:t>回答“车辆自身正在如何运动”；</w:t>
      </w:r>
    </w:p>
    <w:p>
      <w:pPr>
        <w:spacing w:line="400" w:lineRule="exact"/>
        <w:ind/>
        <w:rPr>
          <w:rFonts w:hint="eastAsia" w:ascii="宋体" w:hAnsi="宋体" w:eastAsia="宋体"/>
          <w:sz w:val="24"/>
          <w:szCs w:val="24"/>
        </w:rPr>
      </w:pPr>
      <w:r>
        <w:rPr>
          <w:rFonts w:hint="eastAsia" w:ascii="宋体" w:hAnsi="宋体" w:eastAsia="宋体"/>
          <w:b w:val="1"/>
          <w:color w:val="1450B8"/>
          <w:sz w:val="24"/>
          <w:szCs w:val="24"/>
        </w:rPr>
        <w:t>毫米波雷达</w:t>
      </w:r>
      <w:r>
        <w:rPr>
          <w:rFonts w:hint="eastAsia" w:ascii="宋体" w:hAnsi="宋体" w:eastAsia="宋体"/>
          <w:sz w:val="24"/>
          <w:szCs w:val="24"/>
        </w:rPr>
        <w:t>回答“右侧目标在哪里、如何运动”；</w:t>
      </w:r>
    </w:p>
    <w:p>
      <w:pPr>
        <w:spacing w:line="400" w:lineRule="exact"/>
        <w:ind/>
        <w:rPr>
          <w:rFonts w:hint="eastAsia" w:ascii="宋体" w:hAnsi="宋体" w:eastAsia="宋体"/>
          <w:sz w:val="24"/>
          <w:szCs w:val="24"/>
        </w:rPr>
      </w:pPr>
      <w:r>
        <w:rPr>
          <w:rFonts w:hint="eastAsia" w:ascii="宋体" w:hAnsi="宋体" w:eastAsia="宋体"/>
          <w:b w:val="1"/>
          <w:color w:val="1450B8"/>
          <w:sz w:val="24"/>
          <w:szCs w:val="24"/>
        </w:rPr>
        <w:t>视觉感知辅助</w:t>
      </w:r>
      <w:r>
        <w:rPr>
          <w:rFonts w:hint="eastAsia" w:ascii="宋体" w:hAnsi="宋体" w:eastAsia="宋体"/>
          <w:sz w:val="24"/>
          <w:szCs w:val="24"/>
        </w:rPr>
        <w:t>回答“目标是什么”；</w:t>
      </w:r>
    </w:p>
    <w:p>
      <w:pPr>
        <w:spacing w:line="400" w:lineRule="exact"/>
        <w:ind/>
        <w:rPr>
          <w:rFonts w:hint="eastAsia" w:ascii="宋体" w:hAnsi="宋体" w:eastAsia="宋体"/>
          <w:sz w:val="24"/>
          <w:szCs w:val="24"/>
        </w:rPr>
      </w:pPr>
      <w:r>
        <w:rPr>
          <w:rFonts w:hint="eastAsia" w:ascii="宋体" w:hAnsi="宋体" w:eastAsia="宋体"/>
          <w:b w:val="1"/>
          <w:color w:val="1450B8"/>
          <w:sz w:val="24"/>
          <w:szCs w:val="24"/>
        </w:rPr>
        <w:t>北斗高精度信息</w:t>
      </w:r>
      <w:r>
        <w:rPr>
          <w:rFonts w:hint="eastAsia" w:ascii="宋体" w:hAnsi="宋体" w:eastAsia="宋体"/>
          <w:sz w:val="24"/>
          <w:szCs w:val="24"/>
        </w:rPr>
        <w:t>提供独立的位置、速度、航向及时空基准；</w:t>
      </w:r>
    </w:p>
    <w:p>
      <w:pPr>
        <w:spacing w:line="400" w:lineRule="exact"/>
        <w:ind/>
        <w:rPr>
          <w:rFonts w:hint="eastAsia" w:ascii="宋体" w:hAnsi="宋体" w:eastAsia="宋体"/>
          <w:sz w:val="24"/>
          <w:szCs w:val="24"/>
        </w:rPr>
      </w:pPr>
      <w:r>
        <w:rPr>
          <w:rFonts w:hint="eastAsia" w:ascii="宋体" w:hAnsi="宋体" w:eastAsia="宋体"/>
          <w:b w:val="1"/>
          <w:color w:val="1450B8"/>
          <w:sz w:val="24"/>
          <w:szCs w:val="24"/>
        </w:rPr>
        <w:t>耦合运动学模型</w:t>
      </w:r>
      <w:r>
        <w:rPr>
          <w:rFonts w:hint="eastAsia" w:ascii="宋体" w:hAnsi="宋体" w:eastAsia="宋体"/>
          <w:sz w:val="24"/>
          <w:szCs w:val="24"/>
        </w:rPr>
        <w:t>负责推演“车辆未来将扫过哪里”。</w:t>
      </w:r>
    </w:p>
    <w:p>
      <w:pPr>
        <w:spacing w:line="400" w:lineRule="exact"/>
        <w:ind/>
        <w:rPr>
          <w:rFonts w:hint="eastAsia" w:ascii="宋体" w:hAnsi="宋体" w:eastAsia="宋体"/>
          <w:sz w:val="24"/>
          <w:szCs w:val="24"/>
        </w:rPr>
      </w:pPr>
      <w:r>
        <w:rPr>
          <w:rFonts w:hint="eastAsia" w:ascii="宋体" w:hAnsi="宋体" w:eastAsia="宋体"/>
          <w:sz w:val="24"/>
          <w:szCs w:val="24"/>
        </w:rPr>
        <w:t>最终将车辆、目标和道路事件统一到同一时空框架中。</w:t>
      </w:r>
    </w:p>
    <w:p>
      <w:pPr>
        <w:spacing w:line="400" w:lineRule="exact"/>
        <w:ind/>
        <w:rPr>
          <w:rFonts w:hint="eastAsia" w:ascii="宋体" w:hAnsi="宋体" w:eastAsia="宋体"/>
          <w:b w:val="1"/>
          <w:sz w:val="24"/>
          <w:szCs w:val="24"/>
        </w:rPr>
      </w:pPr>
      <w:r>
        <w:rPr>
          <w:rFonts w:hint="eastAsia" w:ascii="宋体" w:hAnsi="宋体" w:eastAsia="宋体"/>
          <w:b w:val="1"/>
          <w:sz w:val="24"/>
          <w:szCs w:val="24"/>
        </w:rPr>
        <w:t>4. 强调可解释和嵌入式部署</w:t>
      </w:r>
    </w:p>
    <w:p>
      <w:pPr>
        <w:spacing w:line="400" w:lineRule="exact"/>
        <w:ind/>
        <w:rPr>
          <w:rFonts w:hint="eastAsia" w:ascii="宋体" w:hAnsi="宋体" w:eastAsia="宋体"/>
          <w:sz w:val="24"/>
          <w:szCs w:val="24"/>
        </w:rPr>
      </w:pPr>
      <w:r>
        <w:rPr>
          <w:rFonts w:hint="eastAsia" w:ascii="宋体" w:hAnsi="宋体" w:eastAsia="宋体"/>
          <w:sz w:val="24"/>
          <w:szCs w:val="24"/>
        </w:rPr>
        <w:t>项目的核心风险预测</w:t>
      </w:r>
      <w:r>
        <w:rPr>
          <w:rFonts w:hint="eastAsia" w:ascii="宋体" w:hAnsi="宋体" w:eastAsia="宋体"/>
          <w:b w:val="1"/>
          <w:color w:val="1450B8"/>
          <w:sz w:val="24"/>
          <w:szCs w:val="24"/>
        </w:rPr>
        <w:t>基于车辆几何关系和运动学递推</w:t>
      </w:r>
      <w:r>
        <w:rPr>
          <w:rFonts w:hint="eastAsia" w:ascii="宋体" w:hAnsi="宋体" w:eastAsia="宋体"/>
          <w:sz w:val="24"/>
          <w:szCs w:val="24"/>
        </w:rPr>
        <w:t>，而非完全依赖黑盒式机器学习模型。模型输入、车辆姿态变化、扫掠区生成和风险判定之间具有明确的物理关系，因此便于参数标定、结果复盘以及后续不同车型适配。</w:t>
      </w:r>
    </w:p>
    <w:p>
      <w:pPr>
        <w:spacing w:line="400" w:lineRule="exact"/>
        <w:ind/>
        <w:rPr>
          <w:rFonts w:hint="eastAsia" w:ascii="宋体" w:hAnsi="宋体" w:eastAsia="宋体"/>
          <w:sz w:val="24"/>
          <w:szCs w:val="24"/>
        </w:rPr>
      </w:pPr>
      <w:r>
        <w:rPr>
          <w:rFonts w:hint="eastAsia" w:ascii="宋体" w:hAnsi="宋体" w:eastAsia="宋体"/>
          <w:sz w:val="24"/>
          <w:szCs w:val="24"/>
        </w:rPr>
        <w:t>目前项目同时围绕ESP32-S3等嵌入式平台开展核心算法部署和实时运行验证，希望在保持短时预测能力的同时降低对高算力平台的依赖。现阶段材料将20 ms主循环、50 Hz刷新等作为系统设计与验证目标，最终性能指标仍以正式实验记录为准。</w:t>
      </w:r>
    </w:p>
    <w:p>
      <w:pPr>
        <w:spacing w:line="400" w:lineRule="exact"/>
        <w:ind/>
        <w:rPr>
          <w:rFonts w:hint="eastAsia" w:ascii="宋体" w:hAnsi="宋体" w:eastAsia="宋体"/>
          <w:b w:val="1"/>
          <w:sz w:val="24"/>
          <w:szCs w:val="24"/>
        </w:rPr>
      </w:pPr>
      <w:r>
        <w:rPr>
          <w:rFonts w:hint="eastAsia" w:ascii="宋体" w:hAnsi="宋体" w:eastAsia="宋体"/>
          <w:b w:val="1"/>
          <w:sz w:val="24"/>
          <w:szCs w:val="24"/>
        </w:rPr>
        <w:t>5. 从单车预警向风险时空数据延伸</w:t>
      </w:r>
    </w:p>
    <w:p>
      <w:pPr>
        <w:spacing w:line="400" w:lineRule="exact"/>
        <w:ind/>
        <w:rPr>
          <w:rFonts w:hint="eastAsia" w:ascii="宋体" w:hAnsi="宋体" w:eastAsia="宋体"/>
          <w:sz w:val="24"/>
          <w:szCs w:val="24"/>
        </w:rPr>
      </w:pPr>
      <w:r>
        <w:rPr>
          <w:rFonts w:hint="eastAsia" w:ascii="宋体" w:hAnsi="宋体" w:eastAsia="宋体"/>
          <w:sz w:val="24"/>
          <w:szCs w:val="24"/>
        </w:rPr>
        <w:t>北斗模块的引入使每一次预警不再只是车辆内部的一次蜂鸣或灯光提示，而可以进一步形成带有</w:t>
      </w:r>
      <w:r>
        <w:rPr>
          <w:rFonts w:hint="eastAsia" w:ascii="宋体" w:hAnsi="宋体" w:eastAsia="宋体"/>
          <w:b w:val="1"/>
          <w:color w:val="1450B8"/>
          <w:sz w:val="24"/>
          <w:szCs w:val="24"/>
        </w:rPr>
        <w:t>位置</w:t>
      </w:r>
      <w:r>
        <w:rPr>
          <w:rFonts w:hint="eastAsia" w:ascii="宋体" w:hAnsi="宋体" w:eastAsia="宋体"/>
          <w:sz w:val="24"/>
          <w:szCs w:val="24"/>
        </w:rPr>
        <w:t>和</w:t>
      </w:r>
      <w:r>
        <w:rPr>
          <w:rFonts w:hint="eastAsia" w:ascii="宋体" w:hAnsi="宋体" w:eastAsia="宋体"/>
          <w:b w:val="1"/>
          <w:color w:val="1450B8"/>
          <w:sz w:val="24"/>
          <w:szCs w:val="24"/>
        </w:rPr>
        <w:t>时间属性</w:t>
      </w:r>
      <w:r>
        <w:rPr>
          <w:rFonts w:hint="eastAsia" w:ascii="宋体" w:hAnsi="宋体" w:eastAsia="宋体"/>
          <w:sz w:val="24"/>
          <w:szCs w:val="24"/>
        </w:rPr>
        <w:t>的风险事件。</w:t>
      </w:r>
    </w:p>
    <w:p>
      <w:pPr>
        <w:spacing w:line="400" w:lineRule="exact"/>
        <w:ind/>
        <w:rPr>
          <w:rFonts w:hint="eastAsia" w:ascii="宋体" w:hAnsi="宋体" w:eastAsia="宋体"/>
          <w:sz w:val="24"/>
          <w:szCs w:val="24"/>
        </w:rPr>
      </w:pPr>
      <w:r>
        <w:rPr>
          <w:rFonts w:hint="eastAsia" w:ascii="宋体" w:hAnsi="宋体" w:eastAsia="宋体"/>
          <w:sz w:val="24"/>
          <w:szCs w:val="24"/>
        </w:rPr>
        <w:t>在获得足够真实运行数据后，可以进一步分析：</w:t>
      </w:r>
    </w:p>
    <w:p>
      <w:pPr>
        <w:spacing w:line="400" w:lineRule="exact"/>
        <w:ind/>
        <w:rPr>
          <w:rFonts w:hint="eastAsia" w:ascii="宋体" w:hAnsi="宋体" w:eastAsia="宋体"/>
          <w:sz w:val="24"/>
          <w:szCs w:val="24"/>
        </w:rPr>
      </w:pPr>
      <w:r>
        <w:rPr>
          <w:rFonts w:hint="eastAsia" w:ascii="宋体" w:hAnsi="宋体" w:eastAsia="宋体"/>
          <w:sz w:val="24"/>
          <w:szCs w:val="24"/>
        </w:rPr>
        <w:t>哪些道路或路口高风险事件更加集中；</w:t>
      </w:r>
    </w:p>
    <w:p>
      <w:pPr>
        <w:spacing w:line="400" w:lineRule="exact"/>
        <w:ind/>
        <w:rPr>
          <w:rFonts w:hint="eastAsia" w:ascii="宋体" w:hAnsi="宋体" w:eastAsia="宋体"/>
          <w:sz w:val="24"/>
          <w:szCs w:val="24"/>
        </w:rPr>
      </w:pPr>
      <w:r>
        <w:rPr>
          <w:rFonts w:hint="eastAsia" w:ascii="宋体" w:hAnsi="宋体" w:eastAsia="宋体"/>
          <w:sz w:val="24"/>
          <w:szCs w:val="24"/>
        </w:rPr>
        <w:t>哪类车辆或转弯工况更容易触发高风险状态；</w:t>
      </w:r>
    </w:p>
    <w:p>
      <w:pPr>
        <w:spacing w:line="400" w:lineRule="exact"/>
        <w:ind/>
        <w:rPr>
          <w:rFonts w:hint="eastAsia" w:ascii="宋体" w:hAnsi="宋体" w:eastAsia="宋体"/>
          <w:sz w:val="24"/>
          <w:szCs w:val="24"/>
        </w:rPr>
      </w:pPr>
      <w:r>
        <w:rPr>
          <w:rFonts w:hint="eastAsia" w:ascii="宋体" w:hAnsi="宋体" w:eastAsia="宋体"/>
          <w:sz w:val="24"/>
          <w:szCs w:val="24"/>
        </w:rPr>
        <w:t>某一车队在不同时间和区域的右转风险分布；</w:t>
      </w:r>
    </w:p>
    <w:p>
      <w:pPr>
        <w:spacing w:line="400" w:lineRule="exact"/>
        <w:ind/>
        <w:rPr>
          <w:rFonts w:hint="eastAsia" w:ascii="宋体" w:hAnsi="宋体" w:eastAsia="宋体"/>
          <w:sz w:val="24"/>
          <w:szCs w:val="24"/>
        </w:rPr>
      </w:pPr>
      <w:r>
        <w:rPr>
          <w:rFonts w:hint="eastAsia" w:ascii="宋体" w:hAnsi="宋体" w:eastAsia="宋体"/>
          <w:sz w:val="24"/>
          <w:szCs w:val="24"/>
        </w:rPr>
        <w:t>预警系统安装前后的风险事件变化。</w:t>
      </w:r>
    </w:p>
    <w:p>
      <w:pPr>
        <w:pBdr>
          <w:bottom/>
        </w:pBdr>
        <w:spacing w:line="400" w:lineRule="exact"/>
        <w:ind/>
        <w:rPr>
          <w:rFonts w:hint="eastAsia" w:ascii="宋体" w:hAnsi="宋体" w:eastAsia="宋体"/>
          <w:sz w:val="24"/>
          <w:szCs w:val="24"/>
        </w:rPr>
      </w:pPr>
      <w:r>
        <w:rPr>
          <w:rFonts w:hint="eastAsia" w:ascii="宋体" w:hAnsi="宋体" w:eastAsia="宋体"/>
          <w:sz w:val="24"/>
          <w:szCs w:val="24"/>
        </w:rPr>
        <w:t>因此，项目未来具备由单车实时安全设备向车队风险管理及道路安全数据服务延伸的可能性。</w:t>
      </w:r>
    </w:p>
    <w:p>
      <w:pPr>
        <w:spacing w:line="400" w:lineRule="exact"/>
        <w:rPr>
          <w:rFonts w:hint="eastAsia" w:ascii="宋体" w:hAnsi="宋体" w:eastAsia="宋体"/>
          <w:b w:val="1"/>
          <w:bCs w:val="1"/>
          <w:sz w:val="24"/>
          <w:szCs w:val="24"/>
        </w:rPr>
      </w:pPr>
      <w:r>
        <w:rPr>
          <w:rFonts w:ascii="宋体" w:hAnsi="宋体" w:eastAsia="宋体"/>
          <w:b w:val="1"/>
          <w:bCs w:val="1"/>
          <w:sz w:val="24"/>
          <w:szCs w:val="24"/>
        </w:rPr>
        <w:t>四、</w:t>
      </w:r>
      <w:r>
        <w:rPr>
          <w:rFonts w:hint="eastAsia" w:ascii="宋体" w:hAnsi="宋体" w:eastAsia="宋体"/>
          <w:b w:val="1"/>
          <w:bCs w:val="1"/>
          <w:sz w:val="24"/>
          <w:szCs w:val="24"/>
        </w:rPr>
        <w:t>项目当前阶段</w:t>
      </w:r>
    </w:p>
    <w:p>
      <w:pPr>
        <w:pBdr>
          <w:bottom/>
        </w:pBdr>
        <w:spacing w:line="400" w:lineRule="exact"/>
        <w:ind/>
        <w:rPr>
          <w:rFonts w:hint="eastAsia" w:ascii="宋体" w:hAnsi="宋体" w:eastAsia="宋体"/>
          <w:sz w:val="24"/>
          <w:szCs w:val="24"/>
        </w:rPr>
      </w:pPr>
      <w:r>
        <w:rPr>
          <w:rFonts w:hint="eastAsia" w:ascii="宋体" w:hAnsi="宋体" w:eastAsia="宋体"/>
          <w:sz w:val="24"/>
          <w:szCs w:val="24"/>
        </w:rPr>
        <w:t>“盲区驭智”目前处于研发试制阶段。现阶段项目已形成半挂车短时耦合运动学建模思路，并围绕车辆运动学递推、多时间尺度扫掠危险区生成、点在多边形内判定、PID工况生成及MATLAB/网页仿真等开展前期验证；硬件架构围绕ESP32-S3主控、OpenMV视觉协处理、毫米波雷达、车辆状态传感器及北斗高精度模块逐步完善。</w:t>
      </w:r>
    </w:p>
    <w:p>
      <w:pPr>
        <w:pBdr>
          <w:bottom/>
        </w:pBdr>
        <w:spacing w:line="400" w:lineRule="exact"/>
        <w:ind/>
        <w:rPr>
          <w:rFonts w:hint="eastAsia" w:ascii="宋体" w:hAnsi="宋体" w:eastAsia="宋体"/>
          <w:sz w:val="24"/>
          <w:szCs w:val="24"/>
        </w:rPr>
      </w:pPr>
      <w:r>
        <w:rPr>
          <w:rFonts w:hint="eastAsia" w:ascii="宋体" w:hAnsi="宋体" w:eastAsia="宋体"/>
          <w:sz w:val="24"/>
          <w:szCs w:val="24"/>
        </w:rPr>
        <w:t>后续工作的</w:t>
      </w:r>
      <w:r>
        <w:rPr>
          <w:rFonts w:hint="eastAsia" w:ascii="宋体" w:hAnsi="宋体" w:eastAsia="宋体"/>
          <w:b w:val="1"/>
          <w:color w:val="1450B8"/>
          <w:sz w:val="24"/>
          <w:szCs w:val="24"/>
        </w:rPr>
        <w:t>重点</w:t>
      </w:r>
      <w:r>
        <w:rPr>
          <w:rFonts w:hint="eastAsia" w:ascii="宋体" w:hAnsi="宋体" w:eastAsia="宋体"/>
          <w:sz w:val="24"/>
          <w:szCs w:val="24"/>
        </w:rPr>
        <w:t>依次为：模型与仿真验证 → 多传感器联调 → 坐标标定 → 半实物测试 → 低速真实车辆测试 → 工程化封装 → 小批量场景试点。</w:t>
      </w:r>
    </w:p>
    <w:p>
      <w:pPr>
        <w:pBdr>
          <w:bottom/>
        </w:pBdr>
        <w:spacing w:line="400" w:lineRule="exact"/>
        <w:ind/>
        <w:rPr>
          <w:rFonts w:hint="eastAsia" w:ascii="宋体" w:hAnsi="宋体" w:eastAsia="宋体"/>
          <w:sz w:val="24"/>
          <w:szCs w:val="24"/>
        </w:rPr>
      </w:pPr>
      <w:r>
        <w:rPr>
          <w:rFonts w:hint="eastAsia" w:ascii="宋体" w:hAnsi="宋体" w:eastAsia="宋体"/>
          <w:sz w:val="24"/>
          <w:szCs w:val="24"/>
        </w:rPr>
        <w:t>团队计划在样机及工具链进一步定型后，围绕短时扫掠危险区预测、多源时空融合预警及相关软件系统推进知识产权布局。</w:t>
      </w:r>
    </w:p>
    <w:p>
      <w:pPr>
        <w:spacing w:line="400" w:lineRule="exact"/>
        <w:rPr>
          <w:rFonts w:hint="eastAsia" w:ascii="宋体" w:hAnsi="宋体" w:eastAsia="宋体"/>
          <w:b w:val="1"/>
          <w:bCs w:val="1"/>
          <w:strike w:val="1"/>
          <w:sz w:val="24"/>
          <w:szCs w:val="24"/>
        </w:rPr>
      </w:pPr>
      <w:r>
        <w:rPr>
          <w:rFonts w:ascii="宋体" w:hAnsi="宋体" w:eastAsia="宋体"/>
          <w:b w:val="1"/>
          <w:bCs w:val="1"/>
          <w:strike w:val="1"/>
          <w:sz w:val="24"/>
          <w:szCs w:val="24"/>
        </w:rPr>
        <w:t>五、市场与财务概览</w:t>
      </w:r>
    </w:p>
    <w:p>
      <w:pPr>
        <w:spacing w:line="400" w:lineRule="exact"/>
        <w:rPr>
          <w:rFonts w:hint="eastAsia" w:ascii="宋体" w:hAnsi="宋体" w:eastAsia="宋体"/>
          <w:strike w:val="1"/>
          <w:sz w:val="24"/>
          <w:szCs w:val="24"/>
        </w:rPr>
      </w:pPr>
      <w:r>
        <w:rPr>
          <w:rFonts w:ascii="宋体" w:hAnsi="宋体" w:eastAsia="宋体"/>
          <w:strike w:val="1"/>
          <w:sz w:val="24"/>
          <w:szCs w:val="24"/>
        </w:rPr>
        <w:t>项目初期聚焦渣土车、搅拌车等存量市场，通过</w:t>
      </w:r>
      <w:r>
        <w:rPr>
          <w:rFonts w:ascii="宋体" w:hAnsi="宋体" w:eastAsia="宋体"/>
          <w:b w:val="1"/>
          <w:bCs w:val="1"/>
          <w:strike w:val="1"/>
          <w:color w:val="215E99" w:themeColor="text2" w:themeTint="BF"/>
          <w:sz w:val="24"/>
          <w:szCs w:val="24"/>
        </w:rPr>
        <w:t>“硬件销售+服务费+算法授权”构建多元盈利模式</w:t>
      </w:r>
      <w:r>
        <w:rPr>
          <w:rFonts w:ascii="宋体" w:hAnsi="宋体" w:eastAsia="宋体"/>
          <w:strike w:val="1"/>
          <w:sz w:val="24"/>
          <w:szCs w:val="24"/>
        </w:rPr>
        <w:t>。采用渗透定价策略，快速抢占市场。计划融资500万元，用于产品认证、二代研发及市场推广。详细财务预测及成本分析见第六部分。</w:t>
      </w:r>
    </w:p>
    <w:p>
      <w:pPr>
        <w:spacing w:line="400" w:lineRule="exact"/>
        <w:rPr>
          <w:rFonts w:hint="eastAsia" w:ascii="宋体" w:hAnsi="宋体" w:eastAsia="宋体"/>
          <w:b w:val="1"/>
          <w:bCs w:val="1"/>
          <w:sz w:val="24"/>
          <w:szCs w:val="24"/>
        </w:rPr>
      </w:pPr>
      <w:r>
        <w:rPr>
          <w:rFonts w:ascii="宋体" w:hAnsi="宋体" w:eastAsia="宋体"/>
          <w:b w:val="1"/>
          <w:bCs w:val="1"/>
          <w:sz w:val="24"/>
          <w:szCs w:val="24"/>
        </w:rPr>
        <w:t>六、团队概述</w:t>
      </w:r>
    </w:p>
    <w:p>
      <w:pPr>
        <w:spacing w:line="400" w:lineRule="exact"/>
        <w:rPr>
          <w:rFonts w:hint="eastAsia" w:ascii="宋体" w:hAnsi="宋体" w:eastAsia="宋体"/>
          <w:strike w:val="1"/>
          <w:sz w:val="24"/>
          <w:szCs w:val="24"/>
        </w:rPr>
      </w:pPr>
      <w:r>
        <w:rPr>
          <w:rFonts w:ascii="宋体" w:hAnsi="宋体" w:eastAsia="宋体"/>
          <w:strike w:val="1"/>
          <w:sz w:val="24"/>
          <w:szCs w:val="24"/>
        </w:rPr>
        <w:t>本团队由通信工程、环境工程、工商管理</w:t>
      </w:r>
      <w:r>
        <w:rPr>
          <w:rFonts w:hint="eastAsia" w:ascii="宋体" w:hAnsi="宋体" w:eastAsia="宋体"/>
          <w:strike w:val="1"/>
          <w:sz w:val="24"/>
          <w:szCs w:val="24"/>
        </w:rPr>
        <w:t>三</w:t>
      </w:r>
      <w:r>
        <w:rPr>
          <w:rFonts w:ascii="宋体" w:hAnsi="宋体" w:eastAsia="宋体"/>
          <w:strike w:val="1"/>
          <w:sz w:val="24"/>
          <w:szCs w:val="24"/>
        </w:rPr>
        <w:t>个专业本科生组成，依托学校科研平台开展交叉学科协作。团队成员在嵌入式开发、数学建模、商业分析、财务规划等方向各有所长，形成了从技术研发到商业转化的完整能力链条。</w:t>
      </w:r>
    </w:p>
    <w:p>
      <w:pPr>
        <w:spacing w:line="400" w:lineRule="exact"/>
        <w:rPr>
          <w:rFonts w:hint="eastAsia" w:ascii="宋体" w:hAnsi="宋体" w:eastAsia="宋体"/>
          <w:strike w:val="1"/>
          <w:sz w:val="24"/>
          <w:szCs w:val="24"/>
        </w:rPr>
      </w:pPr>
      <w:r>
        <w:rPr>
          <w:rFonts w:ascii="宋体" w:hAnsi="宋体" w:eastAsia="宋体"/>
          <w:strike w:val="1"/>
          <w:sz w:val="24"/>
          <w:szCs w:val="24"/>
        </w:rPr>
        <w:t>目前团队</w:t>
      </w:r>
      <w:r>
        <w:rPr>
          <w:rFonts w:ascii="宋体" w:hAnsi="宋体" w:eastAsia="宋体"/>
          <w:b w:val="1"/>
          <w:bCs w:val="1"/>
          <w:strike w:val="1"/>
          <w:color w:val="215E99" w:themeColor="text2" w:themeTint="BF"/>
          <w:sz w:val="24"/>
          <w:szCs w:val="24"/>
        </w:rPr>
        <w:t>已完成从理论建模到嵌入式实现的完整技术验证</w:t>
      </w:r>
      <w:r>
        <w:rPr>
          <w:rFonts w:ascii="宋体" w:hAnsi="宋体" w:eastAsia="宋体"/>
          <w:strike w:val="1"/>
          <w:sz w:val="24"/>
          <w:szCs w:val="24"/>
        </w:rPr>
        <w:t>，相关学术论文</w:t>
      </w:r>
      <w:r>
        <w:rPr>
          <w:rFonts w:hint="eastAsia" w:ascii="宋体" w:hAnsi="宋体" w:eastAsia="宋体"/>
          <w:strike w:val="1"/>
          <w:sz w:val="24"/>
          <w:szCs w:val="24"/>
        </w:rPr>
        <w:t>已开始撰写</w:t>
      </w:r>
      <w:r>
        <w:rPr>
          <w:rFonts w:ascii="宋体" w:hAnsi="宋体" w:eastAsia="宋体"/>
          <w:strike w:val="1"/>
          <w:sz w:val="24"/>
          <w:szCs w:val="24"/>
        </w:rPr>
        <w:t>。专利申请工作正在推进中，预计未来三年内逐步完成知识产权布局。虽尚未与外部机构达成正式合作，但团队具备扎实的专业基础和持续的研发能力，展现出青年学子解决实际工程问题的创新潜力与社会担当。</w:t>
      </w:r>
    </w:p>
    <w:p>
      <w:pPr>
        <w:rPr>
          <w:rFonts w:hint="eastAsia"/>
        </w:rPr>
      </w:pPr>
    </w:p>
    <w:p>
      <w:pPr>
        <w:ind/>
        <w:rPr>
          <w:rFonts w:hint="eastAsia"/>
          <w:b w:val="1"/>
          <w:bCs w:val="1"/>
          <w:u w:val="single"/>
        </w:rPr>
      </w:pPr>
      <w:r>
        <w:rPr>
          <w:rFonts w:hint="eastAsia"/>
          <w:b w:val="1"/>
          <w:bCs w:val="1"/>
        </w:rPr>
        <w:t>关键词：</w:t>
      </w:r>
    </w:p>
    <w:p>
      <w:pPr>
        <w:rPr>
          <w:rFonts w:hint="eastAsia"/>
          <w:b w:val="1"/>
          <w:bCs w:val="1"/>
        </w:rPr>
      </w:pPr>
    </w:p>
    <w:p>
      <w:pPr>
        <w:rPr>
          <w:rFonts w:hint="eastAsia"/>
        </w:rPr>
      </w:pPr>
    </w:p>
    <w:p>
      <w:pPr>
        <w:rPr>
          <w:rFonts w:hint="eastAsia"/>
          <w:b w:val="1"/>
          <w:bCs w:val="1"/>
        </w:rPr>
      </w:pPr>
      <w:r>
        <w:rPr>
          <w:rFonts w:hint="eastAsia"/>
          <w:b w:val="1"/>
          <w:bCs w:val="1"/>
        </w:rPr>
        <w:br w:type="page"/>
      </w:r>
    </w:p>
    <w:p>
      <w:pPr>
        <w:ind/>
        <w:jc w:val="center"/>
        <w:rPr>
          <w:rFonts w:hint="eastAsia" w:ascii="黑体" w:hAnsi="黑体" w:eastAsia="黑体"/>
          <w:b w:val="1"/>
          <w:bCs w:val="1"/>
          <w:color w:val="215E99" w:themeColor="text2" w:themeTint="BF"/>
          <w:sz w:val="36"/>
          <w:szCs w:val="36"/>
        </w:rPr>
      </w:pPr>
      <w:r>
        <w:rPr>
          <w:rFonts w:hint="eastAsia" w:ascii="黑体" w:hAnsi="黑体" w:eastAsia="黑体"/>
          <w:b w:val="1"/>
          <w:bCs w:val="1"/>
          <w:color w:val="215E99" w:themeColor="text2" w:themeTint="BF"/>
          <w:sz w:val="36"/>
          <w:szCs w:val="36"/>
          <w14:shadow w14:blurRad="50800" w14:dist="38100" w14:dir="2700000" w14:sx="100000" w14:sy="100000" w14:kx="0" w14:ky="0" w14:algn="tl">
            <w14:srgbClr w14:val="000000">
              <w14:alpha w14:val="60000"/>
            </w14:srgbClr>
          </w14:shadow>
        </w:rPr>
        <w:t>第二部分：市场痛点</w:t>
      </w:r>
      <w:r>
        <w:rPr>
          <w:rFonts w:hint="eastAsia" w:ascii="黑体" w:hAnsi="黑体" w:eastAsia="黑体"/>
          <w:b w:val="1"/>
          <w:bCs w:val="1"/>
          <w:color w:val="215E99" w:themeColor="text2" w:themeTint="BF"/>
          <w:sz w:val="36"/>
          <w:szCs w:val="36"/>
          <w14:shadow w14:blurRad="50800" w14:dist="38100" w14:dir="2700000" w14:sx="100000" w14:sy="100000" w14:kx="0" w14:ky="0" w14:algn="tl">
            <w14:srgbClr w14:val="000000">
              <w14:alpha w14:val="60000"/>
            </w14:srgbClr>
          </w14:shadow>
        </w:rPr>
        <w:t>与需求验证</w:t>
      </w:r>
    </w:p>
    <w:p>
      <w:pPr>
        <w:spacing w:before="156" w:beforeLines="50"/>
        <w:ind/>
        <w:rPr>
          <w:rFonts w:hint="eastAsia" w:ascii="黑体" w:hAnsi="黑体" w:eastAsia="黑体"/>
          <w:b w:val="1"/>
          <w:bCs w:val="1"/>
          <w:sz w:val="28"/>
          <w:szCs w:val="28"/>
        </w:rPr>
      </w:pPr>
      <w:r>
        <w:rPr>
          <w:rFonts w:hint="eastAsia" w:ascii="黑体" w:hAnsi="黑体" w:eastAsia="黑体"/>
          <w:b w:val="1"/>
          <w:bCs w:val="1"/>
          <w:sz w:val="28"/>
          <w:szCs w:val="28"/>
        </w:rPr>
        <w:t>一、大型车辆右转安全风险与行业背景</w:t>
      </w:r>
    </w:p>
    <w:p>
      <w:pPr>
        <w:spacing w:before="156" w:beforeLines="50"/>
        <w:ind/>
        <w:rPr>
          <w:rFonts w:hint="eastAsia" w:ascii="宋体" w:hAnsi="宋体" w:eastAsia="宋体"/>
          <w:b w:val="1"/>
          <w:bCs w:val="1"/>
          <w:sz w:val="24"/>
          <w:szCs w:val="24"/>
        </w:rPr>
      </w:pPr>
      <w:r>
        <w:rPr>
          <w:rFonts w:hint="eastAsia" w:ascii="宋体" w:hAnsi="宋体" w:eastAsia="宋体"/>
          <w:b w:val="1"/>
          <w:bCs w:val="1"/>
          <w:sz w:val="24"/>
          <w:szCs w:val="24"/>
        </w:rPr>
        <w:t xml:space="preserve">（一） </w:t>
      </w:r>
      <w:r>
        <w:rPr>
          <w:rFonts w:hint="eastAsia" w:ascii="宋体" w:hAnsi="宋体" w:eastAsia="宋体"/>
          <w:b w:val="1"/>
          <w:bCs w:val="1"/>
          <w:sz w:val="24"/>
          <w:szCs w:val="24"/>
        </w:rPr>
        <w:t>大型及铰接车辆右转内轮差风险</w:t>
      </w:r>
    </w:p>
    <w:p>
      <w:pPr>
        <w:spacing w:before="156" w:beforeLines="50"/>
        <w:ind w:firstLine="420"/>
        <w:rPr>
          <w:rFonts w:hint="eastAsia" w:ascii="宋体" w:hAnsi="宋体" w:eastAsia="宋体"/>
          <w:sz w:val="24"/>
          <w:szCs w:val="24"/>
        </w:rPr>
      </w:pPr>
      <w:r>
        <w:rPr>
          <w:rFonts w:hint="eastAsia" w:ascii="宋体" w:hAnsi="宋体" w:eastAsia="宋体"/>
          <w:sz w:val="24"/>
          <w:szCs w:val="24"/>
        </w:rPr>
        <w:t>大型货运车辆车身尺寸大、轴距长、驾驶员视野受限，在低速右转过程中，后轮轨迹相较前轮向转弯内侧偏移，形成内轮差区域。对于半挂车等铰接车辆，牵引车与挂车之间还存在持续变化的铰接关系，挂车后部轨迹受车速、转向状态、铰接角、车辆尺寸及牵引销位置等多重因素影响，使右侧危险区域具有明显的</w:t>
      </w:r>
      <w:r>
        <w:rPr>
          <w:rFonts w:hint="eastAsia" w:ascii="宋体" w:hAnsi="宋体" w:eastAsia="宋体"/>
          <w:b w:val="1"/>
          <w:color w:val="1450B8"/>
          <w:sz w:val="24"/>
          <w:szCs w:val="24"/>
        </w:rPr>
        <w:t>动态演化特征</w:t>
      </w:r>
      <w:r>
        <w:rPr>
          <w:rFonts w:hint="eastAsia" w:ascii="宋体" w:hAnsi="宋体" w:eastAsia="宋体"/>
          <w:sz w:val="24"/>
          <w:szCs w:val="24"/>
        </w:rPr>
        <w:t>。</w:t>
      </w:r>
    </w:p>
    <w:p>
      <w:pPr>
        <w:spacing w:before="156" w:beforeLines="50"/>
        <w:ind w:firstLine="420"/>
        <w:rPr>
          <w:rFonts w:hint="eastAsia" w:ascii="宋体" w:hAnsi="宋体" w:eastAsia="宋体"/>
          <w:sz w:val="24"/>
          <w:szCs w:val="24"/>
        </w:rPr>
      </w:pPr>
      <w:r>
        <w:rPr>
          <w:rFonts w:hint="eastAsia" w:ascii="宋体" w:hAnsi="宋体" w:eastAsia="宋体"/>
          <w:sz w:val="24"/>
          <w:szCs w:val="24"/>
        </w:rPr>
        <w:t>因此，大型铰接车辆右转安全并非单纯的静态视觉盲区问题，而是车辆运动状态、车身几何结构与周边交通参与者运动共同作用形成的动态风险。相关学术研究已经从实车测试和事故仿真角度分析半挂车右转盲区形成及转弯速度、转弯半径、碰撞位置等因素对事故过程的影响，为动态分析大型铰接车辆右转风险提供了研究基础。</w:t>
      </w:r>
    </w:p>
    <w:p>
      <w:pPr>
        <w:pBdr>
          <w:bottom/>
        </w:pBdr>
        <w:spacing w:before="156" w:beforeLines="50"/>
        <w:ind w:firstLine="420"/>
        <w:rPr>
          <w:rFonts w:hint="eastAsia" w:ascii="宋体" w:hAnsi="宋体" w:eastAsia="宋体"/>
          <w:sz w:val="24"/>
          <w:szCs w:val="24"/>
        </w:rPr>
      </w:pPr>
      <w:r>
        <w:rPr>
          <w:rFonts w:hint="eastAsia" w:ascii="宋体" w:hAnsi="宋体" w:eastAsia="宋体"/>
          <w:sz w:val="24"/>
          <w:szCs w:val="24"/>
        </w:rPr>
        <w:t>我国道路交通管理实践也已长期关注这一问题。</w:t>
      </w:r>
      <w:r>
        <w:rPr>
          <w:rFonts w:hint="eastAsia" w:ascii="宋体" w:hAnsi="宋体" w:eastAsia="宋体"/>
          <w:sz w:val="24"/>
          <w:szCs w:val="24"/>
          <w:u w:val="single"/>
        </w:rPr>
        <w:t>银川、南京、深圳、武汉等地先后采用</w:t>
      </w:r>
      <w:r>
        <w:rPr>
          <w:rFonts w:hint="eastAsia" w:ascii="宋体" w:hAnsi="宋体" w:eastAsia="宋体"/>
          <w:b w:val="1"/>
          <w:color w:val="1450B8"/>
          <w:sz w:val="24"/>
          <w:szCs w:val="24"/>
          <w:u w:val="single"/>
        </w:rPr>
        <w:t>右转停车让行、危险区域警示带、路口隔离、声光提醒</w:t>
      </w:r>
      <w:r>
        <w:rPr>
          <w:rFonts w:hint="eastAsia" w:ascii="宋体" w:hAnsi="宋体" w:eastAsia="宋体"/>
          <w:sz w:val="24"/>
          <w:szCs w:val="24"/>
          <w:u w:val="single"/>
        </w:rPr>
        <w:t>等方式治理大型车辆右转风险；深圳地方工程标准还将半挂车、渣土自卸车和重型货车等大型车辆常出没路口纳入右转内轮差危险区警示带的适用场景。</w:t>
      </w:r>
      <w:r>
        <w:rPr>
          <w:rFonts w:hint="eastAsia" w:ascii="宋体" w:hAnsi="宋体" w:eastAsia="宋体"/>
          <w:sz w:val="24"/>
          <w:szCs w:val="24"/>
        </w:rPr>
        <w:t>上述实践表明，大型车辆右转风险已形成持续性的道路交通安全治理需求。</w:t>
      </w:r>
    </w:p>
    <w:p>
      <w:pPr>
        <w:spacing w:before="156" w:beforeLines="50"/>
        <w:ind/>
        <w:rPr>
          <w:rFonts w:hint="eastAsia" w:ascii="宋体" w:hAnsi="宋体" w:eastAsia="宋体"/>
          <w:b w:val="1"/>
          <w:bCs w:val="1"/>
          <w:sz w:val="24"/>
          <w:szCs w:val="24"/>
        </w:rPr>
      </w:pPr>
      <w:r>
        <w:rPr>
          <w:rFonts w:hint="eastAsia" w:ascii="宋体" w:hAnsi="宋体" w:eastAsia="宋体"/>
          <w:b w:val="1"/>
          <w:bCs w:val="1"/>
          <w:sz w:val="24"/>
          <w:szCs w:val="24"/>
        </w:rPr>
        <w:t xml:space="preserve">（二） </w:t>
      </w:r>
      <w:r>
        <w:rPr>
          <w:rFonts w:hint="eastAsia" w:ascii="宋体" w:hAnsi="宋体" w:eastAsia="宋体"/>
          <w:b w:val="1"/>
          <w:bCs w:val="1"/>
          <w:sz w:val="24"/>
          <w:szCs w:val="24"/>
        </w:rPr>
        <w:t>弱势道路交通参与者面临较高冲突风险</w:t>
      </w:r>
    </w:p>
    <w:p>
      <w:pPr>
        <w:spacing w:before="156" w:beforeLines="50"/>
        <w:ind w:firstLine="420"/>
        <w:rPr>
          <w:rFonts w:hint="eastAsia" w:ascii="宋体" w:hAnsi="宋体" w:eastAsia="宋体"/>
          <w:sz w:val="24"/>
          <w:szCs w:val="24"/>
        </w:rPr>
      </w:pPr>
      <w:r>
        <w:rPr>
          <w:rFonts w:hint="eastAsia" w:ascii="宋体" w:hAnsi="宋体" w:eastAsia="宋体"/>
          <w:sz w:val="24"/>
          <w:szCs w:val="24"/>
        </w:rPr>
        <w:t>行人、自行车和电动自行车等弱势道路交通参与者体积小、运动路径灵活，在与大型车辆混行时更容易进入车辆右侧视野受限区域。车辆转弯过程中，驾驶员不仅需要观察道路、控制车速和转向，还需同时判断右侧交通参与者的位置和运动趋势；对于铰接车辆，挂车后部内切进一步增加了驾驶员仅凭视觉和经验判断车身实际扫掠范围的难度。</w:t>
      </w:r>
    </w:p>
    <w:p>
      <w:pPr>
        <w:spacing w:before="156" w:beforeLines="50"/>
        <w:ind w:firstLine="420"/>
        <w:rPr>
          <w:rFonts w:hint="eastAsia" w:ascii="宋体" w:hAnsi="宋体" w:eastAsia="宋体"/>
          <w:sz w:val="24"/>
          <w:szCs w:val="24"/>
        </w:rPr>
      </w:pPr>
      <w:r>
        <w:rPr>
          <w:rFonts w:hint="eastAsia" w:ascii="宋体" w:hAnsi="宋体" w:eastAsia="宋体"/>
          <w:sz w:val="24"/>
          <w:szCs w:val="24"/>
          <w:u w:val="single"/>
        </w:rPr>
        <w:t>宁波北仑区针对港口周边重型货车交通安全开展专项治理时，在事故隐患排查基础上提出探索安装车辆盲区监控系统，并配合路口隔离、“右转必停”摄像头和安全教育等治理措施。</w:t>
      </w:r>
      <w:r>
        <w:rPr>
          <w:rFonts w:hint="eastAsia" w:ascii="宋体" w:hAnsi="宋体" w:eastAsia="宋体"/>
          <w:sz w:val="24"/>
          <w:szCs w:val="24"/>
        </w:rPr>
        <w:t>该案例同时反映出</w:t>
      </w:r>
      <w:r>
        <w:rPr>
          <w:rFonts w:hint="eastAsia" w:ascii="宋体" w:hAnsi="宋体" w:eastAsia="宋体"/>
          <w:b w:val="1"/>
          <w:color w:val="1450B8"/>
          <w:sz w:val="24"/>
          <w:szCs w:val="24"/>
        </w:rPr>
        <w:t>车辆主动安全技术、道路工程措施和驾驶管理需要协同作用</w:t>
      </w:r>
      <w:r>
        <w:rPr>
          <w:rFonts w:hint="eastAsia" w:ascii="宋体" w:hAnsi="宋体" w:eastAsia="宋体"/>
          <w:sz w:val="24"/>
          <w:szCs w:val="24"/>
        </w:rPr>
        <w:t>，单一治理手段难以覆盖所有风险环节。</w:t>
      </w:r>
    </w:p>
    <w:p>
      <w:pPr>
        <w:pBdr/>
        <w:spacing w:before="156" w:beforeLines="50"/>
        <w:ind w:firstLine="420"/>
        <w:rPr>
          <w:rFonts w:hint="eastAsia" w:ascii="宋体" w:hAnsi="宋体" w:eastAsia="宋体"/>
          <w:sz w:val="24"/>
          <w:szCs w:val="24"/>
          <w:shd w:val="clear" w:color="auto" w:fill="FFFF00"/>
        </w:rPr>
      </w:pPr>
      <w:r>
        <w:rPr>
          <w:rFonts w:hint="eastAsia" w:ascii="宋体" w:hAnsi="宋体" w:eastAsia="宋体"/>
          <w:sz w:val="24"/>
          <w:szCs w:val="24"/>
          <w:shd w:val="clear" w:color="auto" w:fill="FFFF00"/>
        </w:rPr>
        <w:t>【待补充：如后续取得公安机关、事故深度调查数据库或高质量论文中具有明确样本、年份和统计口径的“右转事故伤亡结构”“VRU事故占比”等数据，可在本节增加1—2项定量证据。】</w:t>
      </w:r>
    </w:p>
    <w:p>
      <w:pPr>
        <w:spacing w:before="156" w:beforeLines="50" w:line="400" w:lineRule="exact"/>
        <w:ind w:firstLine="420"/>
        <w:rPr>
          <w:rFonts w:hint="eastAsia" w:ascii="宋体" w:hAnsi="宋体" w:eastAsia="宋体"/>
          <w:sz w:val="24"/>
          <w:szCs w:val="24"/>
          <w:highlight w:val="yellow"/>
        </w:rPr>
      </w:pPr>
      <w:r>
        <w:rPr>
          <w:rFonts w:hint="eastAsia" w:ascii="宋体" w:hAnsi="宋体" w:eastAsia="宋体"/>
          <w:sz w:val="24"/>
          <w:szCs w:val="24"/>
          <w:highlight w:val="yellow"/>
        </w:rPr>
        <w:t>最高人民检察院官网刊载的宁波市北仑区检察机关案例显示，2024年一名具有20余年驾龄的重型货车驾驶员右转时，因车辆盲区及内轮差与摩托车发生碰撞，造成摩托车驾驶人死亡；检察机关同时建议探索安装盲区监测系统。该材料能够证明右转盲区风险具有现实致死后果及治理需求，但属于单一个案，不能据此推导全国事故占比、死亡率或伤亡结构。</w:t>
      </w:r>
    </w:p>
    <w:p>
      <w:pPr>
        <w:snapToGrid w:val="1"/>
        <w:spacing w:before="0" w:after="0" w:line="240"/>
        <w:ind w:left="0" w:right="0"/>
        <w:jc w:val="both"/>
        <w:rPr/>
      </w:pPr>
      <w:r>
        <w:rPr>
          <w:rFonts w:hint="eastAsia" w:ascii="宋体" w:hAnsi="宋体" w:eastAsia="宋体"/>
          <w:sz w:val="24"/>
          <w:szCs w:val="24"/>
          <w:shd w:val="clear" w:color="auto" w:fill="FFFF00"/>
        </w:rPr>
        <w:t>【</w:t>
      </w:r>
      <w:r>
        <w:rPr>
          <w:rFonts w:ascii="等线" w:hAnsi="等线" w:eastAsia="等线" w:cs="等线"/>
          <w:i w:val="0"/>
          <w:strike w:val="0"/>
          <w:color w:val="000000"/>
          <w:sz w:val="21"/>
          <w:u w:val="none"/>
          <w:shd w:val="clear" w:color="auto" w:fill="FFFF00"/>
        </w:rPr>
        <w:t>源：最高人民检察院《大货车司机转弯时撞上摩托车致人死亡，检察机关对其作出不起诉决定》，2024-10-31，https://www.spp.gov.cn/spp/dfjcdt/202410/t20241031_670514.shtml。</w:t>
      </w:r>
    </w:p>
    <w:p>
      <w:pPr>
        <w:pBdr>
          <w:bottom/>
        </w:pBdr>
        <w:spacing w:before="156" w:beforeLines="50"/>
        <w:ind w:firstLine="0"/>
        <w:rPr>
          <w:rFonts w:hint="eastAsia" w:ascii="宋体" w:hAnsi="宋体" w:eastAsia="宋体"/>
          <w:sz w:val="24"/>
          <w:szCs w:val="24"/>
          <w:shd w:val="clear" w:color="auto" w:fill="FFFF00"/>
        </w:rPr>
      </w:pPr>
    </w:p>
    <w:p>
      <w:pPr>
        <w:spacing w:before="156" w:beforeLines="50"/>
        <w:ind/>
        <w:rPr>
          <w:rFonts w:hint="eastAsia" w:ascii="宋体" w:hAnsi="宋体" w:eastAsia="宋体"/>
          <w:b w:val="1"/>
          <w:bCs w:val="1"/>
          <w:sz w:val="24"/>
          <w:szCs w:val="24"/>
        </w:rPr>
      </w:pPr>
      <w:r>
        <w:rPr>
          <w:rFonts w:hint="eastAsia" w:ascii="宋体" w:hAnsi="宋体" w:eastAsia="宋体"/>
          <w:b w:val="1"/>
          <w:bCs w:val="1"/>
          <w:sz w:val="24"/>
          <w:szCs w:val="24"/>
        </w:rPr>
        <w:t>（三）</w:t>
      </w:r>
      <w:r>
        <w:rPr>
          <w:rFonts w:ascii="宋体" w:hAnsi="宋体" w:eastAsia="宋体"/>
          <w:b w:val="1"/>
          <w:bCs w:val="1"/>
          <w:sz w:val="24"/>
          <w:szCs w:val="24"/>
        </w:rPr>
        <w:t> </w:t>
      </w:r>
      <w:r>
        <w:rPr>
          <w:rFonts w:ascii="宋体" w:hAnsi="宋体" w:eastAsia="宋体"/>
          <w:b w:val="1"/>
          <w:bCs w:val="1"/>
          <w:sz w:val="24"/>
          <w:szCs w:val="24"/>
        </w:rPr>
        <w:t>大型货运及牵引车辆具备较大的现实应用基础</w:t>
      </w:r>
    </w:p>
    <w:p>
      <w:pPr>
        <w:spacing w:before="156" w:beforeLines="50"/>
        <w:ind w:firstLine="420"/>
        <w:rPr>
          <w:rFonts w:hint="eastAsia" w:ascii="宋体" w:hAnsi="宋体" w:eastAsia="宋体"/>
          <w:sz w:val="24"/>
          <w:szCs w:val="24"/>
          <w:u w:val="single"/>
        </w:rPr>
      </w:pPr>
      <w:r>
        <w:rPr>
          <w:rFonts w:hint="eastAsia" w:ascii="宋体" w:hAnsi="宋体" w:eastAsia="宋体"/>
          <w:sz w:val="24"/>
          <w:szCs w:val="24"/>
          <w:u w:val="single"/>
        </w:rPr>
        <w:t>交通运输部《2025年交通运输行业发展统计公报》显示，截至2025年末，全国拥有</w:t>
      </w:r>
      <w:r>
        <w:rPr>
          <w:rFonts w:hint="eastAsia" w:ascii="宋体" w:hAnsi="宋体" w:eastAsia="宋体"/>
          <w:b w:val="1"/>
          <w:color w:val="1450B8"/>
          <w:sz w:val="24"/>
          <w:szCs w:val="24"/>
          <w:u w:val="single"/>
        </w:rPr>
        <w:t>公路营运载货汽车1168.91万辆，其中牵引车393.80万辆、挂车385.72万辆</w:t>
      </w:r>
      <w:r>
        <w:rPr>
          <w:rFonts w:hint="eastAsia" w:ascii="宋体" w:hAnsi="宋体" w:eastAsia="宋体"/>
          <w:sz w:val="24"/>
          <w:szCs w:val="24"/>
          <w:u w:val="single"/>
        </w:rPr>
        <w:t>。与2024年末相比，牵引车增加15.19万辆。</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这一数据表明，我国大型道路货运及牵引运输具有较大的车辆基础。但上述393.80万辆牵引车仅作为项目潜在市场研究的</w:t>
      </w:r>
      <w:r>
        <w:rPr>
          <w:rFonts w:hint="eastAsia" w:ascii="宋体" w:hAnsi="宋体" w:eastAsia="宋体"/>
          <w:b w:val="1"/>
          <w:color w:val="1450B8"/>
          <w:sz w:val="24"/>
          <w:szCs w:val="24"/>
        </w:rPr>
        <w:t>基础车辆池</w:t>
      </w:r>
      <w:r>
        <w:rPr>
          <w:rFonts w:hint="eastAsia" w:ascii="宋体" w:hAnsi="宋体" w:eastAsia="宋体"/>
          <w:sz w:val="24"/>
          <w:szCs w:val="24"/>
        </w:rPr>
        <w:t>，不能直接等同于本项目的目标市场。后续市场规模测算还需进一步考虑车辆用途、使用场景、技术适装条件、采购能力以及团队实际可触达范围，并在第六部分通过TAM、SAM和SOM模型逐层约束。</w:t>
      </w:r>
    </w:p>
    <w:p>
      <w:pPr>
        <w:spacing w:before="156" w:beforeLines="50"/>
        <w:ind/>
        <w:rPr>
          <w:rFonts w:hint="eastAsia" w:ascii="宋体" w:hAnsi="宋体" w:eastAsia="宋体"/>
          <w:b w:val="1"/>
          <w:bCs w:val="1"/>
          <w:sz w:val="24"/>
          <w:szCs w:val="24"/>
        </w:rPr>
      </w:pPr>
      <w:r>
        <w:rPr>
          <w:rFonts w:hint="eastAsia" w:ascii="宋体" w:hAnsi="宋体" w:eastAsia="宋体"/>
          <w:b w:val="1"/>
          <w:bCs w:val="1"/>
          <w:sz w:val="24"/>
          <w:szCs w:val="24"/>
        </w:rPr>
        <w:t>（四）道路交通安全政策与行业标准持续完善</w:t>
      </w:r>
    </w:p>
    <w:p>
      <w:pPr>
        <w:pBdr>
          <w:bottom/>
        </w:pBdr>
        <w:spacing w:before="156" w:beforeLines="50"/>
        <w:ind w:firstLine="420"/>
        <w:rPr>
          <w:rFonts w:hint="eastAsia" w:ascii="宋体" w:hAnsi="宋体" w:eastAsia="宋体"/>
          <w:sz w:val="24"/>
          <w:szCs w:val="24"/>
          <w:u w:val="single"/>
        </w:rPr>
      </w:pPr>
      <w:r>
        <w:rPr>
          <w:rFonts w:hint="eastAsia" w:ascii="宋体" w:hAnsi="宋体" w:eastAsia="宋体"/>
          <w:sz w:val="24"/>
          <w:szCs w:val="24"/>
        </w:rPr>
        <w:t>大型货运车辆主动安全装备的政策环境正在逐步完善。</w:t>
      </w:r>
      <w:r>
        <w:rPr>
          <w:rFonts w:hint="eastAsia" w:ascii="宋体" w:hAnsi="宋体" w:eastAsia="宋体"/>
          <w:sz w:val="24"/>
          <w:szCs w:val="24"/>
          <w:u w:val="single"/>
        </w:rPr>
        <w:t>《“十四五”全国道路交通安全规划》明确提出提高客货运车辆主被动安全装置装备率，并提出推动在用重型货车安装</w:t>
      </w:r>
      <w:r>
        <w:rPr>
          <w:rFonts w:hint="eastAsia" w:ascii="宋体" w:hAnsi="宋体" w:eastAsia="宋体"/>
          <w:b w:val="1"/>
          <w:color w:val="1450B8"/>
          <w:sz w:val="24"/>
          <w:szCs w:val="24"/>
          <w:u w:val="single"/>
        </w:rPr>
        <w:t>右侧盲区消除预警装置</w:t>
      </w:r>
      <w:r>
        <w:rPr>
          <w:rFonts w:hint="eastAsia" w:ascii="宋体" w:hAnsi="宋体" w:eastAsia="宋体"/>
          <w:sz w:val="24"/>
          <w:szCs w:val="24"/>
          <w:u w:val="single"/>
        </w:rPr>
        <w:t>等安全装置。</w:t>
      </w:r>
    </w:p>
    <w:p>
      <w:pPr>
        <w:pBdr>
          <w:bottom/>
        </w:pBdr>
        <w:spacing w:before="156" w:beforeLines="50"/>
        <w:ind w:firstLine="420"/>
        <w:rPr>
          <w:rFonts w:hint="eastAsia" w:ascii="宋体" w:hAnsi="宋体" w:eastAsia="宋体"/>
          <w:sz w:val="24"/>
          <w:szCs w:val="24"/>
        </w:rPr>
      </w:pPr>
      <w:r>
        <w:rPr>
          <w:rFonts w:hint="eastAsia" w:ascii="宋体" w:hAnsi="宋体" w:eastAsia="宋体"/>
          <w:sz w:val="24"/>
          <w:szCs w:val="24"/>
          <w:u w:val="single"/>
        </w:rPr>
        <w:t>2026年1月，国家标准计划《商用车弱势道路交通参与者移动监测系统技术要求及试验方法》（计划号：20260363-T-339）正式下达，目前处于制定阶段，项目周期18个月。</w:t>
      </w:r>
      <w:r>
        <w:rPr>
          <w:rFonts w:hint="eastAsia" w:ascii="宋体" w:hAnsi="宋体" w:eastAsia="宋体"/>
          <w:sz w:val="24"/>
          <w:szCs w:val="24"/>
        </w:rPr>
        <w:t>标准计划适用于安装相关系统的M2、M3、N2和N3类汽车，内容涉及系统功能、状态提示、碰撞警告以及相应试验方法。</w:t>
      </w:r>
    </w:p>
    <w:p>
      <w:pPr>
        <w:pBdr>
          <w:bottom/>
        </w:pBdr>
        <w:spacing w:before="156" w:beforeLines="50"/>
        <w:ind w:firstLine="420"/>
        <w:rPr>
          <w:rFonts w:hint="eastAsia" w:ascii="宋体" w:hAnsi="宋体" w:eastAsia="宋体"/>
          <w:sz w:val="24"/>
          <w:szCs w:val="24"/>
        </w:rPr>
      </w:pPr>
      <w:r>
        <w:rPr>
          <w:rFonts w:hint="eastAsia" w:ascii="宋体" w:hAnsi="宋体" w:eastAsia="宋体"/>
          <w:sz w:val="24"/>
          <w:szCs w:val="24"/>
        </w:rPr>
        <w:t>上述政策和标准进展说明，商用车弱势道路交通参与者监测及预警正逐步走向</w:t>
      </w:r>
      <w:r>
        <w:rPr>
          <w:rFonts w:hint="eastAsia" w:ascii="宋体" w:hAnsi="宋体" w:eastAsia="宋体"/>
          <w:b w:val="1"/>
          <w:color w:val="1450B8"/>
          <w:sz w:val="24"/>
          <w:szCs w:val="24"/>
        </w:rPr>
        <w:t>规范化</w:t>
      </w:r>
      <w:r>
        <w:rPr>
          <w:rFonts w:hint="eastAsia" w:ascii="宋体" w:hAnsi="宋体" w:eastAsia="宋体"/>
          <w:sz w:val="24"/>
          <w:szCs w:val="24"/>
        </w:rPr>
        <w:t>、</w:t>
      </w:r>
      <w:r>
        <w:rPr>
          <w:rFonts w:hint="eastAsia" w:ascii="宋体" w:hAnsi="宋体" w:eastAsia="宋体"/>
          <w:b w:val="1"/>
          <w:color w:val="1450B8"/>
          <w:sz w:val="24"/>
          <w:szCs w:val="24"/>
        </w:rPr>
        <w:t>标准化</w:t>
      </w:r>
      <w:r>
        <w:rPr>
          <w:rFonts w:hint="eastAsia" w:ascii="宋体" w:hAnsi="宋体" w:eastAsia="宋体"/>
          <w:sz w:val="24"/>
          <w:szCs w:val="24"/>
        </w:rPr>
        <w:t>。需要明确的是，该标准目前仍处于制定阶段，且为推荐性国家标准计划，不能据此推导全国强制安装需求或具体市场销量。</w:t>
      </w:r>
    </w:p>
    <w:p>
      <w:pPr>
        <w:spacing w:before="156" w:beforeLines="50"/>
        <w:ind/>
        <w:rPr>
          <w:rFonts w:hint="eastAsia" w:ascii="黑体" w:hAnsi="黑体" w:eastAsia="黑体"/>
          <w:b w:val="1"/>
          <w:bCs w:val="1"/>
          <w:sz w:val="28"/>
          <w:szCs w:val="28"/>
        </w:rPr>
      </w:pPr>
      <w:r>
        <w:rPr>
          <w:rFonts w:hint="eastAsia" w:ascii="黑体" w:hAnsi="黑体" w:eastAsia="黑体"/>
          <w:b w:val="1"/>
          <w:bCs w:val="1"/>
          <w:sz w:val="28"/>
          <w:szCs w:val="28"/>
        </w:rPr>
        <w:t>二、</w:t>
      </w:r>
      <w:r>
        <w:rPr>
          <w:rFonts w:hint="eastAsia" w:ascii="黑体" w:hAnsi="黑体" w:eastAsia="黑体"/>
          <w:b w:val="1"/>
          <w:bCs w:val="1"/>
          <w:sz w:val="28"/>
          <w:szCs w:val="28"/>
        </w:rPr>
        <w:t>客户经营与安全管理痛点</w:t>
      </w:r>
    </w:p>
    <w:p>
      <w:pPr>
        <w:spacing w:before="156" w:beforeLines="50"/>
        <w:ind/>
        <w:rPr>
          <w:rFonts w:hint="eastAsia" w:ascii="宋体" w:hAnsi="宋体" w:eastAsia="宋体"/>
          <w:b w:val="1"/>
          <w:bCs w:val="1"/>
          <w:sz w:val="24"/>
          <w:szCs w:val="24"/>
        </w:rPr>
      </w:pPr>
      <w:r>
        <w:rPr>
          <w:rFonts w:hint="eastAsia" w:ascii="宋体" w:hAnsi="宋体" w:eastAsia="宋体"/>
          <w:b w:val="1"/>
          <w:bCs w:val="1"/>
          <w:sz w:val="24"/>
          <w:szCs w:val="24"/>
        </w:rPr>
        <w:t>（一）</w:t>
      </w:r>
      <w:r>
        <w:rPr>
          <w:rFonts w:hint="eastAsia" w:ascii="宋体" w:hAnsi="宋体" w:eastAsia="宋体"/>
          <w:b w:val="1"/>
          <w:bCs w:val="1"/>
          <w:sz w:val="24"/>
          <w:szCs w:val="24"/>
        </w:rPr>
        <w:t>安全事故具有经营成本属性</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对于商业运营车辆而言，交通事故不仅造成生命安全和财产损失，还可能进一步产生车辆维修、事故赔偿、车辆停运、驾驶员停工、事故调查及企业内部安全管理等成本。对车辆规模较大的运输企业而言，单车事故还可能影响运输计划、车辆利用率和安全考核。</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因此，右转安全风险对于企业而言具有明显的</w:t>
      </w:r>
      <w:r>
        <w:rPr>
          <w:rFonts w:hint="eastAsia" w:ascii="宋体" w:hAnsi="宋体" w:eastAsia="宋体"/>
          <w:b w:val="1"/>
          <w:color w:val="1450B8"/>
          <w:sz w:val="24"/>
          <w:szCs w:val="24"/>
        </w:rPr>
        <w:t>经营风险属性</w:t>
      </w:r>
      <w:r>
        <w:rPr>
          <w:rFonts w:hint="eastAsia" w:ascii="宋体" w:hAnsi="宋体" w:eastAsia="宋体"/>
          <w:sz w:val="24"/>
          <w:szCs w:val="24"/>
        </w:rPr>
        <w:t>。安全技术投入的商业价值，不仅体现在减少事故概率本身，也体现在降低潜在事故损失和提升企业风险控制能力。</w:t>
      </w:r>
    </w:p>
    <w:p>
      <w:pPr>
        <w:pBdr/>
        <w:spacing w:before="156" w:beforeLines="50"/>
        <w:ind w:firstLine="420"/>
        <w:rPr>
          <w:rFonts w:hint="eastAsia" w:ascii="宋体" w:hAnsi="宋体" w:eastAsia="宋体"/>
          <w:sz w:val="24"/>
          <w:szCs w:val="24"/>
          <w:shd w:val="clear" w:color="auto" w:fill="FFFF00"/>
        </w:rPr>
      </w:pPr>
      <w:r>
        <w:rPr>
          <w:rFonts w:hint="eastAsia" w:ascii="宋体" w:hAnsi="宋体" w:eastAsia="宋体"/>
          <w:sz w:val="24"/>
          <w:szCs w:val="24"/>
          <w:shd w:val="clear" w:color="auto" w:fill="FFFF00"/>
        </w:rPr>
        <w:t>【待补充：本节仍缺少具有可靠原始来源的“单起大型货车事故经济损失”“车队因事故产生的停运或保险成本”等量化数据。正式定稿前优先寻找保险机构、法院裁判数据、上市物流企业安全报告、政府事故调查或权威行业研究。未取得可靠来源前，不沿用旧版“80—120万元赔偿”“综合损失150万元”等数字。】</w:t>
      </w:r>
    </w:p>
    <w:p>
      <w:pPr>
        <w:pBdr/>
        <w:spacing w:before="156" w:beforeLines="50" w:line="400" w:lineRule="exact"/>
        <w:ind w:firstLine="420"/>
        <w:rPr>
          <w:rFonts w:hint="eastAsia" w:ascii="宋体" w:hAnsi="宋体" w:eastAsia="宋体"/>
          <w:sz w:val="24"/>
          <w:szCs w:val="24"/>
          <w:highlight w:val="yellow"/>
        </w:rPr>
      </w:pPr>
      <w:r>
        <w:rPr>
          <w:rFonts w:hint="eastAsia" w:ascii="宋体" w:hAnsi="宋体" w:eastAsia="宋体"/>
          <w:sz w:val="24"/>
          <w:szCs w:val="24"/>
          <w:highlight w:val="yellow"/>
        </w:rPr>
        <w:t>广州市白云区人民政府公布的道路交通事故调查报告记载，白云区“8·18”较大道路交通事故造成1人死亡、1人轻伤，依据《企业职工伤亡事故经济损失统计标准》（GB 6721—1986）统计，直接经济损失约130万元。该案例可作为大型道路运输事故经济后果的量级参照，但事故情形并非半挂货车右转内轮差事故，因此不能作为本项目目标场景的平均单起损失，也不能替代车队停运、维修、保险及管理成本的专项调查。正式定稿前仍需补充具有明确车型、事故形态、年份和统计口径的右转/内轮差事故损失样本。</w:t>
      </w:r>
    </w:p>
    <w:p>
      <w:pPr>
        <w:snapToGrid w:val="1"/>
        <w:spacing w:before="156" w:after="0" w:line="240"/>
        <w:ind w:left="0" w:right="0" w:firstLine="420"/>
        <w:jc w:val="both"/>
        <w:rPr/>
      </w:pPr>
      <w:r>
        <w:rPr>
          <w:rFonts w:ascii="等线" w:hAnsi="等线" w:eastAsia="等线" w:cs="等线"/>
          <w:i w:val="0"/>
          <w:strike w:val="0"/>
          <w:color w:val="000000"/>
          <w:sz w:val="21"/>
          <w:u w:val="none"/>
          <w:shd w:val="clear" w:color="auto" w:fill="FFFF00"/>
        </w:rPr>
        <w:t>来源：广州市白云区人民政府《白云区“8·18”较大道路交通事故调查报告》，https://www.by.gov.cn/attachment/7/7212/7212806/8722252.pdf。</w:t>
      </w:r>
    </w:p>
    <w:p>
      <w:pPr>
        <w:pBdr/>
        <w:spacing w:before="156" w:beforeLines="50"/>
        <w:ind w:firstLine="420"/>
        <w:rPr>
          <w:rFonts w:hint="eastAsia" w:ascii="宋体" w:hAnsi="宋体" w:eastAsia="宋体"/>
          <w:sz w:val="24"/>
          <w:szCs w:val="24"/>
          <w:highlight w:val="yellow"/>
        </w:rPr>
      </w:pPr>
    </w:p>
    <w:p>
      <w:pPr>
        <w:spacing w:before="156" w:beforeLines="50"/>
        <w:ind/>
        <w:rPr>
          <w:rFonts w:hint="eastAsia" w:ascii="宋体" w:hAnsi="宋体" w:eastAsia="宋体"/>
          <w:b w:val="1"/>
          <w:bCs w:val="1"/>
          <w:sz w:val="24"/>
          <w:szCs w:val="24"/>
        </w:rPr>
      </w:pPr>
      <w:r>
        <w:rPr>
          <w:rFonts w:hint="eastAsia" w:ascii="宋体" w:hAnsi="宋体" w:eastAsia="宋体"/>
          <w:b w:val="1"/>
          <w:bCs w:val="1"/>
          <w:sz w:val="24"/>
          <w:szCs w:val="24"/>
        </w:rPr>
        <w:t>（二）集中运营主体具有持续的安全管理需求</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港口、物流园区、工程运输企业和规模化物流车队具有车辆数量集中、运营频次高、安全责任主体明确等特点，相较个体车辆用户，更容易形成统一的设备采购、安装、维护和安全考核机制。</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现实治理实践已经出现企业和地方管理部门推动主动安全设备安装的案例。例如，</w:t>
      </w:r>
      <w:r>
        <w:rPr>
          <w:rFonts w:hint="eastAsia" w:ascii="宋体" w:hAnsi="宋体" w:eastAsia="宋体"/>
          <w:sz w:val="24"/>
          <w:szCs w:val="24"/>
          <w:u w:val="single"/>
        </w:rPr>
        <w:t>张家港市截至2022年已为“两客一危一货”车辆安装右转声光报警装置3900余套；江门新会区曾推动辖区重型货车安装右侧盲区监测设备；无锡交通运输部门则将右侧盲区行人检测摄像头纳入部分普通货运车辆安全监管设备配置，并通过联合议价降低安装成本。</w:t>
      </w:r>
      <w:r>
        <w:rPr>
          <w:rFonts w:hint="eastAsia" w:ascii="宋体" w:hAnsi="宋体" w:eastAsia="宋体"/>
          <w:sz w:val="24"/>
          <w:szCs w:val="24"/>
        </w:rPr>
        <w:t>这类案例说明，</w:t>
      </w:r>
      <w:r>
        <w:rPr>
          <w:rFonts w:hint="eastAsia" w:ascii="宋体" w:hAnsi="宋体" w:eastAsia="宋体"/>
          <w:b w:val="1"/>
          <w:color w:val="1450B8"/>
          <w:sz w:val="24"/>
          <w:szCs w:val="24"/>
        </w:rPr>
        <w:t>安全装置已经存在真实的组织化部署场景</w:t>
      </w:r>
      <w:r>
        <w:rPr>
          <w:rFonts w:hint="eastAsia" w:ascii="宋体" w:hAnsi="宋体" w:eastAsia="宋体"/>
          <w:sz w:val="24"/>
          <w:szCs w:val="24"/>
        </w:rPr>
        <w:t>，为本项目未来从集中管理车队切入提供了市场参照。</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同时，</w:t>
      </w:r>
      <w:r>
        <w:rPr>
          <w:rFonts w:hint="eastAsia" w:ascii="宋体" w:hAnsi="宋体" w:eastAsia="宋体"/>
          <w:sz w:val="24"/>
          <w:szCs w:val="24"/>
          <w:u w:val="single"/>
        </w:rPr>
        <w:t>宁波北仑港区治理案例显示</w:t>
      </w:r>
      <w:r>
        <w:rPr>
          <w:rFonts w:hint="eastAsia" w:ascii="宋体" w:hAnsi="宋体" w:eastAsia="宋体"/>
          <w:sz w:val="24"/>
          <w:szCs w:val="24"/>
        </w:rPr>
        <w:t>，港口集卡运输具有重型车辆集中运行、道路环境复杂和管理主体明确等特点，是后续项目开展客户访谈及试点验证的重要候选场景。</w:t>
      </w:r>
    </w:p>
    <w:p>
      <w:pPr>
        <w:spacing w:before="156" w:beforeLines="50"/>
        <w:ind/>
        <w:rPr>
          <w:rFonts w:hint="eastAsia" w:ascii="宋体" w:hAnsi="宋体" w:eastAsia="宋体"/>
          <w:b w:val="1"/>
          <w:bCs w:val="1"/>
          <w:sz w:val="24"/>
          <w:szCs w:val="24"/>
        </w:rPr>
      </w:pPr>
      <w:r>
        <w:rPr>
          <w:rFonts w:hint="eastAsia" w:ascii="宋体" w:hAnsi="宋体" w:eastAsia="宋体"/>
          <w:b w:val="1"/>
          <w:bCs w:val="1"/>
          <w:sz w:val="24"/>
          <w:szCs w:val="24"/>
        </w:rPr>
        <w:t>（三）驾驶员面临较高的信息处理负荷</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驾驶员是车载预警系统的直接使用者。大型车辆右转时，驾驶员需要同时完成减速、转向、观察后视镜、判断路口交通状态以及识别行人和非机动车等任务。对于半挂车辆，还需考虑挂车后部与牵引车不同的运动轨迹。</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主动安全产品若要真正发挥作用，需要在增加有效信息的同时控制驾驶员的额外认知负担。因此，产品价值并不取决于报警数量多少，而取决于</w:t>
      </w:r>
      <w:r>
        <w:rPr>
          <w:rFonts w:hint="eastAsia" w:ascii="宋体" w:hAnsi="宋体" w:eastAsia="宋体"/>
          <w:b w:val="1"/>
          <w:color w:val="1450B8"/>
          <w:sz w:val="24"/>
          <w:szCs w:val="24"/>
        </w:rPr>
        <w:t>报警是否及时、准确、稳定且易于理解</w:t>
      </w:r>
      <w:r>
        <w:rPr>
          <w:rFonts w:hint="eastAsia" w:ascii="宋体" w:hAnsi="宋体" w:eastAsia="宋体"/>
          <w:sz w:val="24"/>
          <w:szCs w:val="24"/>
        </w:rPr>
        <w:t>。</w:t>
      </w:r>
    </w:p>
    <w:p>
      <w:pPr>
        <w:pBdr>
          <w:bottom/>
        </w:pBdr>
        <w:spacing w:before="156" w:beforeLines="50"/>
        <w:ind w:firstLine="420"/>
        <w:rPr>
          <w:rFonts w:hint="eastAsia" w:ascii="宋体" w:hAnsi="宋体" w:eastAsia="宋体"/>
          <w:sz w:val="24"/>
          <w:szCs w:val="24"/>
        </w:rPr>
      </w:pPr>
      <w:r>
        <w:rPr>
          <w:rFonts w:hint="eastAsia" w:ascii="宋体" w:hAnsi="宋体" w:eastAsia="宋体"/>
          <w:sz w:val="24"/>
          <w:szCs w:val="24"/>
        </w:rPr>
        <w:t>这也意味着，误报警、重复报警和无效提示不仅是技术问题，还直接影响驾驶员长期使用意愿。后续实车试点中，应将驾驶员接受度、报警关闭率和主观干扰程度纳入产品验证指标。</w:t>
      </w:r>
    </w:p>
    <w:p>
      <w:pPr>
        <w:spacing w:before="156" w:beforeLines="50"/>
        <w:ind/>
        <w:rPr>
          <w:rFonts w:hint="eastAsia" w:ascii="黑体" w:hAnsi="黑体" w:eastAsia="黑体"/>
          <w:b w:val="1"/>
          <w:bCs w:val="1"/>
          <w:sz w:val="28"/>
          <w:szCs w:val="28"/>
        </w:rPr>
      </w:pPr>
      <w:r>
        <w:rPr>
          <w:rFonts w:hint="eastAsia" w:ascii="黑体" w:hAnsi="黑体" w:eastAsia="黑体"/>
          <w:b w:val="1"/>
          <w:bCs w:val="1"/>
          <w:sz w:val="28"/>
          <w:szCs w:val="28"/>
        </w:rPr>
        <w:t>三、团队前期市场调研与需求验证</w:t>
      </w:r>
    </w:p>
    <w:p>
      <w:pPr>
        <w:spacing w:before="156" w:beforeLines="50"/>
        <w:ind/>
        <w:rPr>
          <w:rFonts w:hint="eastAsia" w:ascii="宋体" w:hAnsi="宋体" w:eastAsia="宋体"/>
          <w:b w:val="1"/>
          <w:bCs w:val="1"/>
          <w:sz w:val="24"/>
          <w:szCs w:val="24"/>
        </w:rPr>
      </w:pPr>
      <w:r>
        <w:rPr>
          <w:rFonts w:hint="eastAsia" w:ascii="宋体" w:hAnsi="宋体" w:eastAsia="宋体"/>
          <w:b w:val="1"/>
          <w:bCs w:val="1"/>
          <w:sz w:val="24"/>
          <w:szCs w:val="24"/>
        </w:rPr>
        <w:t>（一）调研设计与样本构成</w:t>
      </w:r>
    </w:p>
    <w:p>
      <w:pPr>
        <w:pBdr/>
        <w:spacing w:before="156" w:beforeLines="50"/>
        <w:ind w:firstLine="420"/>
        <w:rPr>
          <w:rFonts w:hint="eastAsia" w:ascii="宋体" w:hAnsi="宋体" w:eastAsia="宋体"/>
          <w:sz w:val="24"/>
          <w:szCs w:val="24"/>
          <w:u w:val="single"/>
        </w:rPr>
      </w:pPr>
      <w:r>
        <w:rPr>
          <w:rFonts w:hint="eastAsia" w:ascii="宋体" w:hAnsi="宋体" w:eastAsia="宋体"/>
          <w:sz w:val="24"/>
          <w:szCs w:val="24"/>
        </w:rPr>
        <w:t>为初步了解公众及相关从业人员对大型车辆内轮差风险和预警设备的认知情况，项目团队前期开展了问卷调查。</w:t>
      </w:r>
      <w:r>
        <w:rPr>
          <w:rFonts w:hint="eastAsia" w:ascii="宋体" w:hAnsi="宋体" w:eastAsia="宋体"/>
          <w:sz w:val="24"/>
          <w:szCs w:val="24"/>
          <w:u w:val="single"/>
        </w:rPr>
        <w:t>经现有汇总数据复核，多数题目有效样本量为</w:t>
      </w:r>
      <w:r>
        <w:rPr>
          <w:rFonts w:hint="eastAsia" w:ascii="宋体" w:hAnsi="宋体" w:eastAsia="宋体"/>
          <w:b w:val="1"/>
          <w:color w:val="1450B8"/>
          <w:sz w:val="24"/>
          <w:szCs w:val="24"/>
          <w:u w:val="single"/>
        </w:rPr>
        <w:t>1324人</w:t>
      </w:r>
      <w:r>
        <w:rPr>
          <w:rFonts w:hint="eastAsia" w:ascii="宋体" w:hAnsi="宋体" w:eastAsia="宋体"/>
          <w:sz w:val="24"/>
          <w:szCs w:val="24"/>
          <w:u w:val="single"/>
        </w:rPr>
        <w:t>，其中自报为现任或曾任货车驾驶员、车队管理者的受访者为</w:t>
      </w:r>
      <w:r>
        <w:rPr>
          <w:rFonts w:hint="eastAsia" w:ascii="宋体" w:hAnsi="宋体" w:eastAsia="宋体"/>
          <w:b w:val="1"/>
          <w:color w:val="1450B8"/>
          <w:sz w:val="24"/>
          <w:szCs w:val="24"/>
          <w:u w:val="single"/>
        </w:rPr>
        <w:t>514人，占38.82%</w:t>
      </w:r>
      <w:r>
        <w:rPr>
          <w:rFonts w:hint="eastAsia" w:ascii="宋体" w:hAnsi="宋体" w:eastAsia="宋体"/>
          <w:sz w:val="24"/>
          <w:szCs w:val="24"/>
          <w:u w:val="single"/>
        </w:rPr>
        <w:t>。</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本次问卷属于项目团队自主开展的探索性市场调研，主要用于识别需求方向和形成后续访谈假设。由于现有资料尚未完整记录样本地区、回收渠道及抽样方式，其结果</w:t>
      </w:r>
      <w:r>
        <w:rPr>
          <w:rFonts w:hint="eastAsia" w:ascii="宋体" w:hAnsi="宋体" w:eastAsia="宋体"/>
          <w:b w:val="1"/>
          <w:color w:val="1450B8"/>
          <w:sz w:val="24"/>
          <w:szCs w:val="24"/>
        </w:rPr>
        <w:t>不作为全国总体比例的统计推断依据</w:t>
      </w:r>
      <w:r>
        <w:rPr>
          <w:rFonts w:hint="eastAsia" w:ascii="宋体" w:hAnsi="宋体" w:eastAsia="宋体"/>
          <w:sz w:val="24"/>
          <w:szCs w:val="24"/>
        </w:rPr>
        <w:t>。</w:t>
      </w:r>
    </w:p>
    <w:p>
      <w:pPr>
        <w:spacing w:before="156" w:beforeLines="50"/>
        <w:ind/>
        <w:rPr>
          <w:rFonts w:hint="eastAsia" w:ascii="宋体" w:hAnsi="宋体" w:eastAsia="宋体"/>
          <w:b w:val="1"/>
          <w:bCs w:val="1"/>
          <w:sz w:val="24"/>
          <w:szCs w:val="24"/>
        </w:rPr>
      </w:pPr>
      <w:r>
        <w:rPr>
          <w:rFonts w:hint="eastAsia" w:ascii="宋体" w:hAnsi="宋体" w:eastAsia="宋体"/>
          <w:b w:val="1"/>
          <w:bCs w:val="1"/>
          <w:sz w:val="24"/>
          <w:szCs w:val="24"/>
        </w:rPr>
        <w:t>（二）公众风险认知仍存在明显不足</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在1324名受访者中：</w:t>
      </w:r>
    </w:p>
    <w:p>
      <w:pPr>
        <w:numPr/>
        <w:pBdr>
          <w:bottom/>
        </w:pBdr>
        <w:ind w:firstLine="360" w:firstLineChars="200"/>
        <w:jc w:val="center"/>
        <w:rPr>
          <w:rFonts w:hint="eastAsia" w:ascii="黑体" w:hAnsi="黑体" w:eastAsia="黑体"/>
          <w:sz w:val="18"/>
          <w:szCs w:val="18"/>
        </w:rPr>
      </w:pPr>
    </w:p>
    <w:tbl>
      <w:tblPr>
        <w:tblStyle w:val="0000a0"/>
        <w:jc w:val="center"/>
        <w:tblInd w:w="0" w:type="dxa"/>
        <w:tblLayout w:type="fixed"/>
      </w:tblPr>
      <w:tblGrid>
        <w:gridCol w:w="3746"/>
        <w:gridCol w:w="1208"/>
        <w:gridCol w:w="1362"/>
      </w:tblGrid>
      <w:tr>
        <w:trPr>
          <w:trHeight w:val="745" w:hRule="atLeast"/>
        </w:trPr>
        <w:tc>
          <w:tcPr>
            <w:tcW w:w="3746" w:type="dxa"/>
            <w:tcBorders>
              <w:top w:val="single" w:color="000000" w:sz="0" w:space="0"/>
              <w:left w:val="single" w:color="000000" w:sz="0" w:space="0"/>
              <w:bottom w:val="single" w:color="000000" w:sz="0" w:space="0"/>
              <w:right w:val="single" w:color="000000" w:sz="0" w:space="0"/>
            </w:tcBorders>
            <w:shd w:val="clear" w:color="auto" w:fill="E5EFFF"/>
            <w:vAlign w:val="center"/>
          </w:tcPr>
          <w:p>
            <w:pPr>
              <w:pBdr/>
              <w:spacing w:before="156" w:beforeLines="50"/>
              <w:ind w:firstLine="420"/>
              <w:jc w:val="left"/>
              <w:rPr>
                <w:rFonts w:ascii="仿宋-简" w:hAnsi="仿宋-简" w:eastAsia="仿宋-简" w:cs="仿宋-简"/>
                <w:sz w:val="18"/>
                <w:szCs w:val="24"/>
              </w:rPr>
            </w:pPr>
            <w:r>
              <w:rPr>
                <w:rFonts w:ascii="仿宋-简" w:hAnsi="仿宋-简" w:eastAsia="仿宋-简" w:cs="仿宋-简"/>
                <w:sz w:val="18"/>
                <w:szCs w:val="24"/>
              </w:rPr>
              <w:t>对内轮差的认知程度</w:t>
            </w:r>
          </w:p>
        </w:tc>
        <w:tc>
          <w:tcPr>
            <w:tcW w:w="1208" w:type="dxa"/>
            <w:tcBorders>
              <w:top w:val="single" w:color="000000" w:sz="0" w:space="0"/>
              <w:left w:val="single" w:color="000000" w:sz="0" w:space="0"/>
              <w:bottom w:val="single" w:color="000000" w:sz="0" w:space="0"/>
              <w:right w:val="single" w:color="000000" w:sz="0" w:space="0"/>
            </w:tcBorders>
            <w:shd w:val="clear" w:color="auto" w:fill="E5EFFF"/>
            <w:vAlign w:val="center"/>
          </w:tcPr>
          <w:p>
            <w:pPr>
              <w:pBdr/>
              <w:spacing w:before="156" w:beforeLines="50"/>
              <w:ind w:firstLine="420"/>
              <w:jc w:val="left"/>
              <w:rPr>
                <w:rFonts w:ascii="仿宋-简" w:hAnsi="仿宋-简" w:eastAsia="仿宋-简" w:cs="仿宋-简"/>
                <w:sz w:val="18"/>
                <w:szCs w:val="24"/>
              </w:rPr>
            </w:pPr>
            <w:r>
              <w:rPr>
                <w:rFonts w:ascii="仿宋-简" w:hAnsi="仿宋-简" w:eastAsia="仿宋-简" w:cs="仿宋-简"/>
                <w:sz w:val="18"/>
                <w:szCs w:val="24"/>
              </w:rPr>
              <w:t>人数</w:t>
            </w:r>
          </w:p>
        </w:tc>
        <w:tc>
          <w:tcPr>
            <w:tcW w:w="1362" w:type="dxa"/>
            <w:tcBorders>
              <w:top w:val="single" w:color="000000" w:sz="0" w:space="0"/>
              <w:left w:val="single" w:color="000000" w:sz="0" w:space="0"/>
              <w:bottom w:val="single" w:color="000000" w:sz="0" w:space="0"/>
              <w:right w:val="single" w:color="000000" w:sz="0" w:space="0"/>
            </w:tcBorders>
            <w:shd w:val="clear" w:color="auto" w:fill="E5EFFF"/>
            <w:vAlign w:val="center"/>
          </w:tcPr>
          <w:p>
            <w:pPr>
              <w:pBdr/>
              <w:spacing w:before="156" w:beforeLines="50"/>
              <w:ind w:firstLine="420"/>
              <w:jc w:val="left"/>
              <w:rPr>
                <w:rFonts w:ascii="仿宋-简" w:hAnsi="仿宋-简" w:eastAsia="仿宋-简" w:cs="仿宋-简"/>
                <w:sz w:val="18"/>
                <w:szCs w:val="24"/>
              </w:rPr>
            </w:pPr>
            <w:r>
              <w:rPr>
                <w:rFonts w:ascii="仿宋-简" w:hAnsi="仿宋-简" w:eastAsia="仿宋-简" w:cs="仿宋-简"/>
                <w:sz w:val="18"/>
                <w:szCs w:val="24"/>
              </w:rPr>
              <w:t>占比</w:t>
            </w:r>
          </w:p>
        </w:tc>
      </w:tr>
      <w:tr>
        <w:trPr>
          <w:trHeight w:val="713" w:hRule="atLeast"/>
        </w:trPr>
        <w:tc>
          <w:tcPr>
            <w:tcW w:w="3746"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jc w:val="left"/>
              <w:rPr>
                <w:rFonts w:ascii="仿宋-简" w:hAnsi="仿宋-简" w:eastAsia="仿宋-简" w:cs="仿宋-简"/>
                <w:sz w:val="18"/>
                <w:szCs w:val="24"/>
              </w:rPr>
            </w:pPr>
            <w:r>
              <w:rPr>
                <w:rFonts w:ascii="仿宋-简" w:hAnsi="仿宋-简" w:eastAsia="仿宋-简" w:cs="仿宋-简"/>
                <w:sz w:val="18"/>
                <w:szCs w:val="24"/>
              </w:rPr>
              <w:t>完全了解</w:t>
            </w:r>
          </w:p>
        </w:tc>
        <w:tc>
          <w:tcPr>
            <w:tcW w:w="1208"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jc w:val="left"/>
              <w:rPr>
                <w:rFonts w:ascii="仿宋-简" w:hAnsi="仿宋-简" w:eastAsia="仿宋-简" w:cs="仿宋-简"/>
                <w:sz w:val="18"/>
                <w:szCs w:val="24"/>
              </w:rPr>
            </w:pPr>
            <w:r>
              <w:rPr>
                <w:rFonts w:ascii="仿宋-简" w:hAnsi="仿宋-简" w:eastAsia="仿宋-简" w:cs="仿宋-简"/>
                <w:sz w:val="18"/>
                <w:szCs w:val="24"/>
              </w:rPr>
              <w:t>387</w:t>
            </w:r>
          </w:p>
        </w:tc>
        <w:tc>
          <w:tcPr>
            <w:tcW w:w="1362"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jc w:val="left"/>
              <w:rPr>
                <w:rFonts w:ascii="仿宋-简" w:hAnsi="仿宋-简" w:eastAsia="仿宋-简" w:cs="仿宋-简"/>
                <w:sz w:val="18"/>
                <w:szCs w:val="24"/>
              </w:rPr>
            </w:pPr>
            <w:r>
              <w:rPr>
                <w:rFonts w:ascii="仿宋-简" w:hAnsi="仿宋-简" w:eastAsia="仿宋-简" w:cs="仿宋-简"/>
                <w:sz w:val="18"/>
                <w:szCs w:val="24"/>
              </w:rPr>
              <w:t>29.23%</w:t>
            </w:r>
          </w:p>
        </w:tc>
      </w:tr>
      <w:tr>
        <w:trPr>
          <w:trHeight w:val="713" w:hRule="atLeast"/>
        </w:trPr>
        <w:tc>
          <w:tcPr>
            <w:tcW w:w="3746"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jc w:val="left"/>
              <w:rPr>
                <w:rFonts w:ascii="仿宋-简" w:hAnsi="仿宋-简" w:eastAsia="仿宋-简" w:cs="仿宋-简"/>
                <w:sz w:val="18"/>
                <w:szCs w:val="24"/>
              </w:rPr>
            </w:pPr>
            <w:r>
              <w:rPr>
                <w:rFonts w:ascii="仿宋-简" w:hAnsi="仿宋-简" w:eastAsia="仿宋-简" w:cs="仿宋-简"/>
                <w:sz w:val="18"/>
                <w:szCs w:val="24"/>
              </w:rPr>
              <w:t>听说过但不清楚</w:t>
            </w:r>
          </w:p>
        </w:tc>
        <w:tc>
          <w:tcPr>
            <w:tcW w:w="1208"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jc w:val="left"/>
              <w:rPr>
                <w:rFonts w:ascii="仿宋-简" w:hAnsi="仿宋-简" w:eastAsia="仿宋-简" w:cs="仿宋-简"/>
                <w:sz w:val="18"/>
                <w:szCs w:val="24"/>
              </w:rPr>
            </w:pPr>
            <w:r>
              <w:rPr>
                <w:rFonts w:ascii="仿宋-简" w:hAnsi="仿宋-简" w:eastAsia="仿宋-简" w:cs="仿宋-简"/>
                <w:sz w:val="18"/>
                <w:szCs w:val="24"/>
              </w:rPr>
              <w:t>511</w:t>
            </w:r>
          </w:p>
        </w:tc>
        <w:tc>
          <w:tcPr>
            <w:tcW w:w="1362"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jc w:val="left"/>
              <w:rPr>
                <w:rFonts w:ascii="仿宋-简" w:hAnsi="仿宋-简" w:eastAsia="仿宋-简" w:cs="仿宋-简"/>
                <w:sz w:val="18"/>
                <w:szCs w:val="24"/>
              </w:rPr>
            </w:pPr>
            <w:r>
              <w:rPr>
                <w:rFonts w:ascii="仿宋-简" w:hAnsi="仿宋-简" w:eastAsia="仿宋-简" w:cs="仿宋-简"/>
                <w:sz w:val="18"/>
                <w:szCs w:val="24"/>
              </w:rPr>
              <w:t>38.60%</w:t>
            </w:r>
          </w:p>
        </w:tc>
      </w:tr>
      <w:tr>
        <w:trPr>
          <w:trHeight w:val="713" w:hRule="atLeast"/>
        </w:trPr>
        <w:tc>
          <w:tcPr>
            <w:tcW w:w="3746"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jc w:val="left"/>
              <w:rPr>
                <w:rFonts w:ascii="仿宋-简" w:hAnsi="仿宋-简" w:eastAsia="仿宋-简" w:cs="仿宋-简"/>
                <w:sz w:val="18"/>
                <w:szCs w:val="24"/>
              </w:rPr>
            </w:pPr>
            <w:r>
              <w:rPr>
                <w:rFonts w:ascii="仿宋-简" w:hAnsi="仿宋-简" w:eastAsia="仿宋-简" w:cs="仿宋-简"/>
                <w:sz w:val="18"/>
                <w:szCs w:val="24"/>
              </w:rPr>
              <w:t>完全没有听说过</w:t>
            </w:r>
          </w:p>
        </w:tc>
        <w:tc>
          <w:tcPr>
            <w:tcW w:w="1208"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jc w:val="left"/>
              <w:rPr>
                <w:rFonts w:ascii="仿宋-简" w:hAnsi="仿宋-简" w:eastAsia="仿宋-简" w:cs="仿宋-简"/>
                <w:sz w:val="18"/>
                <w:szCs w:val="24"/>
              </w:rPr>
            </w:pPr>
            <w:r>
              <w:rPr>
                <w:rFonts w:ascii="仿宋-简" w:hAnsi="仿宋-简" w:eastAsia="仿宋-简" w:cs="仿宋-简"/>
                <w:sz w:val="18"/>
                <w:szCs w:val="24"/>
              </w:rPr>
              <w:t>426</w:t>
            </w:r>
          </w:p>
        </w:tc>
        <w:tc>
          <w:tcPr>
            <w:tcW w:w="1362"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jc w:val="left"/>
              <w:rPr>
                <w:rFonts w:ascii="仿宋-简" w:hAnsi="仿宋-简" w:eastAsia="仿宋-简" w:cs="仿宋-简"/>
                <w:sz w:val="18"/>
                <w:szCs w:val="24"/>
              </w:rPr>
            </w:pPr>
            <w:r>
              <w:rPr>
                <w:rFonts w:ascii="仿宋-简" w:hAnsi="仿宋-简" w:eastAsia="仿宋-简" w:cs="仿宋-简"/>
                <w:sz w:val="18"/>
                <w:szCs w:val="24"/>
              </w:rPr>
              <w:t>32.18%</w:t>
            </w:r>
          </w:p>
        </w:tc>
      </w:tr>
    </w:tbl>
    <w:p>
      <w:pPr>
        <w:numPr/>
        <w:pBdr>
          <w:bottom/>
        </w:pBdr>
        <w:ind w:firstLine="360" w:firstLineChars="200"/>
        <w:jc w:val="center"/>
        <w:rPr>
          <w:rFonts w:hint="eastAsia" w:ascii="黑体" w:hAnsi="黑体" w:eastAsia="黑体"/>
          <w:sz w:val="18"/>
          <w:szCs w:val="18"/>
        </w:rPr>
      </w:pPr>
      <w:r>
        <w:rPr>
          <w:rFonts w:hint="eastAsia" w:ascii="黑体" w:hAnsi="黑体" w:eastAsia="黑体"/>
          <w:sz w:val="18"/>
          <w:szCs w:val="18"/>
        </w:rPr>
        <w:t>表3-1-6</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仅29.23%的受访者表示完全了解内轮差的含义和危险性，70.78%的受访者处于“仅听说但不清楚”或“完全未听说”的状态。</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与此同时，14.50%的受访者表示日常“非常频繁”遇到大型货车转弯，65.63%表示“比较频繁”，两者合计达到</w:t>
      </w:r>
      <w:r>
        <w:rPr>
          <w:rFonts w:hint="eastAsia" w:ascii="宋体" w:hAnsi="宋体" w:eastAsia="宋体"/>
          <w:b w:val="1"/>
          <w:color w:val="1450B8"/>
          <w:sz w:val="24"/>
          <w:szCs w:val="24"/>
        </w:rPr>
        <w:t>80.13%</w:t>
      </w:r>
      <w:r>
        <w:rPr>
          <w:rFonts w:hint="eastAsia" w:ascii="宋体" w:hAnsi="宋体" w:eastAsia="宋体"/>
          <w:sz w:val="24"/>
          <w:szCs w:val="24"/>
        </w:rPr>
        <w:t>。上述结果显示，在项目问卷样本中，大型车辆与公众混行具有较高接触频率，而风险认知水平与实际接触程度并不完全匹配。</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该结果主要证明项目具有明确的</w:t>
      </w:r>
      <w:r>
        <w:rPr>
          <w:rFonts w:hint="eastAsia" w:ascii="宋体" w:hAnsi="宋体" w:eastAsia="宋体"/>
          <w:b w:val="1"/>
          <w:color w:val="1450B8"/>
          <w:sz w:val="24"/>
          <w:szCs w:val="24"/>
        </w:rPr>
        <w:t>交通安全科普与社会治理价值</w:t>
      </w:r>
      <w:r>
        <w:rPr>
          <w:rFonts w:hint="eastAsia" w:ascii="宋体" w:hAnsi="宋体" w:eastAsia="宋体"/>
          <w:sz w:val="24"/>
          <w:szCs w:val="24"/>
        </w:rPr>
        <w:t>，但公众并非车载设备的主要付费主体，因此不能直接据此推导产品市场销量。</w:t>
      </w:r>
    </w:p>
    <w:p>
      <w:pPr>
        <w:spacing w:before="156" w:beforeLines="50"/>
        <w:ind/>
        <w:rPr>
          <w:rFonts w:hint="eastAsia" w:ascii="宋体" w:hAnsi="宋体" w:eastAsia="宋体"/>
          <w:b w:val="1"/>
          <w:bCs w:val="1"/>
          <w:sz w:val="24"/>
          <w:szCs w:val="24"/>
        </w:rPr>
      </w:pPr>
      <w:r>
        <w:rPr>
          <w:rFonts w:hint="eastAsia" w:ascii="宋体" w:hAnsi="宋体" w:eastAsia="宋体"/>
          <w:b w:val="1"/>
          <w:bCs w:val="1"/>
          <w:sz w:val="24"/>
          <w:szCs w:val="24"/>
        </w:rPr>
        <w:t>（三）目标职业样本表现出较高的安装意愿</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在514名货车驾驶员或车队管理相关受访者中，219人表示“即使需要自费也愿意安装”，占</w:t>
      </w:r>
      <w:r>
        <w:rPr>
          <w:rFonts w:hint="eastAsia" w:ascii="宋体" w:hAnsi="宋体" w:eastAsia="宋体"/>
          <w:b w:val="1"/>
          <w:color w:val="1450B8"/>
          <w:sz w:val="24"/>
          <w:szCs w:val="24"/>
        </w:rPr>
        <w:t>42.61%</w:t>
      </w:r>
      <w:r>
        <w:rPr>
          <w:rFonts w:hint="eastAsia" w:ascii="宋体" w:hAnsi="宋体" w:eastAsia="宋体"/>
          <w:sz w:val="24"/>
          <w:szCs w:val="24"/>
        </w:rPr>
        <w:t>；165人表示“若能够降低事故风险或保险费用则愿意投资”，占</w:t>
      </w:r>
      <w:r>
        <w:rPr>
          <w:rFonts w:hint="eastAsia" w:ascii="宋体" w:hAnsi="宋体" w:eastAsia="宋体"/>
          <w:b w:val="1"/>
          <w:color w:val="1450B8"/>
          <w:sz w:val="24"/>
          <w:szCs w:val="24"/>
        </w:rPr>
        <w:t>32.10%</w:t>
      </w:r>
      <w:r>
        <w:rPr>
          <w:rFonts w:hint="eastAsia" w:ascii="宋体" w:hAnsi="宋体" w:eastAsia="宋体"/>
          <w:sz w:val="24"/>
          <w:szCs w:val="24"/>
        </w:rPr>
        <w:t>。两类合计384人，占目标职业样本的</w:t>
      </w:r>
      <w:r>
        <w:rPr>
          <w:rFonts w:hint="eastAsia" w:ascii="宋体" w:hAnsi="宋体" w:eastAsia="宋体"/>
          <w:b w:val="1"/>
          <w:color w:val="1450B8"/>
          <w:sz w:val="24"/>
          <w:szCs w:val="24"/>
        </w:rPr>
        <w:t>74.71%</w:t>
      </w:r>
      <w:r>
        <w:rPr>
          <w:rFonts w:hint="eastAsia" w:ascii="宋体" w:hAnsi="宋体" w:eastAsia="宋体"/>
          <w:sz w:val="24"/>
          <w:szCs w:val="24"/>
        </w:rPr>
        <w:t>。</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另有17.12%的受访者表示需要根据成本和使用便利性决定，5.06%仅在法规要求时考虑安装，3.11%认为没有安装需求。</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这一结果说明，目标职业样本对内轮差预警装置总体持较积极态度，但现阶段仍属于</w:t>
      </w:r>
      <w:r>
        <w:rPr>
          <w:rFonts w:hint="eastAsia" w:ascii="宋体" w:hAnsi="宋体" w:eastAsia="宋体"/>
          <w:b w:val="1"/>
          <w:color w:val="1450B8"/>
          <w:sz w:val="24"/>
          <w:szCs w:val="24"/>
        </w:rPr>
        <w:t>意向性需求</w:t>
      </w:r>
      <w:r>
        <w:rPr>
          <w:rFonts w:hint="eastAsia" w:ascii="宋体" w:hAnsi="宋体" w:eastAsia="宋体"/>
          <w:sz w:val="24"/>
          <w:szCs w:val="24"/>
        </w:rPr>
        <w:t>，不能等同于真实采购订单。尤其是驾驶员和车队管理者在采购决策权、企业预算权限方面存在明显差异，后续需要通过B端企业访谈进一步验证真实采购流程。</w:t>
      </w:r>
    </w:p>
    <w:p>
      <w:pPr>
        <w:numPr/>
        <w:spacing w:before="156" w:beforeLines="50"/>
        <w:ind/>
        <w:rPr>
          <w:rFonts w:hint="eastAsia" w:ascii="宋体" w:hAnsi="宋体" w:eastAsia="宋体"/>
          <w:b w:val="1"/>
          <w:bCs w:val="1"/>
          <w:sz w:val="24"/>
          <w:szCs w:val="24"/>
        </w:rPr>
      </w:pPr>
      <w:r>
        <w:rPr>
          <w:rFonts w:hint="eastAsia" w:ascii="宋体" w:hAnsi="宋体" w:eastAsia="宋体"/>
          <w:b w:val="1"/>
          <w:bCs w:val="1"/>
          <w:sz w:val="24"/>
          <w:szCs w:val="24"/>
        </w:rPr>
        <w:t>（四）价格接受度与当前产品成本之间存在明显差距</w:t>
      </w:r>
    </w:p>
    <w:p>
      <w:pPr>
        <w:numPr/>
        <w:pBdr/>
        <w:spacing w:before="156" w:beforeLines="50"/>
        <w:ind w:firstLine="420"/>
        <w:rPr>
          <w:rFonts w:hint="eastAsia" w:ascii="宋体" w:hAnsi="宋体" w:eastAsia="宋体"/>
          <w:sz w:val="24"/>
          <w:szCs w:val="24"/>
        </w:rPr>
      </w:pPr>
      <w:r>
        <w:rPr>
          <w:rFonts w:hint="eastAsia" w:ascii="宋体" w:hAnsi="宋体" w:eastAsia="宋体"/>
          <w:sz w:val="24"/>
          <w:szCs w:val="24"/>
        </w:rPr>
        <w:t>514名目标职业受访者对合理价格的选择如下：</w:t>
      </w:r>
    </w:p>
    <w:p>
      <w:pPr>
        <w:numPr/>
        <w:pBdr>
          <w:bottom/>
        </w:pBdr>
        <w:ind w:firstLine="360" w:firstLineChars="200"/>
        <w:jc w:val="both"/>
        <w:rPr>
          <w:rFonts w:hint="eastAsia" w:ascii="黑体" w:hAnsi="黑体" w:eastAsia="黑体"/>
          <w:sz w:val="18"/>
          <w:szCs w:val="18"/>
        </w:rPr>
      </w:pPr>
    </w:p>
    <w:tbl>
      <w:tblPr>
        <w:tblStyle w:val="0000a0"/>
        <w:jc w:val="center"/>
        <w:tblInd w:w="570" w:type="dxa"/>
        <w:tblLayout w:type="fixed"/>
        <w:tblLook/>
      </w:tblPr>
      <w:tblGrid>
        <w:gridCol w:w="1837"/>
        <w:gridCol w:w="1449"/>
        <w:gridCol w:w="2174"/>
      </w:tblGrid>
      <w:tr>
        <w:trPr>
          <w:wBefore/>
          <w:trHeight w:val="523" w:hRule="atLeast"/>
        </w:trPr>
        <w:tc>
          <w:tcPr>
            <w:tcW w:w="1837" w:type="dxa"/>
            <w:tcBorders>
              <w:top w:val="single" w:color="000000" w:sz="0" w:space="0"/>
              <w:left w:val="single" w:color="000000" w:sz="0" w:space="0"/>
              <w:bottom w:val="single" w:color="000000" w:sz="0" w:space="0"/>
              <w:right w:val="single" w:color="000000" w:sz="0" w:space="0"/>
            </w:tcBorders>
            <w:shd w:val="clear" w:color="auto" w:fill="E5EFFF"/>
            <w:vAlign w:val="center"/>
          </w:tcPr>
          <w:p>
            <w:pPr>
              <w:numPr/>
              <w:pBdr/>
              <w:spacing w:before="156" w:beforeLines="50"/>
              <w:ind w:firstLine="420"/>
              <w:jc w:val="left"/>
              <w:rPr>
                <w:rFonts w:ascii="仿宋-简" w:hAnsi="仿宋-简" w:eastAsia="仿宋-简" w:cs="仿宋-简"/>
                <w:sz w:val="18"/>
                <w:szCs w:val="24"/>
              </w:rPr>
            </w:pPr>
            <w:r>
              <w:rPr>
                <w:rFonts w:ascii="仿宋-简" w:hAnsi="仿宋-简" w:eastAsia="仿宋-简" w:cs="仿宋-简"/>
                <w:sz w:val="18"/>
                <w:szCs w:val="24"/>
              </w:rPr>
              <w:t>价格区间</w:t>
            </w:r>
          </w:p>
        </w:tc>
        <w:tc>
          <w:tcPr>
            <w:tcW w:w="1449" w:type="dxa"/>
            <w:tcBorders>
              <w:top w:val="single" w:color="000000" w:sz="0" w:space="0"/>
              <w:left w:val="single" w:color="000000" w:sz="0" w:space="0"/>
              <w:bottom w:val="single" w:color="000000" w:sz="0" w:space="0"/>
              <w:right w:val="single" w:color="000000" w:sz="0" w:space="0"/>
            </w:tcBorders>
            <w:shd w:val="clear" w:color="auto" w:fill="E5EFFF"/>
            <w:vAlign w:val="center"/>
          </w:tcPr>
          <w:p>
            <w:pPr>
              <w:numPr/>
              <w:pBdr/>
              <w:spacing w:before="156" w:beforeLines="50"/>
              <w:ind w:firstLine="420"/>
              <w:jc w:val="left"/>
              <w:rPr>
                <w:rFonts w:ascii="仿宋-简" w:hAnsi="仿宋-简" w:eastAsia="仿宋-简" w:cs="仿宋-简"/>
                <w:sz w:val="18"/>
                <w:szCs w:val="24"/>
              </w:rPr>
            </w:pPr>
            <w:r>
              <w:rPr>
                <w:rFonts w:ascii="仿宋-简" w:hAnsi="仿宋-简" w:eastAsia="仿宋-简" w:cs="仿宋-简"/>
                <w:sz w:val="18"/>
                <w:szCs w:val="24"/>
              </w:rPr>
              <w:t>人数</w:t>
            </w:r>
          </w:p>
        </w:tc>
        <w:tc>
          <w:tcPr>
            <w:tcW w:w="2174" w:type="dxa"/>
            <w:tcBorders>
              <w:top w:val="single" w:color="000000" w:sz="0" w:space="0"/>
              <w:left w:val="single" w:color="000000" w:sz="0" w:space="0"/>
              <w:bottom w:val="single" w:color="000000" w:sz="0" w:space="0"/>
              <w:right w:val="single" w:color="000000" w:sz="0" w:space="0"/>
            </w:tcBorders>
            <w:shd w:val="clear" w:color="auto" w:fill="E5EFFF"/>
            <w:vAlign w:val="center"/>
          </w:tcPr>
          <w:p>
            <w:pPr>
              <w:numPr/>
              <w:pBdr/>
              <w:spacing w:before="156" w:beforeLines="50"/>
              <w:ind w:firstLine="420"/>
              <w:jc w:val="left"/>
              <w:rPr>
                <w:rFonts w:ascii="仿宋-简" w:hAnsi="仿宋-简" w:eastAsia="仿宋-简" w:cs="仿宋-简"/>
                <w:sz w:val="18"/>
                <w:szCs w:val="24"/>
              </w:rPr>
            </w:pPr>
            <w:r>
              <w:rPr>
                <w:rFonts w:ascii="仿宋-简" w:hAnsi="仿宋-简" w:eastAsia="仿宋-简" w:cs="仿宋-简"/>
                <w:sz w:val="18"/>
                <w:szCs w:val="24"/>
              </w:rPr>
              <w:t>占比</w:t>
            </w:r>
          </w:p>
        </w:tc>
      </w:tr>
      <w:tr>
        <w:trPr>
          <w:wBefore/>
          <w:trHeight w:val="523" w:hRule="atLeast"/>
        </w:trPr>
        <w:tc>
          <w:tcPr>
            <w:tcW w:w="1837" w:type="dxa"/>
            <w:tcBorders>
              <w:top w:val="single" w:color="000000" w:sz="0" w:space="0"/>
              <w:left w:val="single" w:color="000000" w:sz="0" w:space="0"/>
              <w:bottom w:val="single" w:color="000000" w:sz="0" w:space="0"/>
              <w:right w:val="single" w:color="000000" w:sz="0" w:space="0"/>
            </w:tcBorders>
            <w:vAlign w:val="center"/>
          </w:tcPr>
          <w:p>
            <w:pPr>
              <w:numPr/>
              <w:pBdr/>
              <w:spacing w:before="156" w:beforeLines="50"/>
              <w:ind w:firstLine="420"/>
              <w:jc w:val="left"/>
              <w:rPr>
                <w:rFonts w:ascii="仿宋-简" w:hAnsi="仿宋-简" w:eastAsia="仿宋-简" w:cs="仿宋-简"/>
                <w:sz w:val="18"/>
                <w:szCs w:val="24"/>
              </w:rPr>
            </w:pPr>
            <w:r>
              <w:rPr>
                <w:rFonts w:ascii="仿宋-简" w:hAnsi="仿宋-简" w:eastAsia="仿宋-简" w:cs="仿宋-简"/>
                <w:sz w:val="18"/>
                <w:szCs w:val="24"/>
              </w:rPr>
              <w:t>300元以下</w:t>
            </w:r>
          </w:p>
        </w:tc>
        <w:tc>
          <w:tcPr>
            <w:tcW w:w="1449" w:type="dxa"/>
            <w:tcBorders>
              <w:top w:val="single" w:color="000000" w:sz="0" w:space="0"/>
              <w:left w:val="single" w:color="000000" w:sz="0" w:space="0"/>
              <w:bottom w:val="single" w:color="000000" w:sz="0" w:space="0"/>
              <w:right w:val="single" w:color="000000" w:sz="0" w:space="0"/>
            </w:tcBorders>
            <w:vAlign w:val="center"/>
          </w:tcPr>
          <w:p>
            <w:pPr>
              <w:numPr/>
              <w:pBdr/>
              <w:spacing w:before="156" w:beforeLines="50"/>
              <w:ind w:firstLine="420"/>
              <w:jc w:val="left"/>
              <w:rPr>
                <w:rFonts w:ascii="仿宋-简" w:hAnsi="仿宋-简" w:eastAsia="仿宋-简" w:cs="仿宋-简"/>
                <w:sz w:val="18"/>
                <w:szCs w:val="24"/>
              </w:rPr>
            </w:pPr>
            <w:r>
              <w:rPr>
                <w:rFonts w:ascii="仿宋-简" w:hAnsi="仿宋-简" w:eastAsia="仿宋-简" w:cs="仿宋-简"/>
                <w:sz w:val="18"/>
                <w:szCs w:val="24"/>
              </w:rPr>
              <w:t>160</w:t>
            </w:r>
          </w:p>
        </w:tc>
        <w:tc>
          <w:tcPr>
            <w:tcW w:w="2174" w:type="dxa"/>
            <w:tcBorders>
              <w:top w:val="single" w:color="000000" w:sz="0" w:space="0"/>
              <w:left w:val="single" w:color="000000" w:sz="0" w:space="0"/>
              <w:bottom w:val="single" w:color="000000" w:sz="0" w:space="0"/>
              <w:right w:val="single" w:color="000000" w:sz="0" w:space="0"/>
            </w:tcBorders>
            <w:vAlign w:val="center"/>
          </w:tcPr>
          <w:p>
            <w:pPr>
              <w:numPr/>
              <w:pBdr/>
              <w:spacing w:before="156" w:beforeLines="50"/>
              <w:ind w:firstLine="420"/>
              <w:jc w:val="left"/>
              <w:rPr>
                <w:rFonts w:ascii="仿宋-简" w:hAnsi="仿宋-简" w:eastAsia="仿宋-简" w:cs="仿宋-简"/>
                <w:sz w:val="18"/>
                <w:szCs w:val="24"/>
              </w:rPr>
            </w:pPr>
            <w:r>
              <w:rPr>
                <w:rFonts w:ascii="仿宋-简" w:hAnsi="仿宋-简" w:eastAsia="仿宋-简" w:cs="仿宋-简"/>
                <w:sz w:val="18"/>
                <w:szCs w:val="24"/>
              </w:rPr>
              <w:t>31.13%</w:t>
            </w:r>
          </w:p>
        </w:tc>
      </w:tr>
      <w:tr>
        <w:trPr>
          <w:wBefore/>
          <w:trHeight w:val="523" w:hRule="atLeast"/>
        </w:trPr>
        <w:tc>
          <w:tcPr>
            <w:tcW w:w="1837" w:type="dxa"/>
            <w:tcBorders>
              <w:top w:val="single" w:color="000000" w:sz="0" w:space="0"/>
              <w:left w:val="single" w:color="000000" w:sz="0" w:space="0"/>
              <w:bottom w:val="single" w:color="000000" w:sz="0" w:space="0"/>
              <w:right w:val="single" w:color="000000" w:sz="0" w:space="0"/>
            </w:tcBorders>
            <w:vAlign w:val="center"/>
          </w:tcPr>
          <w:p>
            <w:pPr>
              <w:numPr/>
              <w:pBdr/>
              <w:spacing w:before="156" w:beforeLines="50"/>
              <w:ind w:firstLine="420"/>
              <w:jc w:val="left"/>
              <w:rPr>
                <w:rFonts w:ascii="仿宋-简" w:hAnsi="仿宋-简" w:eastAsia="仿宋-简" w:cs="仿宋-简"/>
                <w:sz w:val="18"/>
                <w:szCs w:val="24"/>
              </w:rPr>
            </w:pPr>
            <w:r>
              <w:rPr>
                <w:rFonts w:ascii="仿宋-简" w:hAnsi="仿宋-简" w:eastAsia="仿宋-简" w:cs="仿宋-简"/>
                <w:sz w:val="18"/>
                <w:szCs w:val="24"/>
              </w:rPr>
              <w:t>300—500元</w:t>
            </w:r>
          </w:p>
        </w:tc>
        <w:tc>
          <w:tcPr>
            <w:tcW w:w="1449" w:type="dxa"/>
            <w:tcBorders>
              <w:top w:val="single" w:color="000000" w:sz="0" w:space="0"/>
              <w:left w:val="single" w:color="000000" w:sz="0" w:space="0"/>
              <w:bottom w:val="single" w:color="000000" w:sz="0" w:space="0"/>
              <w:right w:val="single" w:color="000000" w:sz="0" w:space="0"/>
            </w:tcBorders>
            <w:vAlign w:val="center"/>
          </w:tcPr>
          <w:p>
            <w:pPr>
              <w:numPr/>
              <w:pBdr/>
              <w:spacing w:before="156" w:beforeLines="50"/>
              <w:ind w:firstLine="420"/>
              <w:jc w:val="left"/>
              <w:rPr>
                <w:rFonts w:ascii="仿宋-简" w:hAnsi="仿宋-简" w:eastAsia="仿宋-简" w:cs="仿宋-简"/>
                <w:sz w:val="18"/>
                <w:szCs w:val="24"/>
              </w:rPr>
            </w:pPr>
            <w:r>
              <w:rPr>
                <w:rFonts w:ascii="仿宋-简" w:hAnsi="仿宋-简" w:eastAsia="仿宋-简" w:cs="仿宋-简"/>
                <w:sz w:val="18"/>
                <w:szCs w:val="24"/>
              </w:rPr>
              <w:t>186</w:t>
            </w:r>
          </w:p>
        </w:tc>
        <w:tc>
          <w:tcPr>
            <w:tcW w:w="2174" w:type="dxa"/>
            <w:tcBorders>
              <w:top w:val="single" w:color="000000" w:sz="0" w:space="0"/>
              <w:left w:val="single" w:color="000000" w:sz="0" w:space="0"/>
              <w:bottom w:val="single" w:color="000000" w:sz="0" w:space="0"/>
              <w:right w:val="single" w:color="000000" w:sz="0" w:space="0"/>
            </w:tcBorders>
            <w:vAlign w:val="center"/>
          </w:tcPr>
          <w:p>
            <w:pPr>
              <w:numPr/>
              <w:pBdr/>
              <w:spacing w:before="156" w:beforeLines="50"/>
              <w:ind w:firstLine="420"/>
              <w:jc w:val="left"/>
              <w:rPr>
                <w:rFonts w:ascii="仿宋-简" w:hAnsi="仿宋-简" w:eastAsia="仿宋-简" w:cs="仿宋-简"/>
                <w:sz w:val="18"/>
                <w:szCs w:val="24"/>
              </w:rPr>
            </w:pPr>
            <w:r>
              <w:rPr>
                <w:rFonts w:ascii="仿宋-简" w:hAnsi="仿宋-简" w:eastAsia="仿宋-简" w:cs="仿宋-简"/>
                <w:sz w:val="18"/>
                <w:szCs w:val="24"/>
              </w:rPr>
              <w:t>36.19%</w:t>
            </w:r>
          </w:p>
        </w:tc>
      </w:tr>
      <w:tr>
        <w:trPr>
          <w:wBefore/>
          <w:trHeight w:val="523" w:hRule="atLeast"/>
        </w:trPr>
        <w:tc>
          <w:tcPr>
            <w:tcW w:w="1837" w:type="dxa"/>
            <w:tcBorders>
              <w:top w:val="single" w:color="000000" w:sz="0" w:space="0"/>
              <w:left w:val="single" w:color="000000" w:sz="0" w:space="0"/>
              <w:bottom w:val="single" w:color="000000" w:sz="0" w:space="0"/>
              <w:right w:val="single" w:color="000000" w:sz="0" w:space="0"/>
            </w:tcBorders>
            <w:vAlign w:val="center"/>
          </w:tcPr>
          <w:p>
            <w:pPr>
              <w:numPr/>
              <w:pBdr/>
              <w:spacing w:before="156" w:beforeLines="50"/>
              <w:ind w:firstLine="420"/>
              <w:jc w:val="left"/>
              <w:rPr>
                <w:rFonts w:ascii="仿宋-简" w:hAnsi="仿宋-简" w:eastAsia="仿宋-简" w:cs="仿宋-简"/>
                <w:sz w:val="18"/>
                <w:szCs w:val="24"/>
              </w:rPr>
            </w:pPr>
            <w:r>
              <w:rPr>
                <w:rFonts w:ascii="仿宋-简" w:hAnsi="仿宋-简" w:eastAsia="仿宋-简" w:cs="仿宋-简"/>
                <w:sz w:val="18"/>
                <w:szCs w:val="24"/>
              </w:rPr>
              <w:t>500—1000元</w:t>
            </w:r>
          </w:p>
        </w:tc>
        <w:tc>
          <w:tcPr>
            <w:tcW w:w="1449" w:type="dxa"/>
            <w:tcBorders>
              <w:top w:val="single" w:color="000000" w:sz="0" w:space="0"/>
              <w:left w:val="single" w:color="000000" w:sz="0" w:space="0"/>
              <w:bottom w:val="single" w:color="000000" w:sz="0" w:space="0"/>
              <w:right w:val="single" w:color="000000" w:sz="0" w:space="0"/>
            </w:tcBorders>
            <w:vAlign w:val="center"/>
          </w:tcPr>
          <w:p>
            <w:pPr>
              <w:numPr/>
              <w:pBdr/>
              <w:spacing w:before="156" w:beforeLines="50"/>
              <w:ind w:firstLine="420"/>
              <w:jc w:val="left"/>
              <w:rPr>
                <w:rFonts w:ascii="仿宋-简" w:hAnsi="仿宋-简" w:eastAsia="仿宋-简" w:cs="仿宋-简"/>
                <w:sz w:val="18"/>
                <w:szCs w:val="24"/>
              </w:rPr>
            </w:pPr>
            <w:r>
              <w:rPr>
                <w:rFonts w:ascii="仿宋-简" w:hAnsi="仿宋-简" w:eastAsia="仿宋-简" w:cs="仿宋-简"/>
                <w:sz w:val="18"/>
                <w:szCs w:val="24"/>
              </w:rPr>
              <w:t>78</w:t>
            </w:r>
          </w:p>
        </w:tc>
        <w:tc>
          <w:tcPr>
            <w:tcW w:w="2174" w:type="dxa"/>
            <w:tcBorders>
              <w:top w:val="single" w:color="000000" w:sz="0" w:space="0"/>
              <w:left w:val="single" w:color="000000" w:sz="0" w:space="0"/>
              <w:bottom w:val="single" w:color="000000" w:sz="0" w:space="0"/>
              <w:right w:val="single" w:color="000000" w:sz="0" w:space="0"/>
            </w:tcBorders>
            <w:vAlign w:val="center"/>
          </w:tcPr>
          <w:p>
            <w:pPr>
              <w:numPr/>
              <w:pBdr/>
              <w:spacing w:before="156" w:beforeLines="50"/>
              <w:ind w:firstLine="420"/>
              <w:jc w:val="left"/>
              <w:rPr>
                <w:rFonts w:ascii="仿宋-简" w:hAnsi="仿宋-简" w:eastAsia="仿宋-简" w:cs="仿宋-简"/>
                <w:sz w:val="18"/>
                <w:szCs w:val="24"/>
              </w:rPr>
            </w:pPr>
            <w:r>
              <w:rPr>
                <w:rFonts w:ascii="仿宋-简" w:hAnsi="仿宋-简" w:eastAsia="仿宋-简" w:cs="仿宋-简"/>
                <w:sz w:val="18"/>
                <w:szCs w:val="24"/>
              </w:rPr>
              <w:t>15.18%</w:t>
            </w:r>
          </w:p>
        </w:tc>
      </w:tr>
      <w:tr>
        <w:trPr>
          <w:wBefore/>
          <w:trHeight w:val="523" w:hRule="atLeast"/>
        </w:trPr>
        <w:tc>
          <w:tcPr>
            <w:tcW w:w="1837" w:type="dxa"/>
            <w:tcBorders>
              <w:top w:val="single" w:color="000000" w:sz="0" w:space="0"/>
              <w:left w:val="single" w:color="000000" w:sz="0" w:space="0"/>
              <w:bottom w:val="single" w:color="000000" w:sz="0" w:space="0"/>
              <w:right w:val="single" w:color="000000" w:sz="0" w:space="0"/>
            </w:tcBorders>
            <w:vAlign w:val="center"/>
          </w:tcPr>
          <w:p>
            <w:pPr>
              <w:numPr/>
              <w:pBdr/>
              <w:spacing w:before="156" w:beforeLines="50"/>
              <w:ind w:firstLine="420"/>
              <w:jc w:val="left"/>
              <w:rPr>
                <w:rFonts w:ascii="仿宋-简" w:hAnsi="仿宋-简" w:eastAsia="仿宋-简" w:cs="仿宋-简"/>
                <w:sz w:val="18"/>
                <w:szCs w:val="24"/>
              </w:rPr>
            </w:pPr>
            <w:r>
              <w:rPr>
                <w:rFonts w:ascii="仿宋-简" w:hAnsi="仿宋-简" w:eastAsia="仿宋-简" w:cs="仿宋-简"/>
                <w:sz w:val="18"/>
                <w:szCs w:val="24"/>
              </w:rPr>
              <w:t>1000—1500元</w:t>
            </w:r>
          </w:p>
        </w:tc>
        <w:tc>
          <w:tcPr>
            <w:tcW w:w="1449" w:type="dxa"/>
            <w:tcBorders>
              <w:top w:val="single" w:color="000000" w:sz="0" w:space="0"/>
              <w:left w:val="single" w:color="000000" w:sz="0" w:space="0"/>
              <w:bottom w:val="single" w:color="000000" w:sz="0" w:space="0"/>
              <w:right w:val="single" w:color="000000" w:sz="0" w:space="0"/>
            </w:tcBorders>
            <w:vAlign w:val="center"/>
          </w:tcPr>
          <w:p>
            <w:pPr>
              <w:numPr/>
              <w:pBdr/>
              <w:spacing w:before="156" w:beforeLines="50"/>
              <w:ind w:firstLine="420"/>
              <w:jc w:val="left"/>
              <w:rPr>
                <w:rFonts w:ascii="仿宋-简" w:hAnsi="仿宋-简" w:eastAsia="仿宋-简" w:cs="仿宋-简"/>
                <w:sz w:val="18"/>
                <w:szCs w:val="24"/>
              </w:rPr>
            </w:pPr>
            <w:r>
              <w:rPr>
                <w:rFonts w:ascii="仿宋-简" w:hAnsi="仿宋-简" w:eastAsia="仿宋-简" w:cs="仿宋-简"/>
                <w:sz w:val="18"/>
                <w:szCs w:val="24"/>
              </w:rPr>
              <w:t>44</w:t>
            </w:r>
          </w:p>
        </w:tc>
        <w:tc>
          <w:tcPr>
            <w:tcW w:w="2174" w:type="dxa"/>
            <w:tcBorders>
              <w:top w:val="single" w:color="000000" w:sz="0" w:space="0"/>
              <w:left w:val="single" w:color="000000" w:sz="0" w:space="0"/>
              <w:bottom w:val="single" w:color="000000" w:sz="0" w:space="0"/>
              <w:right w:val="single" w:color="000000" w:sz="0" w:space="0"/>
            </w:tcBorders>
            <w:vAlign w:val="center"/>
          </w:tcPr>
          <w:p>
            <w:pPr>
              <w:numPr/>
              <w:pBdr/>
              <w:spacing w:before="156" w:beforeLines="50"/>
              <w:ind w:firstLine="420"/>
              <w:jc w:val="left"/>
              <w:rPr>
                <w:rFonts w:ascii="仿宋-简" w:hAnsi="仿宋-简" w:eastAsia="仿宋-简" w:cs="仿宋-简"/>
                <w:sz w:val="18"/>
                <w:szCs w:val="24"/>
              </w:rPr>
            </w:pPr>
            <w:r>
              <w:rPr>
                <w:rFonts w:ascii="仿宋-简" w:hAnsi="仿宋-简" w:eastAsia="仿宋-简" w:cs="仿宋-简"/>
                <w:sz w:val="18"/>
                <w:szCs w:val="24"/>
              </w:rPr>
              <w:t>8.56%</w:t>
            </w:r>
          </w:p>
        </w:tc>
      </w:tr>
      <w:tr>
        <w:trPr>
          <w:wBefore/>
          <w:trHeight w:val="523" w:hRule="atLeast"/>
        </w:trPr>
        <w:tc>
          <w:tcPr>
            <w:tcW w:w="1837" w:type="dxa"/>
            <w:tcBorders>
              <w:top w:val="single" w:color="000000" w:sz="0" w:space="0"/>
              <w:left w:val="single" w:color="000000" w:sz="0" w:space="0"/>
              <w:bottom w:val="single" w:color="000000" w:sz="0" w:space="0"/>
              <w:right w:val="single" w:color="000000" w:sz="0" w:space="0"/>
            </w:tcBorders>
            <w:vAlign w:val="center"/>
          </w:tcPr>
          <w:p>
            <w:pPr>
              <w:numPr/>
              <w:pBdr/>
              <w:spacing w:before="156" w:beforeLines="50"/>
              <w:ind w:firstLine="420"/>
              <w:jc w:val="left"/>
              <w:rPr>
                <w:rFonts w:ascii="仿宋-简" w:hAnsi="仿宋-简" w:eastAsia="仿宋-简" w:cs="仿宋-简"/>
                <w:sz w:val="18"/>
                <w:szCs w:val="24"/>
              </w:rPr>
            </w:pPr>
            <w:r>
              <w:rPr>
                <w:rFonts w:ascii="仿宋-简" w:hAnsi="仿宋-简" w:eastAsia="仿宋-简" w:cs="仿宋-简"/>
                <w:sz w:val="18"/>
                <w:szCs w:val="24"/>
              </w:rPr>
              <w:t>1500—2000元</w:t>
            </w:r>
          </w:p>
        </w:tc>
        <w:tc>
          <w:tcPr>
            <w:tcW w:w="1449" w:type="dxa"/>
            <w:tcBorders>
              <w:top w:val="single" w:color="000000" w:sz="0" w:space="0"/>
              <w:left w:val="single" w:color="000000" w:sz="0" w:space="0"/>
              <w:bottom w:val="single" w:color="000000" w:sz="0" w:space="0"/>
              <w:right w:val="single" w:color="000000" w:sz="0" w:space="0"/>
            </w:tcBorders>
            <w:vAlign w:val="center"/>
          </w:tcPr>
          <w:p>
            <w:pPr>
              <w:numPr/>
              <w:pBdr/>
              <w:spacing w:before="156" w:beforeLines="50"/>
              <w:ind w:firstLine="420"/>
              <w:jc w:val="left"/>
              <w:rPr>
                <w:rFonts w:ascii="仿宋-简" w:hAnsi="仿宋-简" w:eastAsia="仿宋-简" w:cs="仿宋-简"/>
                <w:sz w:val="18"/>
                <w:szCs w:val="24"/>
              </w:rPr>
            </w:pPr>
            <w:r>
              <w:rPr>
                <w:rFonts w:ascii="仿宋-简" w:hAnsi="仿宋-简" w:eastAsia="仿宋-简" w:cs="仿宋-简"/>
                <w:sz w:val="18"/>
                <w:szCs w:val="24"/>
              </w:rPr>
              <w:t>18</w:t>
            </w:r>
          </w:p>
        </w:tc>
        <w:tc>
          <w:tcPr>
            <w:tcW w:w="2174" w:type="dxa"/>
            <w:tcBorders>
              <w:top w:val="single" w:color="000000" w:sz="0" w:space="0"/>
              <w:left w:val="single" w:color="000000" w:sz="0" w:space="0"/>
              <w:bottom w:val="single" w:color="000000" w:sz="0" w:space="0"/>
              <w:right w:val="single" w:color="000000" w:sz="0" w:space="0"/>
            </w:tcBorders>
            <w:vAlign w:val="center"/>
          </w:tcPr>
          <w:p>
            <w:pPr>
              <w:numPr/>
              <w:pBdr/>
              <w:spacing w:before="156" w:beforeLines="50"/>
              <w:ind w:firstLine="420"/>
              <w:jc w:val="left"/>
              <w:rPr>
                <w:rFonts w:ascii="仿宋-简" w:hAnsi="仿宋-简" w:eastAsia="仿宋-简" w:cs="仿宋-简"/>
                <w:sz w:val="18"/>
                <w:szCs w:val="24"/>
              </w:rPr>
            </w:pPr>
            <w:r>
              <w:rPr>
                <w:rFonts w:ascii="仿宋-简" w:hAnsi="仿宋-简" w:eastAsia="仿宋-简" w:cs="仿宋-简"/>
                <w:sz w:val="18"/>
                <w:szCs w:val="24"/>
              </w:rPr>
              <w:t>3.50%</w:t>
            </w:r>
          </w:p>
        </w:tc>
      </w:tr>
      <w:tr>
        <w:trPr>
          <w:wBefore/>
          <w:trHeight w:val="523" w:hRule="atLeast"/>
        </w:trPr>
        <w:tc>
          <w:tcPr>
            <w:tcW w:w="1837" w:type="dxa"/>
            <w:tcBorders>
              <w:top w:val="single" w:color="000000" w:sz="0" w:space="0"/>
              <w:left w:val="single" w:color="000000" w:sz="0" w:space="0"/>
              <w:bottom w:val="single" w:color="000000" w:sz="0" w:space="0"/>
              <w:right w:val="single" w:color="000000" w:sz="0" w:space="0"/>
            </w:tcBorders>
            <w:vAlign w:val="center"/>
          </w:tcPr>
          <w:p>
            <w:pPr>
              <w:numPr/>
              <w:pBdr/>
              <w:spacing w:before="156" w:beforeLines="50"/>
              <w:ind w:firstLine="420"/>
              <w:jc w:val="left"/>
              <w:rPr>
                <w:rFonts w:ascii="仿宋-简" w:hAnsi="仿宋-简" w:eastAsia="仿宋-简" w:cs="仿宋-简"/>
                <w:sz w:val="18"/>
                <w:szCs w:val="24"/>
              </w:rPr>
            </w:pPr>
            <w:r>
              <w:rPr>
                <w:rFonts w:ascii="仿宋-简" w:hAnsi="仿宋-简" w:eastAsia="仿宋-简" w:cs="仿宋-简"/>
                <w:sz w:val="18"/>
                <w:szCs w:val="24"/>
              </w:rPr>
              <w:t>2000元以上</w:t>
            </w:r>
          </w:p>
        </w:tc>
        <w:tc>
          <w:tcPr>
            <w:tcW w:w="1449" w:type="dxa"/>
            <w:tcBorders>
              <w:top w:val="single" w:color="000000" w:sz="0" w:space="0"/>
              <w:left w:val="single" w:color="000000" w:sz="0" w:space="0"/>
              <w:bottom w:val="single" w:color="000000" w:sz="0" w:space="0"/>
              <w:right w:val="single" w:color="000000" w:sz="0" w:space="0"/>
            </w:tcBorders>
            <w:vAlign w:val="center"/>
          </w:tcPr>
          <w:p>
            <w:pPr>
              <w:numPr/>
              <w:pBdr/>
              <w:spacing w:before="156" w:beforeLines="50"/>
              <w:ind w:firstLine="420"/>
              <w:jc w:val="left"/>
              <w:rPr>
                <w:rFonts w:ascii="仿宋-简" w:hAnsi="仿宋-简" w:eastAsia="仿宋-简" w:cs="仿宋-简"/>
                <w:sz w:val="18"/>
                <w:szCs w:val="24"/>
              </w:rPr>
            </w:pPr>
            <w:r>
              <w:rPr>
                <w:rFonts w:ascii="仿宋-简" w:hAnsi="仿宋-简" w:eastAsia="仿宋-简" w:cs="仿宋-简"/>
                <w:sz w:val="18"/>
                <w:szCs w:val="24"/>
              </w:rPr>
              <w:t>10</w:t>
            </w:r>
          </w:p>
        </w:tc>
        <w:tc>
          <w:tcPr>
            <w:tcW w:w="2174" w:type="dxa"/>
            <w:tcBorders>
              <w:top w:val="single" w:color="000000" w:sz="0" w:space="0"/>
              <w:left w:val="single" w:color="000000" w:sz="0" w:space="0"/>
              <w:bottom w:val="single" w:color="000000" w:sz="0" w:space="0"/>
              <w:right w:val="single" w:color="000000" w:sz="0" w:space="0"/>
            </w:tcBorders>
            <w:vAlign w:val="center"/>
          </w:tcPr>
          <w:p>
            <w:pPr>
              <w:numPr/>
              <w:pBdr/>
              <w:spacing w:before="156" w:beforeLines="50"/>
              <w:ind w:firstLine="420"/>
              <w:jc w:val="left"/>
              <w:rPr>
                <w:rFonts w:ascii="仿宋-简" w:hAnsi="仿宋-简" w:eastAsia="仿宋-简" w:cs="仿宋-简"/>
                <w:sz w:val="18"/>
                <w:szCs w:val="24"/>
              </w:rPr>
            </w:pPr>
            <w:r>
              <w:rPr>
                <w:rFonts w:ascii="仿宋-简" w:hAnsi="仿宋-简" w:eastAsia="仿宋-简" w:cs="仿宋-简"/>
                <w:sz w:val="18"/>
                <w:szCs w:val="24"/>
              </w:rPr>
              <w:t>1.95%</w:t>
            </w:r>
          </w:p>
        </w:tc>
      </w:tr>
      <w:tr>
        <w:trPr>
          <w:wBefore/>
          <w:trHeight w:val="523" w:hRule="atLeast"/>
        </w:trPr>
        <w:tc>
          <w:tcPr>
            <w:tcW w:w="1837" w:type="dxa"/>
            <w:tcBorders>
              <w:top w:val="single" w:color="000000" w:sz="0" w:space="0"/>
              <w:left w:val="single" w:color="000000" w:sz="0" w:space="0"/>
              <w:bottom w:val="single" w:color="000000" w:sz="0" w:space="0"/>
              <w:right w:val="single" w:color="000000" w:sz="0" w:space="0"/>
            </w:tcBorders>
            <w:vAlign w:val="center"/>
          </w:tcPr>
          <w:p>
            <w:pPr>
              <w:numPr/>
              <w:pBdr/>
              <w:spacing w:before="156" w:beforeLines="50"/>
              <w:ind w:firstLine="420"/>
              <w:jc w:val="left"/>
              <w:rPr>
                <w:rFonts w:ascii="仿宋-简" w:hAnsi="仿宋-简" w:eastAsia="仿宋-简" w:cs="仿宋-简"/>
                <w:sz w:val="18"/>
                <w:szCs w:val="24"/>
              </w:rPr>
            </w:pPr>
            <w:r>
              <w:rPr>
                <w:rFonts w:ascii="仿宋-简" w:hAnsi="仿宋-简" w:eastAsia="仿宋-简" w:cs="仿宋-简"/>
                <w:sz w:val="18"/>
                <w:szCs w:val="24"/>
              </w:rPr>
              <w:t>无安装预算</w:t>
            </w:r>
          </w:p>
        </w:tc>
        <w:tc>
          <w:tcPr>
            <w:tcW w:w="1449" w:type="dxa"/>
            <w:tcBorders>
              <w:top w:val="single" w:color="000000" w:sz="0" w:space="0"/>
              <w:left w:val="single" w:color="000000" w:sz="0" w:space="0"/>
              <w:bottom w:val="single" w:color="000000" w:sz="0" w:space="0"/>
              <w:right w:val="single" w:color="000000" w:sz="0" w:space="0"/>
            </w:tcBorders>
            <w:vAlign w:val="center"/>
          </w:tcPr>
          <w:p>
            <w:pPr>
              <w:numPr/>
              <w:pBdr/>
              <w:spacing w:before="156" w:beforeLines="50"/>
              <w:ind w:firstLine="420"/>
              <w:jc w:val="left"/>
              <w:rPr>
                <w:rFonts w:ascii="仿宋-简" w:hAnsi="仿宋-简" w:eastAsia="仿宋-简" w:cs="仿宋-简"/>
                <w:sz w:val="18"/>
                <w:szCs w:val="24"/>
              </w:rPr>
            </w:pPr>
            <w:r>
              <w:rPr>
                <w:rFonts w:ascii="仿宋-简" w:hAnsi="仿宋-简" w:eastAsia="仿宋-简" w:cs="仿宋-简"/>
                <w:sz w:val="18"/>
                <w:szCs w:val="24"/>
              </w:rPr>
              <w:t>18</w:t>
            </w:r>
          </w:p>
        </w:tc>
        <w:tc>
          <w:tcPr>
            <w:tcW w:w="2174" w:type="dxa"/>
            <w:tcBorders>
              <w:top w:val="single" w:color="000000" w:sz="0" w:space="0"/>
              <w:left w:val="single" w:color="000000" w:sz="0" w:space="0"/>
              <w:bottom w:val="single" w:color="000000" w:sz="0" w:space="0"/>
              <w:right w:val="single" w:color="000000" w:sz="0" w:space="0"/>
            </w:tcBorders>
            <w:vAlign w:val="center"/>
          </w:tcPr>
          <w:p>
            <w:pPr>
              <w:numPr/>
              <w:pBdr/>
              <w:spacing w:before="156" w:beforeLines="50"/>
              <w:ind w:firstLine="420"/>
              <w:jc w:val="left"/>
              <w:rPr>
                <w:rFonts w:ascii="仿宋-简" w:hAnsi="仿宋-简" w:eastAsia="仿宋-简" w:cs="仿宋-简"/>
                <w:sz w:val="18"/>
                <w:szCs w:val="24"/>
              </w:rPr>
            </w:pPr>
            <w:r>
              <w:rPr>
                <w:rFonts w:ascii="仿宋-简" w:hAnsi="仿宋-简" w:eastAsia="仿宋-简" w:cs="仿宋-简"/>
                <w:sz w:val="18"/>
                <w:szCs w:val="24"/>
              </w:rPr>
              <w:t>3.50%</w:t>
            </w:r>
          </w:p>
        </w:tc>
      </w:tr>
    </w:tbl>
    <w:p>
      <w:pPr>
        <w:numPr/>
        <w:pBdr>
          <w:bottom/>
        </w:pBdr>
        <w:ind w:firstLine="360" w:firstLineChars="200"/>
        <w:jc w:val="center"/>
        <w:rPr>
          <w:rFonts w:hint="eastAsia" w:ascii="黑体" w:hAnsi="黑体" w:eastAsia="黑体"/>
          <w:sz w:val="18"/>
          <w:szCs w:val="18"/>
        </w:rPr>
      </w:pPr>
      <w:r>
        <w:rPr>
          <w:rFonts w:hint="eastAsia" w:ascii="黑体" w:hAnsi="黑体" w:eastAsia="黑体"/>
          <w:sz w:val="18"/>
          <w:szCs w:val="18"/>
        </w:rPr>
        <w:t>表3-1-6</w:t>
      </w:r>
    </w:p>
    <w:p>
      <w:pPr>
        <w:numPr/>
        <w:pBdr/>
        <w:spacing w:before="156" w:beforeLines="50"/>
        <w:ind w:firstLine="420"/>
        <w:rPr>
          <w:rFonts w:hint="eastAsia" w:ascii="宋体" w:hAnsi="宋体" w:eastAsia="宋体"/>
          <w:sz w:val="24"/>
          <w:szCs w:val="24"/>
        </w:rPr>
      </w:pPr>
      <w:r>
        <w:rPr>
          <w:rFonts w:hint="eastAsia" w:ascii="宋体" w:hAnsi="宋体" w:eastAsia="宋体"/>
          <w:sz w:val="24"/>
          <w:szCs w:val="24"/>
        </w:rPr>
        <w:t>其中，67.32%的目标职业受访者可接受价格集中在500元以下，82.49%集中在1000元以下。</w:t>
      </w:r>
    </w:p>
    <w:p>
      <w:pPr>
        <w:numPr/>
        <w:pBdr/>
        <w:spacing w:before="156" w:beforeLines="50"/>
        <w:ind w:firstLine="420"/>
        <w:rPr>
          <w:rFonts w:hint="eastAsia" w:ascii="宋体" w:hAnsi="宋体" w:eastAsia="宋体"/>
          <w:sz w:val="24"/>
          <w:szCs w:val="24"/>
        </w:rPr>
      </w:pPr>
      <w:r>
        <w:rPr>
          <w:rFonts w:hint="eastAsia" w:ascii="宋体" w:hAnsi="宋体" w:eastAsia="宋体"/>
          <w:sz w:val="24"/>
          <w:szCs w:val="24"/>
        </w:rPr>
        <w:t>该结果对项目具有重要的商业提示：终端使用者表现出较强的</w:t>
      </w:r>
      <w:r>
        <w:rPr>
          <w:rFonts w:hint="eastAsia" w:ascii="宋体" w:hAnsi="宋体" w:eastAsia="宋体"/>
          <w:b w:val="1"/>
          <w:color w:val="1450B8"/>
          <w:sz w:val="24"/>
          <w:szCs w:val="24"/>
        </w:rPr>
        <w:t>价格敏感性</w:t>
      </w:r>
      <w:r>
        <w:rPr>
          <w:rFonts w:hint="eastAsia" w:ascii="宋体" w:hAnsi="宋体" w:eastAsia="宋体"/>
          <w:sz w:val="24"/>
          <w:szCs w:val="24"/>
        </w:rPr>
        <w:t>。与此同时，当前问卷价格题直接列出了ESP32、毫米波雷达等硬件信息，可能产生价格锚定效应；且目标职业样本中驾驶员并不一定具有实际采购决策权。因此，上述数据不作为最终产品定价依据，而作为后续B端企业价格访谈和产品降本的重要参考。</w:t>
      </w:r>
    </w:p>
    <w:p>
      <w:pPr>
        <w:numPr/>
        <w:pBdr/>
        <w:spacing w:before="156" w:beforeLines="50"/>
        <w:ind w:firstLine="420"/>
        <w:rPr>
          <w:rFonts w:hint="eastAsia" w:ascii="宋体" w:hAnsi="宋体" w:eastAsia="宋体"/>
          <w:sz w:val="24"/>
          <w:szCs w:val="24"/>
        </w:rPr>
      </w:pPr>
      <w:r>
        <w:rPr>
          <w:rFonts w:hint="eastAsia" w:ascii="宋体" w:hAnsi="宋体" w:eastAsia="宋体"/>
          <w:sz w:val="24"/>
          <w:szCs w:val="24"/>
        </w:rPr>
        <w:t>这也意味着，本项目早期市场更适合优先验证具有</w:t>
      </w:r>
      <w:r>
        <w:rPr>
          <w:rFonts w:hint="eastAsia" w:ascii="宋体" w:hAnsi="宋体" w:eastAsia="宋体"/>
          <w:b w:val="1"/>
          <w:color w:val="1450B8"/>
          <w:sz w:val="24"/>
          <w:szCs w:val="24"/>
        </w:rPr>
        <w:t>集中安全管理责任和明确采购预算的企业客户</w:t>
      </w:r>
      <w:r>
        <w:rPr>
          <w:rFonts w:hint="eastAsia" w:ascii="宋体" w:hAnsi="宋体" w:eastAsia="宋体"/>
          <w:sz w:val="24"/>
          <w:szCs w:val="24"/>
        </w:rPr>
        <w:t>，而非直接以分散的个体驾驶员作为主要付费市场。</w:t>
      </w:r>
    </w:p>
    <w:p>
      <w:pPr>
        <w:numPr/>
        <w:spacing w:before="156" w:beforeLines="50"/>
        <w:ind/>
        <w:rPr>
          <w:rFonts w:hint="eastAsia" w:ascii="宋体" w:hAnsi="宋体" w:eastAsia="宋体"/>
          <w:b w:val="1"/>
          <w:bCs w:val="1"/>
          <w:sz w:val="24"/>
          <w:szCs w:val="24"/>
        </w:rPr>
      </w:pPr>
      <w:r>
        <w:rPr>
          <w:rFonts w:hint="eastAsia" w:ascii="宋体" w:hAnsi="宋体" w:eastAsia="宋体"/>
          <w:b w:val="1"/>
          <w:bCs w:val="1"/>
          <w:sz w:val="24"/>
          <w:szCs w:val="24"/>
        </w:rPr>
        <w:t>（五）用户对预警形式具有明确偏好</w:t>
      </w:r>
    </w:p>
    <w:p>
      <w:pPr>
        <w:numPr/>
        <w:pBdr/>
        <w:spacing w:before="156" w:beforeLines="50"/>
        <w:ind w:firstLine="420"/>
        <w:rPr>
          <w:rFonts w:hint="eastAsia" w:ascii="宋体" w:hAnsi="宋体" w:eastAsia="宋体"/>
          <w:sz w:val="24"/>
          <w:szCs w:val="24"/>
        </w:rPr>
      </w:pPr>
      <w:r>
        <w:rPr>
          <w:rFonts w:hint="eastAsia" w:ascii="宋体" w:hAnsi="宋体" w:eastAsia="宋体"/>
          <w:sz w:val="24"/>
          <w:szCs w:val="24"/>
        </w:rPr>
        <w:t>在全部1324名受访者中，1075人选择车外语音提示，占81.19%；1049人选择LED或警示灯，占79.23%。由于该题为多选题，各项比例不具有加总意义。</w:t>
      </w:r>
    </w:p>
    <w:p>
      <w:pPr>
        <w:numPr/>
        <w:pBdr/>
        <w:spacing w:before="156" w:beforeLines="50"/>
        <w:ind w:firstLine="420"/>
        <w:rPr>
          <w:rFonts w:hint="eastAsia" w:ascii="宋体" w:hAnsi="宋体" w:eastAsia="宋体"/>
          <w:sz w:val="24"/>
          <w:szCs w:val="24"/>
        </w:rPr>
      </w:pPr>
      <w:r>
        <w:rPr>
          <w:rFonts w:hint="eastAsia" w:ascii="宋体" w:hAnsi="宋体" w:eastAsia="宋体"/>
          <w:sz w:val="24"/>
          <w:szCs w:val="24"/>
        </w:rPr>
        <w:t>这一结果表明，受访者更偏好</w:t>
      </w:r>
      <w:r>
        <w:rPr>
          <w:rFonts w:hint="eastAsia" w:ascii="宋体" w:hAnsi="宋体" w:eastAsia="宋体"/>
          <w:b w:val="1"/>
          <w:color w:val="1450B8"/>
          <w:sz w:val="24"/>
          <w:szCs w:val="24"/>
        </w:rPr>
        <w:t>直接、即时、低学习成本</w:t>
      </w:r>
      <w:r>
        <w:rPr>
          <w:rFonts w:hint="eastAsia" w:ascii="宋体" w:hAnsi="宋体" w:eastAsia="宋体"/>
          <w:sz w:val="24"/>
          <w:szCs w:val="24"/>
        </w:rPr>
        <w:t>的风险提示方式。项目后续在人机交互设计中，应优先保证预警信号简单明确，并通过风险分级控制报警频率，避免过度提示导致报警疲劳。</w:t>
      </w:r>
    </w:p>
    <w:p>
      <w:pPr>
        <w:numPr/>
        <w:spacing w:before="156" w:beforeLines="50"/>
        <w:ind/>
        <w:rPr>
          <w:rFonts w:hint="eastAsia" w:ascii="宋体" w:hAnsi="宋体" w:eastAsia="宋体"/>
          <w:b w:val="1"/>
          <w:bCs w:val="1"/>
          <w:sz w:val="24"/>
          <w:szCs w:val="24"/>
        </w:rPr>
      </w:pPr>
      <w:r>
        <w:rPr>
          <w:rFonts w:hint="eastAsia" w:ascii="宋体" w:hAnsi="宋体" w:eastAsia="宋体"/>
          <w:b w:val="1"/>
          <w:bCs w:val="1"/>
          <w:sz w:val="24"/>
          <w:szCs w:val="24"/>
        </w:rPr>
        <w:t>（六）前期调研的边界与后续验证方向</w:t>
      </w:r>
    </w:p>
    <w:p>
      <w:pPr>
        <w:numPr/>
        <w:pBdr/>
        <w:spacing w:before="156" w:beforeLines="50"/>
        <w:ind w:firstLine="420"/>
        <w:rPr>
          <w:rFonts w:hint="eastAsia" w:ascii="宋体" w:hAnsi="宋体" w:eastAsia="宋体"/>
          <w:sz w:val="24"/>
          <w:szCs w:val="24"/>
        </w:rPr>
      </w:pPr>
      <w:r>
        <w:rPr>
          <w:rFonts w:hint="eastAsia" w:ascii="宋体" w:hAnsi="宋体" w:eastAsia="宋体"/>
          <w:sz w:val="24"/>
          <w:szCs w:val="24"/>
        </w:rPr>
        <w:t>现有问卷为项目提供了初步的需求信号，但仍存在三项局限：</w:t>
      </w:r>
    </w:p>
    <w:p>
      <w:pPr>
        <w:numPr/>
        <w:pBdr/>
        <w:spacing w:before="156" w:beforeLines="50"/>
        <w:ind w:firstLine="420"/>
        <w:rPr>
          <w:rFonts w:hint="eastAsia" w:ascii="宋体" w:hAnsi="宋体" w:eastAsia="宋体"/>
          <w:sz w:val="24"/>
          <w:szCs w:val="24"/>
        </w:rPr>
      </w:pPr>
      <w:r>
        <w:rPr>
          <w:rFonts w:hint="eastAsia" w:ascii="宋体" w:hAnsi="宋体" w:eastAsia="宋体"/>
          <w:sz w:val="24"/>
          <w:szCs w:val="24"/>
        </w:rPr>
        <w:t>第一，样本缺少完整的地域分布和抽样方法记录，不能代表全国货运行业总体情况；</w:t>
      </w:r>
    </w:p>
    <w:p>
      <w:pPr>
        <w:numPr/>
        <w:pBdr/>
        <w:spacing w:before="156" w:beforeLines="50"/>
        <w:ind w:firstLine="420"/>
        <w:rPr>
          <w:rFonts w:hint="eastAsia" w:ascii="宋体" w:hAnsi="宋体" w:eastAsia="宋体"/>
          <w:sz w:val="24"/>
          <w:szCs w:val="24"/>
        </w:rPr>
      </w:pPr>
      <w:r>
        <w:rPr>
          <w:rFonts w:hint="eastAsia" w:ascii="宋体" w:hAnsi="宋体" w:eastAsia="宋体"/>
          <w:sz w:val="24"/>
          <w:szCs w:val="24"/>
        </w:rPr>
        <w:t>第二，目标职业样本同时包含驾驶员和车队管理者，两类群体在使用需求和采购权限上存在差异；</w:t>
      </w:r>
    </w:p>
    <w:p>
      <w:pPr>
        <w:numPr/>
        <w:pBdr/>
        <w:spacing w:before="156" w:beforeLines="50"/>
        <w:ind w:firstLine="420"/>
        <w:rPr>
          <w:rFonts w:hint="eastAsia" w:ascii="宋体" w:hAnsi="宋体" w:eastAsia="宋体"/>
          <w:sz w:val="24"/>
          <w:szCs w:val="24"/>
        </w:rPr>
      </w:pPr>
      <w:r>
        <w:rPr>
          <w:rFonts w:hint="eastAsia" w:ascii="宋体" w:hAnsi="宋体" w:eastAsia="宋体"/>
          <w:sz w:val="24"/>
          <w:szCs w:val="24"/>
        </w:rPr>
        <w:t>第三，问卷反映的是主观安装意愿和价格判断，尚未经过真实采购和产品试装验证。</w:t>
      </w:r>
    </w:p>
    <w:p>
      <w:pPr>
        <w:numPr/>
        <w:pBdr/>
        <w:spacing w:before="156" w:beforeLines="50"/>
        <w:ind w:firstLine="420"/>
        <w:rPr>
          <w:rFonts w:hint="eastAsia" w:ascii="宋体" w:hAnsi="宋体" w:eastAsia="宋体"/>
          <w:sz w:val="24"/>
          <w:szCs w:val="24"/>
        </w:rPr>
      </w:pPr>
      <w:r>
        <w:rPr>
          <w:rFonts w:hint="eastAsia" w:ascii="宋体" w:hAnsi="宋体" w:eastAsia="宋体"/>
          <w:sz w:val="24"/>
          <w:szCs w:val="24"/>
        </w:rPr>
        <w:t>因此，下一阶段市场研究将从公众和个人问卷进一步转向</w:t>
      </w:r>
      <w:r>
        <w:rPr>
          <w:rFonts w:hint="eastAsia" w:ascii="宋体" w:hAnsi="宋体" w:eastAsia="宋体"/>
          <w:b w:val="1"/>
          <w:color w:val="1450B8"/>
          <w:sz w:val="24"/>
          <w:szCs w:val="24"/>
        </w:rPr>
        <w:t>企业级客户验证</w:t>
      </w:r>
      <w:r>
        <w:rPr>
          <w:rFonts w:hint="eastAsia" w:ascii="宋体" w:hAnsi="宋体" w:eastAsia="宋体"/>
          <w:sz w:val="24"/>
          <w:szCs w:val="24"/>
        </w:rPr>
        <w:t>，重点面向港口集卡运输、物流园区、工程运输企业及规模化半挂物流车队，通过安全负责人访谈、真实采购案例、试装反馈和正式询价，对客户需求强度、采购预算和决策流程进行进一步验证。</w:t>
      </w:r>
    </w:p>
    <w:p>
      <w:pPr>
        <w:spacing w:before="156" w:beforeLines="50"/>
        <w:ind/>
        <w:rPr>
          <w:rFonts w:hint="eastAsia" w:ascii="黑体" w:hAnsi="黑体" w:eastAsia="黑体"/>
          <w:b w:val="1"/>
          <w:bCs w:val="1"/>
          <w:sz w:val="28"/>
          <w:szCs w:val="28"/>
        </w:rPr>
      </w:pPr>
      <w:r>
        <w:rPr>
          <w:rFonts w:hint="eastAsia" w:ascii="黑体" w:hAnsi="黑体" w:eastAsia="黑体"/>
          <w:b w:val="1"/>
          <w:bCs w:val="1"/>
          <w:sz w:val="28"/>
          <w:szCs w:val="28"/>
        </w:rPr>
        <w:t>四、客户角色与采购逻辑</w:t>
      </w:r>
    </w:p>
    <w:p>
      <w:pPr>
        <w:numPr/>
        <w:spacing w:before="156" w:beforeLines="50"/>
        <w:ind/>
        <w:rPr>
          <w:rFonts w:hint="eastAsia" w:ascii="宋体" w:hAnsi="宋体" w:eastAsia="宋体"/>
          <w:b w:val="1"/>
          <w:bCs w:val="1"/>
          <w:sz w:val="24"/>
          <w:szCs w:val="24"/>
        </w:rPr>
      </w:pPr>
      <w:r>
        <w:rPr>
          <w:rFonts w:hint="eastAsia" w:ascii="宋体" w:hAnsi="宋体" w:eastAsia="宋体"/>
          <w:b w:val="1"/>
          <w:bCs w:val="1"/>
          <w:sz w:val="24"/>
          <w:szCs w:val="24"/>
        </w:rPr>
        <w:t>（一）产品直接使用者</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产品直接使用者主要为大型及铰接车辆驾驶员。其核心诉求集中于：</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1.预警具有足够提前量；</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2.报警准确且稳定；</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3.操作简单，不增加额外驾驶负担；</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4.设备不频繁产生无效报警；</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5.安装后不明显影响车辆正常运营。</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驾驶员的实际接受程度将直接影响产品长期启用率和预警效果。</w:t>
      </w:r>
    </w:p>
    <w:p>
      <w:pPr>
        <w:numPr/>
        <w:spacing w:before="156" w:beforeLines="50"/>
        <w:ind/>
        <w:rPr>
          <w:rFonts w:hint="eastAsia" w:ascii="宋体" w:hAnsi="宋体" w:eastAsia="宋体"/>
          <w:b w:val="1"/>
          <w:bCs w:val="1"/>
          <w:sz w:val="24"/>
          <w:szCs w:val="24"/>
        </w:rPr>
      </w:pPr>
      <w:r>
        <w:rPr>
          <w:rFonts w:hint="eastAsia" w:ascii="宋体" w:hAnsi="宋体" w:eastAsia="宋体"/>
          <w:b w:val="1"/>
          <w:bCs w:val="1"/>
          <w:sz w:val="24"/>
          <w:szCs w:val="24"/>
        </w:rPr>
        <w:t>（二）产品安全受益者</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产品安全受益主体包括驾驶员、行人、非机动车参与者以及车辆运营企业。行人和非机动车是重点保护对象，但通常不是车载预警设备的直接购买方。因此，社会安全价值与商业付费逻辑需要分别论证。</w:t>
      </w:r>
    </w:p>
    <w:p>
      <w:pPr>
        <w:numPr/>
        <w:spacing w:before="156" w:beforeLines="50"/>
        <w:ind/>
        <w:rPr>
          <w:rFonts w:hint="eastAsia" w:ascii="宋体" w:hAnsi="宋体" w:eastAsia="宋体"/>
          <w:b w:val="1"/>
          <w:bCs w:val="1"/>
          <w:sz w:val="24"/>
          <w:szCs w:val="24"/>
        </w:rPr>
      </w:pPr>
      <w:r>
        <w:rPr>
          <w:rFonts w:hint="eastAsia" w:ascii="宋体" w:hAnsi="宋体" w:eastAsia="宋体"/>
          <w:b w:val="1"/>
          <w:bCs w:val="1"/>
          <w:sz w:val="24"/>
          <w:szCs w:val="24"/>
        </w:rPr>
        <w:t>（三）采购决策者</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对于规模化B端客户，设备采购可能涉及企业安全管理部门、车队负责人、运营管理部门、采购部门及企业管理层。不同主体关注重点不同：</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1.</w:t>
      </w:r>
      <w:r>
        <w:rPr>
          <w:rFonts w:hint="eastAsia" w:ascii="宋体" w:hAnsi="宋体" w:eastAsia="宋体"/>
          <w:b w:val="1"/>
          <w:color w:val="1450B8"/>
          <w:sz w:val="24"/>
          <w:szCs w:val="24"/>
        </w:rPr>
        <w:t>安全管理部门</w:t>
      </w:r>
      <w:r>
        <w:rPr>
          <w:rFonts w:hint="eastAsia" w:ascii="宋体" w:hAnsi="宋体" w:eastAsia="宋体"/>
          <w:sz w:val="24"/>
          <w:szCs w:val="24"/>
        </w:rPr>
        <w:t>关注事故风险、合规和安全考核；</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2.</w:t>
      </w:r>
      <w:r>
        <w:rPr>
          <w:rFonts w:hint="eastAsia" w:ascii="宋体" w:hAnsi="宋体" w:eastAsia="宋体"/>
          <w:b w:val="1"/>
          <w:color w:val="1450B8"/>
          <w:sz w:val="24"/>
          <w:szCs w:val="24"/>
        </w:rPr>
        <w:t>车队运营部门</w:t>
      </w:r>
      <w:r>
        <w:rPr>
          <w:rFonts w:hint="eastAsia" w:ascii="宋体" w:hAnsi="宋体" w:eastAsia="宋体"/>
          <w:sz w:val="24"/>
          <w:szCs w:val="24"/>
        </w:rPr>
        <w:t>关注安装时间、可靠性和车辆停运影响；</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3.</w:t>
      </w:r>
      <w:r>
        <w:rPr>
          <w:rFonts w:hint="eastAsia" w:ascii="宋体" w:hAnsi="宋体" w:eastAsia="宋体"/>
          <w:b w:val="1"/>
          <w:color w:val="1450B8"/>
          <w:sz w:val="24"/>
          <w:szCs w:val="24"/>
        </w:rPr>
        <w:t>采购部门</w:t>
      </w:r>
      <w:r>
        <w:rPr>
          <w:rFonts w:hint="eastAsia" w:ascii="宋体" w:hAnsi="宋体" w:eastAsia="宋体"/>
          <w:sz w:val="24"/>
          <w:szCs w:val="24"/>
        </w:rPr>
        <w:t>关注产品价格、供应能力和售后服务；</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4.</w:t>
      </w:r>
      <w:r>
        <w:rPr>
          <w:rFonts w:hint="eastAsia" w:ascii="宋体" w:hAnsi="宋体" w:eastAsia="宋体"/>
          <w:b w:val="1"/>
          <w:color w:val="1450B8"/>
          <w:sz w:val="24"/>
          <w:szCs w:val="24"/>
        </w:rPr>
        <w:t>企业管理层</w:t>
      </w:r>
      <w:r>
        <w:rPr>
          <w:rFonts w:hint="eastAsia" w:ascii="宋体" w:hAnsi="宋体" w:eastAsia="宋体"/>
          <w:sz w:val="24"/>
          <w:szCs w:val="24"/>
        </w:rPr>
        <w:t>关注总体投入、风险降低和投资回报。</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因此，本项目后续销售逻辑应围绕企业整体安全价值建立，而非仅向驾驶员展示单一功能。</w:t>
      </w:r>
    </w:p>
    <w:p>
      <w:pPr>
        <w:numPr/>
        <w:spacing w:before="156" w:beforeLines="50"/>
        <w:ind/>
        <w:rPr>
          <w:rFonts w:hint="eastAsia" w:ascii="宋体" w:hAnsi="宋体" w:eastAsia="宋体"/>
          <w:b w:val="1"/>
          <w:bCs w:val="1"/>
          <w:sz w:val="24"/>
          <w:szCs w:val="24"/>
        </w:rPr>
      </w:pPr>
      <w:r>
        <w:rPr>
          <w:rFonts w:hint="eastAsia" w:ascii="宋体" w:hAnsi="宋体" w:eastAsia="宋体"/>
          <w:b w:val="1"/>
          <w:bCs w:val="1"/>
          <w:sz w:val="24"/>
          <w:szCs w:val="24"/>
        </w:rPr>
        <w:t>（四）实际付费主体</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结合当前应用场景，项目潜在付费主体主要包括：</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1.港口及物流园区运营主体；</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2.大中型物流及半挂运输车队；</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3.渣土、搅拌及其他工程运输企业；</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4.危险品等高安全要求运输企业；</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5.后续产业化阶段的挂车生产企业、商用车主机厂及汽车电子企业。</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现阶段上述客户均属于候选市场，需要在第六部分进一步通过市场规模、痛点强度、支付能力、客户集中度和获客难度进行排序，并确定首个切入市场。</w:t>
      </w:r>
    </w:p>
    <w:p>
      <w:pPr>
        <w:numPr/>
        <w:spacing w:before="156" w:beforeLines="50"/>
        <w:ind/>
        <w:rPr>
          <w:rFonts w:hint="eastAsia" w:ascii="宋体" w:hAnsi="宋体" w:eastAsia="宋体"/>
          <w:b w:val="1"/>
          <w:bCs w:val="1"/>
          <w:sz w:val="24"/>
          <w:szCs w:val="24"/>
        </w:rPr>
      </w:pPr>
      <w:r>
        <w:rPr>
          <w:rFonts w:hint="eastAsia" w:ascii="宋体" w:hAnsi="宋体" w:eastAsia="宋体"/>
          <w:b w:val="1"/>
          <w:bCs w:val="1"/>
          <w:sz w:val="24"/>
          <w:szCs w:val="24"/>
        </w:rPr>
        <w:t>（五）客户采购的核心影响因素</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综合前期调研及B端主动安全产品特点，项目将客户采购因素归纳为五个方面：</w:t>
      </w:r>
    </w:p>
    <w:p>
      <w:pPr>
        <w:pBdr/>
        <w:spacing w:before="156" w:beforeLines="50"/>
        <w:ind w:firstLine="420"/>
        <w:rPr>
          <w:rFonts w:hint="eastAsia" w:ascii="宋体" w:hAnsi="宋体" w:eastAsia="宋体"/>
          <w:sz w:val="24"/>
          <w:szCs w:val="24"/>
        </w:rPr>
      </w:pPr>
      <w:r>
        <w:rPr>
          <w:rFonts w:hint="eastAsia" w:ascii="宋体" w:hAnsi="宋体" w:eastAsia="宋体"/>
          <w:b w:val="1"/>
          <w:color w:val="1450B8"/>
          <w:sz w:val="24"/>
          <w:szCs w:val="24"/>
        </w:rPr>
        <w:t>安全价值。</w:t>
      </w:r>
      <w:r>
        <w:rPr>
          <w:rFonts w:hint="eastAsia" w:ascii="宋体" w:hAnsi="宋体" w:eastAsia="宋体"/>
          <w:sz w:val="24"/>
          <w:szCs w:val="24"/>
        </w:rPr>
        <w:t xml:space="preserve"> 产品能否准确识别高风险场景，并提供有效的预警提前量。</w:t>
      </w:r>
    </w:p>
    <w:p>
      <w:pPr>
        <w:pBdr/>
        <w:spacing w:before="156" w:beforeLines="50"/>
        <w:ind w:firstLine="420"/>
        <w:rPr>
          <w:rFonts w:hint="eastAsia" w:ascii="宋体" w:hAnsi="宋体" w:eastAsia="宋体"/>
          <w:sz w:val="24"/>
          <w:szCs w:val="24"/>
        </w:rPr>
      </w:pPr>
      <w:r>
        <w:rPr>
          <w:rFonts w:hint="eastAsia" w:ascii="宋体" w:hAnsi="宋体" w:eastAsia="宋体"/>
          <w:b w:val="1"/>
          <w:color w:val="1450B8"/>
          <w:sz w:val="24"/>
          <w:szCs w:val="24"/>
        </w:rPr>
        <w:t>经济价值。</w:t>
      </w:r>
      <w:r>
        <w:rPr>
          <w:rFonts w:hint="eastAsia" w:ascii="宋体" w:hAnsi="宋体" w:eastAsia="宋体"/>
          <w:sz w:val="24"/>
          <w:szCs w:val="24"/>
        </w:rPr>
        <w:t xml:space="preserve"> 产品投入与潜在事故损失、停运成本和管理成本之间是否具有合理关系。</w:t>
      </w:r>
    </w:p>
    <w:p>
      <w:pPr>
        <w:pBdr/>
        <w:spacing w:before="156" w:beforeLines="50"/>
        <w:ind w:firstLine="420"/>
        <w:rPr>
          <w:rFonts w:hint="eastAsia" w:ascii="宋体" w:hAnsi="宋体" w:eastAsia="宋体"/>
          <w:sz w:val="24"/>
          <w:szCs w:val="24"/>
        </w:rPr>
      </w:pPr>
      <w:r>
        <w:rPr>
          <w:rFonts w:hint="eastAsia" w:ascii="宋体" w:hAnsi="宋体" w:eastAsia="宋体"/>
          <w:b w:val="1"/>
          <w:color w:val="1450B8"/>
          <w:sz w:val="24"/>
          <w:szCs w:val="24"/>
        </w:rPr>
        <w:t>工程可行性。</w:t>
      </w:r>
      <w:r>
        <w:rPr>
          <w:rFonts w:hint="eastAsia" w:ascii="宋体" w:hAnsi="宋体" w:eastAsia="宋体"/>
          <w:sz w:val="24"/>
          <w:szCs w:val="24"/>
        </w:rPr>
        <w:t xml:space="preserve"> 安装、标定、维护是否方便，能否适配不同车型并长期稳定运行。</w:t>
      </w:r>
    </w:p>
    <w:p>
      <w:pPr>
        <w:pBdr/>
        <w:spacing w:before="156" w:beforeLines="50"/>
        <w:ind w:firstLine="420"/>
        <w:rPr>
          <w:rFonts w:hint="eastAsia" w:ascii="宋体" w:hAnsi="宋体" w:eastAsia="宋体"/>
          <w:sz w:val="24"/>
          <w:szCs w:val="24"/>
        </w:rPr>
      </w:pPr>
      <w:r>
        <w:rPr>
          <w:rFonts w:hint="eastAsia" w:ascii="宋体" w:hAnsi="宋体" w:eastAsia="宋体"/>
          <w:b w:val="1"/>
          <w:color w:val="1450B8"/>
          <w:sz w:val="24"/>
          <w:szCs w:val="24"/>
        </w:rPr>
        <w:t>使用体验。</w:t>
      </w:r>
      <w:r>
        <w:rPr>
          <w:rFonts w:hint="eastAsia" w:ascii="宋体" w:hAnsi="宋体" w:eastAsia="宋体"/>
          <w:sz w:val="24"/>
          <w:szCs w:val="24"/>
        </w:rPr>
        <w:t xml:space="preserve"> 误报警、漏报警及报警频率能否维持在可接受水平。</w:t>
      </w:r>
    </w:p>
    <w:p>
      <w:pPr>
        <w:pBdr/>
        <w:spacing w:before="156" w:beforeLines="50"/>
        <w:ind w:firstLine="420"/>
        <w:rPr>
          <w:rFonts w:hint="eastAsia" w:ascii="宋体" w:hAnsi="宋体" w:eastAsia="宋体"/>
          <w:sz w:val="24"/>
          <w:szCs w:val="24"/>
        </w:rPr>
      </w:pPr>
      <w:r>
        <w:rPr>
          <w:rFonts w:hint="eastAsia" w:ascii="宋体" w:hAnsi="宋体" w:eastAsia="宋体"/>
          <w:b w:val="1"/>
          <w:color w:val="1450B8"/>
          <w:sz w:val="24"/>
          <w:szCs w:val="24"/>
        </w:rPr>
        <w:t>服务保障。</w:t>
      </w:r>
      <w:r>
        <w:rPr>
          <w:rFonts w:hint="eastAsia" w:ascii="宋体" w:hAnsi="宋体" w:eastAsia="宋体"/>
          <w:sz w:val="24"/>
          <w:szCs w:val="24"/>
        </w:rPr>
        <w:t xml:space="preserve"> 供应商能否提供持续维护、技术支持、算法升级及后续数据服务。</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上述因素将在后续真实客户访谈和试点过程中进一步量化，并作为产品定型、价格设计和GTM策略的重要依据。</w:t>
      </w:r>
    </w:p>
    <w:p>
      <w:pPr>
        <w:spacing w:before="156" w:beforeLines="50"/>
        <w:ind/>
        <w:rPr>
          <w:rFonts w:hint="eastAsia" w:ascii="黑体" w:hAnsi="黑体" w:eastAsia="黑体"/>
          <w:b w:val="1"/>
          <w:bCs w:val="1"/>
          <w:sz w:val="28"/>
          <w:szCs w:val="28"/>
        </w:rPr>
      </w:pPr>
      <w:r>
        <w:rPr>
          <w:rFonts w:hint="eastAsia" w:ascii="黑体" w:hAnsi="黑体" w:eastAsia="黑体"/>
          <w:b w:val="1"/>
          <w:bCs w:val="1"/>
          <w:sz w:val="28"/>
          <w:szCs w:val="28"/>
        </w:rPr>
        <w:t>五、市场需求验证结论</w:t>
      </w:r>
    </w:p>
    <w:p>
      <w:pPr>
        <w:numPr/>
        <w:spacing w:before="156" w:beforeLines="50"/>
        <w:ind/>
        <w:rPr>
          <w:rFonts w:hint="eastAsia" w:ascii="宋体" w:hAnsi="宋体" w:eastAsia="宋体"/>
          <w:b w:val="1"/>
          <w:bCs w:val="1"/>
          <w:sz w:val="24"/>
          <w:szCs w:val="24"/>
        </w:rPr>
      </w:pPr>
      <w:r>
        <w:rPr>
          <w:rFonts w:hint="eastAsia" w:ascii="宋体" w:hAnsi="宋体" w:eastAsia="宋体"/>
          <w:b w:val="1"/>
          <w:bCs w:val="1"/>
          <w:sz w:val="24"/>
          <w:szCs w:val="24"/>
        </w:rPr>
        <w:t>（一）安全痛点具有明确现实基础</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我国公路营运牵引车和挂车具备较大的现实车辆基础，多地交通管理部门已经通过右转停车让行、危险区域警示、声光报警以及盲区监测等方式持续治理大型车辆右转风险。国家道路交通安全规划亦明确提出推动在用重型货车安装右侧盲区消除预警装置。</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因此，大型车辆右转安全并非由项目团队人为构造的需求，而是已经进入</w:t>
      </w:r>
      <w:r>
        <w:rPr>
          <w:rFonts w:hint="eastAsia" w:ascii="宋体" w:hAnsi="宋体" w:eastAsia="宋体"/>
          <w:b w:val="1"/>
          <w:color w:val="1450B8"/>
          <w:sz w:val="24"/>
          <w:szCs w:val="24"/>
        </w:rPr>
        <w:t>交通治理、车辆安全装备和企业安全管理</w:t>
      </w:r>
      <w:r>
        <w:rPr>
          <w:rFonts w:hint="eastAsia" w:ascii="宋体" w:hAnsi="宋体" w:eastAsia="宋体"/>
          <w:sz w:val="24"/>
          <w:szCs w:val="24"/>
        </w:rPr>
        <w:t>多个环节的现实问题。</w:t>
      </w:r>
    </w:p>
    <w:p>
      <w:pPr>
        <w:numPr/>
        <w:spacing w:before="156" w:beforeLines="50"/>
        <w:ind/>
        <w:rPr>
          <w:rFonts w:hint="eastAsia" w:ascii="宋体" w:hAnsi="宋体" w:eastAsia="宋体"/>
          <w:b w:val="1"/>
          <w:bCs w:val="1"/>
          <w:sz w:val="24"/>
          <w:szCs w:val="24"/>
        </w:rPr>
      </w:pPr>
      <w:r>
        <w:rPr>
          <w:rFonts w:hint="eastAsia" w:ascii="宋体" w:hAnsi="宋体" w:eastAsia="宋体"/>
          <w:b w:val="1"/>
          <w:bCs w:val="1"/>
          <w:sz w:val="24"/>
          <w:szCs w:val="24"/>
        </w:rPr>
        <w:t>（二）需求正在由社会安全价值向企业管理价值延伸</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对于车辆集中运营主体，右转安全风险同时涉及驾驶安全、企业运营和安全管理。地方主动安全设备安装及港区专项治理案例说明，企业和管理部门已经存在通过技术装备降低风险的实践基础。</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团队前期问卷进一步显示，目标职业样本对安装预警设备具有较高意愿，但价格敏感程度同样明显。因此，产品商业化需要在</w:t>
      </w:r>
      <w:r>
        <w:rPr>
          <w:rFonts w:hint="eastAsia" w:ascii="宋体" w:hAnsi="宋体" w:eastAsia="宋体"/>
          <w:b w:val="1"/>
          <w:color w:val="1450B8"/>
          <w:sz w:val="24"/>
          <w:szCs w:val="24"/>
        </w:rPr>
        <w:t>有效风险降低、产品成本和客户支付能力</w:t>
      </w:r>
      <w:r>
        <w:rPr>
          <w:rFonts w:hint="eastAsia" w:ascii="宋体" w:hAnsi="宋体" w:eastAsia="宋体"/>
          <w:sz w:val="24"/>
          <w:szCs w:val="24"/>
        </w:rPr>
        <w:t>之间形成平衡。</w:t>
      </w:r>
    </w:p>
    <w:p>
      <w:pPr>
        <w:numPr/>
        <w:spacing w:before="156" w:beforeLines="50"/>
        <w:ind/>
        <w:rPr>
          <w:rFonts w:hint="eastAsia" w:ascii="宋体" w:hAnsi="宋体" w:eastAsia="宋体"/>
          <w:b w:val="1"/>
          <w:bCs w:val="1"/>
          <w:sz w:val="24"/>
          <w:szCs w:val="24"/>
        </w:rPr>
      </w:pPr>
      <w:r>
        <w:rPr>
          <w:rFonts w:hint="eastAsia" w:ascii="宋体" w:hAnsi="宋体" w:eastAsia="宋体"/>
          <w:b w:val="1"/>
          <w:bCs w:val="1"/>
          <w:sz w:val="24"/>
          <w:szCs w:val="24"/>
        </w:rPr>
        <w:t>（三）商业需求仍需通过真实B端采购进一步闭环</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当前已有资料能够支持“问题真实存在”和“目标群体具有初步需求”，但尚不足以证明具体客户群体的真实采购转化率。</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项目下一阶段市场验证重点将集中于：</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1.确定事故风险和安全投入最集中的首批客户场景；</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2.访谈具有真实预算和采购权限的企业安全负责人；</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3.获取现有主动安全设备真实采购与安装价格；</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4.通过小规模试装验证预警效果、驾驶员接受度和安装成本；</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5.将真实客户数据进一步转化为产品定价、市场规模和财务预测依据。</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由此，项目市场验证将由“需求意向验证”</w:t>
      </w:r>
      <w:r>
        <w:rPr>
          <w:rFonts w:hint="eastAsia" w:ascii="宋体" w:hAnsi="宋体" w:eastAsia="宋体"/>
          <w:b w:val="1"/>
          <w:color w:val="1450B8"/>
          <w:sz w:val="24"/>
          <w:szCs w:val="24"/>
        </w:rPr>
        <w:t>逐步进入</w:t>
      </w:r>
      <w:r>
        <w:rPr>
          <w:rFonts w:hint="eastAsia" w:ascii="宋体" w:hAnsi="宋体" w:eastAsia="宋体"/>
          <w:sz w:val="24"/>
          <w:szCs w:val="24"/>
        </w:rPr>
        <w:t>“真实采购验证”阶段，为后续目标市场选择、商业模式和规模化推广提供依据。</w:t>
      </w:r>
    </w:p>
    <w:p>
      <w:pPr>
        <w:pBdr/>
        <w:spacing w:before="156" w:beforeLines="50"/>
        <w:ind w:firstLine="420"/>
        <w:rPr>
          <w:rFonts w:hint="eastAsia" w:ascii="宋体" w:hAnsi="宋体" w:eastAsia="宋体"/>
          <w:sz w:val="24"/>
          <w:szCs w:val="24"/>
        </w:rPr>
      </w:pPr>
    </w:p>
    <w:p>
      <w:pPr>
        <w:pBdr/>
        <w:spacing w:before="156" w:beforeLines="50"/>
        <w:ind w:firstLine="420"/>
        <w:rPr>
          <w:rFonts w:hint="eastAsia" w:ascii="宋体" w:hAnsi="宋体" w:eastAsia="宋体"/>
          <w:sz w:val="24"/>
          <w:szCs w:val="24"/>
        </w:rPr>
      </w:pPr>
    </w:p>
    <w:p>
      <w:pPr>
        <w:pBdr/>
        <w:spacing w:before="156" w:beforeLines="50"/>
        <w:ind w:firstLine="420"/>
        <w:rPr>
          <w:rFonts w:hint="eastAsia" w:ascii="宋体" w:hAnsi="宋体" w:eastAsia="宋体"/>
          <w:sz w:val="24"/>
          <w:szCs w:val="24"/>
        </w:rPr>
      </w:pPr>
    </w:p>
    <w:p>
      <w:pPr>
        <w:pBdr/>
        <w:spacing w:before="156" w:beforeLines="50"/>
        <w:ind w:firstLine="420"/>
        <w:rPr>
          <w:rFonts w:hint="eastAsia" w:ascii="宋体" w:hAnsi="宋体" w:eastAsia="宋体"/>
          <w:sz w:val="24"/>
          <w:szCs w:val="24"/>
        </w:rPr>
      </w:pPr>
    </w:p>
    <w:p>
      <w:pPr>
        <w:pBdr/>
        <w:spacing w:before="156" w:beforeLines="50"/>
        <w:ind w:firstLine="420"/>
        <w:rPr>
          <w:rFonts w:hint="eastAsia" w:ascii="宋体" w:hAnsi="宋体" w:eastAsia="宋体"/>
          <w:sz w:val="24"/>
          <w:szCs w:val="24"/>
        </w:rPr>
      </w:pPr>
    </w:p>
    <w:p>
      <w:pPr>
        <w:pBdr>
          <w:bottom/>
        </w:pBdr>
        <w:spacing w:before="156" w:beforeLines="50"/>
        <w:ind w:firstLine="420"/>
        <w:rPr>
          <w:rFonts w:hint="eastAsia" w:ascii="宋体" w:hAnsi="宋体" w:eastAsia="宋体"/>
          <w:sz w:val="24"/>
          <w:szCs w:val="24"/>
        </w:rPr>
      </w:pPr>
      <w:r>
        <w:rPr>
          <w:rFonts w:hint="eastAsia" w:ascii="宋体" w:hAnsi="宋体" w:eastAsia="宋体"/>
          <w:sz w:val="24"/>
          <w:szCs w:val="24"/>
        </w:rPr>
        <w:t xml:space="preserve">   </w:t>
      </w:r>
    </w:p>
    <w:p>
      <w:pPr>
        <w:ind/>
        <w:jc w:val="center"/>
        <w:rPr>
          <w:rFonts w:hint="eastAsia" w:ascii="黑体" w:hAnsi="黑体" w:eastAsia="黑体"/>
          <w:b w:val="1"/>
          <w:bCs w:val="1"/>
          <w:color w:val="215E99" w:themeColor="text2" w:themeTint="BF"/>
          <w:sz w:val="36"/>
          <w:szCs w:val="36"/>
        </w:rPr>
      </w:pPr>
      <w:r>
        <w:rPr>
          <w:rFonts w:hint="eastAsia" w:ascii="黑体" w:hAnsi="黑体" w:eastAsia="黑体"/>
          <w:b w:val="1"/>
          <w:bCs w:val="1"/>
          <w:color w:val="215E99" w:themeColor="text2" w:themeTint="BF"/>
          <w:sz w:val="36"/>
          <w:szCs w:val="36"/>
          <w14:shadow w14:blurRad="50800" w14:dist="38100" w14:dir="2700000" w14:sx="100000" w14:sy="100000" w14:kx="0" w14:ky="0" w14:algn="tl">
            <w14:srgbClr w14:val="000000">
              <w14:alpha w14:val="60000"/>
            </w14:srgbClr>
          </w14:shadow>
        </w:rPr>
        <w:t>第三部分：</w:t>
      </w:r>
      <w:r>
        <w:rPr>
          <w:rFonts w:hint="eastAsia" w:ascii="黑体" w:hAnsi="黑体" w:eastAsia="黑体"/>
          <w:b w:val="1"/>
          <w:bCs w:val="1"/>
          <w:color w:val="215E99" w:themeColor="text2" w:themeTint="BF"/>
          <w:sz w:val="36"/>
          <w:szCs w:val="36"/>
          <w14:shadow w14:blurRad="50800" w14:dist="38100" w14:dir="2700000" w14:sx="100000" w14:sy="100000" w14:kx="0" w14:ky="0" w14:algn="tl">
            <w14:srgbClr w14:val="000000">
              <w14:alpha w14:val="60000"/>
            </w14:srgbClr>
          </w14:shadow>
        </w:rPr>
        <w:t>现有解决方案与市场缺口</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大型车辆右转安全已经形成由</w:t>
      </w:r>
      <w:r>
        <w:rPr>
          <w:rFonts w:hint="eastAsia" w:ascii="宋体" w:hAnsi="宋体" w:eastAsia="宋体"/>
          <w:b w:val="1"/>
          <w:color w:val="1450B8"/>
          <w:sz w:val="24"/>
          <w:szCs w:val="24"/>
        </w:rPr>
        <w:t>传统驾驶辅助、企业安全管理、道路交通治理和车载主动安全技术</w:t>
      </w:r>
      <w:r>
        <w:rPr>
          <w:rFonts w:hint="eastAsia" w:ascii="宋体" w:hAnsi="宋体" w:eastAsia="宋体"/>
          <w:sz w:val="24"/>
          <w:szCs w:val="24"/>
        </w:rPr>
        <w:t>共同构成的多层次解决体系。随着毫米波雷达、计算机视觉及ADAS技术不断发展，市场竞争已由单纯扩大驾驶视野逐步向目标识别、动态风险判断和碰撞预警延伸。</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因此，本项目面对的并非空白市场。判断“盲区驭智”是否具备商业价值，需要在充分承认现有方案能力的基础上，进一步识别其在</w:t>
      </w:r>
      <w:r>
        <w:rPr>
          <w:rFonts w:hint="eastAsia" w:ascii="宋体" w:hAnsi="宋体" w:eastAsia="宋体"/>
          <w:b w:val="1"/>
          <w:color w:val="1450B8"/>
          <w:sz w:val="24"/>
          <w:szCs w:val="24"/>
        </w:rPr>
        <w:t>铰接车辆运动表达、未来车身扫掠风险计算、预警有效性以及存量车辆工程化交付</w:t>
      </w:r>
      <w:r>
        <w:rPr>
          <w:rFonts w:hint="eastAsia" w:ascii="宋体" w:hAnsi="宋体" w:eastAsia="宋体"/>
          <w:sz w:val="24"/>
          <w:szCs w:val="24"/>
        </w:rPr>
        <w:t>等方面仍存在的需求空间。</w:t>
      </w:r>
    </w:p>
    <w:p>
      <w:pPr>
        <w:numPr/>
        <w:pBdr>
          <w:bottom/>
        </w:pBdr>
        <w:spacing w:before="156" w:beforeLines="50"/>
        <w:ind/>
        <w:rPr>
          <w:rFonts w:hint="eastAsia" w:ascii="黑体" w:hAnsi="黑体" w:eastAsia="黑体"/>
          <w:b w:val="1"/>
          <w:bCs w:val="1"/>
          <w:sz w:val="28"/>
          <w:szCs w:val="28"/>
        </w:rPr>
      </w:pPr>
      <w:r>
        <w:rPr>
          <w:rFonts w:hint="eastAsia" w:ascii="黑体" w:hAnsi="黑体" w:eastAsia="黑体"/>
          <w:b w:val="1"/>
          <w:bCs w:val="1"/>
          <w:sz w:val="28"/>
          <w:szCs w:val="28"/>
        </w:rPr>
        <w:t>一、传统驾驶辅助与人工管理方案</w:t>
      </w:r>
    </w:p>
    <w:p>
      <w:pPr>
        <w:numPr/>
        <w:spacing w:before="156" w:beforeLines="50"/>
        <w:ind/>
        <w:rPr>
          <w:rFonts w:hint="eastAsia" w:ascii="宋体" w:hAnsi="宋体" w:eastAsia="宋体"/>
          <w:b w:val="1"/>
          <w:bCs w:val="1"/>
          <w:sz w:val="24"/>
          <w:szCs w:val="24"/>
        </w:rPr>
      </w:pPr>
      <w:r>
        <w:rPr>
          <w:rFonts w:hint="eastAsia" w:ascii="宋体" w:hAnsi="宋体" w:eastAsia="宋体"/>
          <w:b w:val="1"/>
          <w:bCs w:val="1"/>
          <w:sz w:val="24"/>
          <w:szCs w:val="24"/>
        </w:rPr>
        <w:t>（一）后视镜及广角镜</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后视镜、广角镜等是大型车辆最基础的安全辅助设备，具有技术成熟、成本较低、使用习惯稳定等特点，能够扩大驾驶员对车辆侧后方区域的观察范围。</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其主要作用仍是向驾驶员提供周边环境信息，风险识别和驾驶决策由驾驶员完成。对于半挂车等铰接车辆，右转过程中牵引车与挂车相对姿态持续变化，驾驶员还需结合经验判断挂车后部实际运动范围。因此，该类装置可以改善“能否看见”的问题，但无法独立完成动态碰撞风险计算。</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传统后视镜不会因主动安全技术发展而退出市场，而将长期作为基础驾驶安全装备与主动预警系统共同使用。</w:t>
      </w:r>
    </w:p>
    <w:p>
      <w:pPr>
        <w:numPr/>
        <w:spacing w:before="156" w:beforeLines="50"/>
        <w:ind/>
        <w:rPr>
          <w:rFonts w:hint="eastAsia" w:ascii="宋体" w:hAnsi="宋体" w:eastAsia="宋体"/>
          <w:b w:val="1"/>
          <w:bCs w:val="1"/>
          <w:sz w:val="24"/>
          <w:szCs w:val="24"/>
        </w:rPr>
      </w:pPr>
      <w:r>
        <w:rPr>
          <w:rFonts w:hint="eastAsia" w:ascii="宋体" w:hAnsi="宋体" w:eastAsia="宋体"/>
          <w:b w:val="1"/>
          <w:bCs w:val="1"/>
          <w:sz w:val="24"/>
          <w:szCs w:val="24"/>
        </w:rPr>
        <w:t>(二）驾驶员观察与安全培训</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驾驶员培训、限速管理、安全考核、事故案例教育和右转操作规范，是运输企业控制道路交通风险的重要手段。相比新增车载设备，这类措施实施门槛较低，也能够覆盖企业日常安全管理的多个环节。</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但大型车辆右转时，驾驶员需要同时处理减速、转向、路况观察、后视镜信息以及行人和非机动车运动等多项任务。安全培训能够改善操作规范，却无法实时量化车辆未来车身运动范围以及车辆与周边目标之间的时空冲突。</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因此，车载主动预警系统的商业价值并不是替代驾驶员和企业安全管理，而是通过自动化风险计算降低驾驶员在高风险工况下的信息处理负荷。</w:t>
      </w:r>
    </w:p>
    <w:p>
      <w:pPr>
        <w:numPr/>
        <w:spacing w:before="156" w:beforeLines="50"/>
        <w:ind/>
        <w:rPr>
          <w:rFonts w:hint="eastAsia" w:ascii="宋体" w:hAnsi="宋体" w:eastAsia="宋体"/>
          <w:b w:val="1"/>
          <w:bCs w:val="1"/>
          <w:sz w:val="24"/>
          <w:szCs w:val="24"/>
        </w:rPr>
      </w:pPr>
      <w:r>
        <w:rPr>
          <w:rFonts w:hint="eastAsia" w:ascii="宋体" w:hAnsi="宋体" w:eastAsia="宋体"/>
          <w:b w:val="1"/>
          <w:bCs w:val="1"/>
          <w:sz w:val="24"/>
          <w:szCs w:val="24"/>
        </w:rPr>
        <w:t>（三）“右转必停”等管理措施</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针对大型车辆右转风险，国内多地已经实施“右转必停”、内轮差危险区警示带、企业安全教育和路口监管等治理措施。</w:t>
      </w:r>
    </w:p>
    <w:p>
      <w:pPr>
        <w:pBdr/>
        <w:spacing w:before="156" w:beforeLines="50"/>
        <w:ind w:firstLine="420"/>
        <w:rPr>
          <w:rFonts w:hint="eastAsia" w:ascii="宋体" w:hAnsi="宋体" w:eastAsia="宋体"/>
          <w:sz w:val="24"/>
          <w:szCs w:val="24"/>
          <w:u w:val="single"/>
        </w:rPr>
      </w:pPr>
      <w:r>
        <w:rPr>
          <w:rFonts w:hint="eastAsia" w:ascii="宋体" w:hAnsi="宋体" w:eastAsia="宋体"/>
          <w:sz w:val="24"/>
          <w:szCs w:val="24"/>
        </w:rPr>
        <w:t>例如，</w:t>
      </w:r>
      <w:r>
        <w:rPr>
          <w:rFonts w:hint="eastAsia" w:ascii="宋体" w:hAnsi="宋体" w:eastAsia="宋体"/>
          <w:sz w:val="24"/>
          <w:szCs w:val="24"/>
          <w:u w:val="single"/>
        </w:rPr>
        <w:t>银川交警在大型车辆通行较集中的路口施划右转危险区，并在部分事故风险较高路口试行“大货车右转必停”；南京交警持续推进中大型货车“右转必停”，并结合企业安全教育、电子警察和数据监管强化执行。</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这说明管理手段本身就是解决大型车辆右转安全问题的现实方案。其优势在于实施直接、易于形成统一行为规范；局限则在于持续依赖驾驶员执行和道路管理条件。对于运行区域分散、道路类型复杂的车辆，车端主动安全技术仍具有补充价值。</w:t>
      </w:r>
    </w:p>
    <w:p>
      <w:pPr>
        <w:numPr/>
        <w:pBdr>
          <w:bottom/>
        </w:pBdr>
        <w:spacing w:before="156" w:beforeLines="50"/>
        <w:ind/>
        <w:rPr>
          <w:rFonts w:hint="eastAsia" w:ascii="黑体" w:hAnsi="黑体" w:eastAsia="黑体"/>
          <w:b w:val="1"/>
          <w:bCs w:val="1"/>
          <w:sz w:val="28"/>
          <w:szCs w:val="28"/>
        </w:rPr>
      </w:pPr>
      <w:r>
        <w:rPr>
          <w:rFonts w:hint="eastAsia" w:ascii="黑体" w:hAnsi="黑体" w:eastAsia="黑体"/>
          <w:b w:val="1"/>
          <w:bCs w:val="1"/>
          <w:sz w:val="28"/>
          <w:szCs w:val="28"/>
        </w:rPr>
        <w:t>二、现有车辆主动安全技术方案</w:t>
      </w:r>
    </w:p>
    <w:p>
      <w:pPr>
        <w:numPr/>
        <w:spacing w:before="156" w:beforeLines="50"/>
        <w:ind/>
        <w:rPr>
          <w:rFonts w:hint="eastAsia" w:ascii="宋体" w:hAnsi="宋体" w:eastAsia="宋体"/>
          <w:b w:val="1"/>
          <w:bCs w:val="1"/>
          <w:sz w:val="24"/>
          <w:szCs w:val="24"/>
        </w:rPr>
      </w:pPr>
      <w:r>
        <w:rPr>
          <w:rFonts w:hint="eastAsia" w:ascii="宋体" w:hAnsi="宋体" w:eastAsia="宋体"/>
          <w:b w:val="1"/>
          <w:bCs w:val="1"/>
          <w:sz w:val="24"/>
          <w:szCs w:val="24"/>
        </w:rPr>
        <w:t>（一）超声波近场探测方案</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超声波传感器通过发射和接收声波测量车辆与周边障碍物之间的距离，具有结构简单、硬件成本较低等特点，适用于低速、近距离障碍物探测。</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但对于大型车辆右转风险，仅依靠目标距离难以完整表达目标运动方向、车辆未来姿态以及车身后部的空间变化。因此，该技术更适合作为</w:t>
      </w:r>
      <w:r>
        <w:rPr>
          <w:rFonts w:hint="eastAsia" w:ascii="宋体" w:hAnsi="宋体" w:eastAsia="宋体"/>
          <w:b w:val="1"/>
          <w:color w:val="1450B8"/>
          <w:sz w:val="24"/>
          <w:szCs w:val="24"/>
        </w:rPr>
        <w:t>近距离存在性探测手段</w:t>
      </w:r>
      <w:r>
        <w:rPr>
          <w:rFonts w:hint="eastAsia" w:ascii="宋体" w:hAnsi="宋体" w:eastAsia="宋体"/>
          <w:sz w:val="24"/>
          <w:szCs w:val="24"/>
        </w:rPr>
        <w:t>，在复杂铰接车辆主动预警中通常需要与其他信息共同使用。</w:t>
      </w:r>
    </w:p>
    <w:p>
      <w:pPr>
        <w:numPr/>
        <w:spacing w:before="156" w:beforeLines="50"/>
        <w:ind/>
        <w:rPr>
          <w:rFonts w:hint="eastAsia" w:ascii="宋体" w:hAnsi="宋体" w:eastAsia="宋体"/>
          <w:b w:val="1"/>
          <w:bCs w:val="1"/>
          <w:sz w:val="24"/>
          <w:szCs w:val="24"/>
        </w:rPr>
      </w:pPr>
      <w:r>
        <w:rPr>
          <w:rFonts w:hint="eastAsia" w:ascii="宋体" w:hAnsi="宋体" w:eastAsia="宋体"/>
          <w:b w:val="1"/>
          <w:bCs w:val="1"/>
          <w:sz w:val="24"/>
          <w:szCs w:val="24"/>
        </w:rPr>
        <w:t>（二）毫米波雷达盲区监测方案</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毫米波雷达能够获取目标的距离、相对运动等信息，受光照条件影响较小，是目前商用车盲区监测和转弯辅助的重要技术路线。</w:t>
      </w:r>
    </w:p>
    <w:p>
      <w:pPr>
        <w:pBdr/>
        <w:spacing w:before="156" w:beforeLines="50"/>
        <w:ind w:firstLine="420"/>
        <w:rPr>
          <w:rFonts w:hint="eastAsia" w:ascii="宋体" w:hAnsi="宋体" w:eastAsia="宋体"/>
          <w:sz w:val="24"/>
          <w:szCs w:val="24"/>
          <w:u w:val="single"/>
        </w:rPr>
      </w:pPr>
      <w:r>
        <w:rPr>
          <w:rFonts w:hint="eastAsia" w:ascii="宋体" w:hAnsi="宋体" w:eastAsia="宋体"/>
          <w:sz w:val="24"/>
          <w:szCs w:val="24"/>
        </w:rPr>
        <w:t>市场成熟产品已经超越简单的“固定区域有目标即报警”。</w:t>
      </w:r>
      <w:r>
        <w:rPr>
          <w:rFonts w:hint="eastAsia" w:ascii="宋体" w:hAnsi="宋体" w:eastAsia="宋体"/>
          <w:sz w:val="24"/>
          <w:szCs w:val="24"/>
          <w:u w:val="single"/>
        </w:rPr>
        <w:t>Continental RightViu®采用雷达并利用转向角传感器自动识别车辆转弯状态，其官方资料显示系统可覆盖车辆右侧约4米、向后约14米区域，并能够适配不同商用车型和半挂车型进行后装。</w:t>
      </w:r>
    </w:p>
    <w:p>
      <w:pPr>
        <w:pBdr/>
        <w:spacing w:before="156" w:beforeLines="50"/>
        <w:ind w:firstLine="420"/>
        <w:rPr>
          <w:rFonts w:hint="eastAsia" w:ascii="宋体" w:hAnsi="宋体" w:eastAsia="宋体"/>
          <w:sz w:val="24"/>
          <w:szCs w:val="24"/>
          <w:u w:val="single"/>
        </w:rPr>
      </w:pPr>
      <w:r>
        <w:rPr>
          <w:rFonts w:hint="eastAsia" w:ascii="宋体" w:hAnsi="宋体" w:eastAsia="宋体"/>
          <w:sz w:val="24"/>
          <w:szCs w:val="24"/>
          <w:u w:val="single"/>
        </w:rPr>
        <w:t>Bosch的重型商用车转弯碰撞预警系统进一步利用侧向雷达覆盖车辆及挂车侧方区域，并将</w:t>
      </w:r>
      <w:r>
        <w:rPr>
          <w:rFonts w:hint="eastAsia" w:ascii="宋体" w:hAnsi="宋体" w:eastAsia="宋体"/>
          <w:b w:val="1"/>
          <w:color w:val="1450B8"/>
          <w:sz w:val="24"/>
          <w:szCs w:val="24"/>
          <w:u w:val="single"/>
        </w:rPr>
        <w:t>车辆预测路径与检测到的道路使用者进行关联判断</w:t>
      </w:r>
      <w:r>
        <w:rPr>
          <w:rFonts w:hint="eastAsia" w:ascii="宋体" w:hAnsi="宋体" w:eastAsia="宋体"/>
          <w:sz w:val="24"/>
          <w:szCs w:val="24"/>
          <w:u w:val="single"/>
        </w:rPr>
        <w:t>。</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因此，对于毫米波雷达方案，本计划书将根据具体产品评价其车辆状态利用、路径预测和风险判断能力。</w:t>
      </w:r>
    </w:p>
    <w:p>
      <w:pPr>
        <w:numPr/>
        <w:spacing w:before="156" w:beforeLines="50"/>
        <w:ind/>
        <w:rPr>
          <w:rFonts w:hint="eastAsia" w:ascii="宋体" w:hAnsi="宋体" w:eastAsia="宋体"/>
          <w:b w:val="1"/>
          <w:bCs w:val="1"/>
          <w:sz w:val="24"/>
          <w:szCs w:val="24"/>
        </w:rPr>
      </w:pPr>
      <w:r>
        <w:rPr>
          <w:rFonts w:hint="eastAsia" w:ascii="宋体" w:hAnsi="宋体" w:eastAsia="宋体"/>
          <w:b w:val="1"/>
          <w:bCs w:val="1"/>
          <w:sz w:val="24"/>
          <w:szCs w:val="24"/>
        </w:rPr>
        <w:t>（三）视觉AI目标识别方案</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视觉AI利用摄像头和计算机视觉算法识别行人、自行车、摩托车等目标，优势在于能够进一步理解目标类别及道路环境信息。</w:t>
      </w:r>
    </w:p>
    <w:p>
      <w:pPr>
        <w:pBdr/>
        <w:spacing w:before="156" w:beforeLines="50"/>
        <w:ind w:firstLine="420"/>
        <w:rPr>
          <w:rFonts w:hint="eastAsia" w:ascii="宋体" w:hAnsi="宋体" w:eastAsia="宋体"/>
          <w:sz w:val="24"/>
          <w:szCs w:val="24"/>
          <w:u w:val="single"/>
        </w:rPr>
      </w:pPr>
      <w:r>
        <w:rPr>
          <w:rFonts w:hint="eastAsia" w:ascii="宋体" w:hAnsi="宋体" w:eastAsia="宋体"/>
          <w:sz w:val="24"/>
          <w:szCs w:val="24"/>
          <w:u w:val="single"/>
        </w:rPr>
        <w:t>Mobileye Shield+即针对公交、大型商用车辆等盲区较大的车型设计，通过布置于车辆周围的摄像头持续监测环境，识别行人、骑行者和摩托车，并通过不同等级的视觉和声音信号提示驾驶员。</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视觉技术的实际效果与摄像头布置、标定、遮挡和运行环境有关，同时通常需要相应的计算平台。其目标识别能力与雷达的距离、运动信息具有较强互补性，因此视觉技术并不是本项目需要排斥的技术路线，而是</w:t>
      </w:r>
      <w:r>
        <w:rPr>
          <w:rFonts w:hint="eastAsia" w:ascii="宋体" w:hAnsi="宋体" w:eastAsia="宋体"/>
          <w:b w:val="1"/>
          <w:color w:val="1450B8"/>
          <w:sz w:val="24"/>
          <w:szCs w:val="24"/>
        </w:rPr>
        <w:t>多源感知体系的重要组成部分</w:t>
      </w:r>
      <w:r>
        <w:rPr>
          <w:rFonts w:hint="eastAsia" w:ascii="宋体" w:hAnsi="宋体" w:eastAsia="宋体"/>
          <w:sz w:val="24"/>
          <w:szCs w:val="24"/>
        </w:rPr>
        <w:t>。</w:t>
      </w:r>
    </w:p>
    <w:p>
      <w:pPr>
        <w:numPr/>
        <w:spacing w:before="156" w:beforeLines="50"/>
        <w:ind/>
        <w:rPr>
          <w:rFonts w:hint="eastAsia" w:ascii="宋体" w:hAnsi="宋体" w:eastAsia="宋体"/>
          <w:b w:val="1"/>
          <w:bCs w:val="1"/>
          <w:sz w:val="24"/>
          <w:szCs w:val="24"/>
        </w:rPr>
      </w:pPr>
      <w:r>
        <w:rPr>
          <w:rFonts w:hint="eastAsia" w:ascii="宋体" w:hAnsi="宋体" w:eastAsia="宋体"/>
          <w:b w:val="1"/>
          <w:bCs w:val="1"/>
          <w:sz w:val="24"/>
          <w:szCs w:val="24"/>
        </w:rPr>
        <w:t>（四）雷达—视觉多传感器融合方案</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多传感器融合方案将雷达的距离、速度信息与视觉的目标类别、环境语义信息结合，并进一步融合车辆自身状态，是当前高级商用车主动安全系统的重要发展方向。</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其优势在于不同传感器之间能够形成信息互补，提高风险判断所获得的信息完整度；相应地，也会增加传感器数量、计算平台、安装标定和系统集成复杂度。</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因此，对于存量商用车后装市场，多传感器方案的竞争力不能只比较算法能力，还需要</w:t>
      </w:r>
      <w:r>
        <w:rPr>
          <w:rFonts w:hint="eastAsia" w:ascii="宋体" w:hAnsi="宋体" w:eastAsia="宋体"/>
          <w:b w:val="1"/>
          <w:color w:val="1450B8"/>
          <w:sz w:val="24"/>
          <w:szCs w:val="24"/>
        </w:rPr>
        <w:t>综合评价感知效果、整套设备成本、安装难度、标定时间、车辆停运以及后期维护成本</w:t>
      </w:r>
      <w:r>
        <w:rPr>
          <w:rFonts w:hint="eastAsia" w:ascii="宋体" w:hAnsi="宋体" w:eastAsia="宋体"/>
          <w:sz w:val="24"/>
          <w:szCs w:val="24"/>
        </w:rPr>
        <w:t>。</w:t>
      </w:r>
    </w:p>
    <w:p>
      <w:pPr>
        <w:numPr/>
        <w:spacing w:before="156" w:beforeLines="50"/>
        <w:ind/>
        <w:rPr>
          <w:rFonts w:hint="eastAsia" w:ascii="宋体" w:hAnsi="宋体" w:eastAsia="宋体"/>
          <w:b w:val="1"/>
          <w:bCs w:val="1"/>
          <w:sz w:val="24"/>
          <w:szCs w:val="24"/>
        </w:rPr>
      </w:pPr>
      <w:r>
        <w:rPr>
          <w:rFonts w:hint="eastAsia" w:ascii="宋体" w:hAnsi="宋体" w:eastAsia="宋体"/>
          <w:b w:val="1"/>
          <w:bCs w:val="1"/>
          <w:sz w:val="24"/>
          <w:szCs w:val="24"/>
        </w:rPr>
        <w:t>（五）360°环视及商用车ADAS方案</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360°环视通常通过布置多个摄像头并进行图像拼接，为驾驶员提供车辆周边的完整视觉信息。部分产品已经进一步加入AI目标检测，使系统由被动显示向主动风险提醒延伸。</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该方案能够明显改善驾驶员对车辆周围环境的感知，但“看见周围环境”与“计算车辆未来是否发生冲突”仍属于不同功能层次。对于半挂车辆内轮差场景，需要进一步结合车辆运动状态和风险判断算法，才能将环境信息转化为主动预警。</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综上，现有主动安全技术不存在简单的优劣关系，其主要能力可归纳如下：</w:t>
      </w:r>
    </w:p>
    <w:p>
      <w:pPr>
        <w:numPr/>
        <w:pBdr>
          <w:bottom/>
        </w:pBdr>
        <w:ind w:firstLine="360" w:firstLineChars="200"/>
        <w:jc w:val="both"/>
        <w:rPr>
          <w:rFonts w:hint="eastAsia" w:ascii="黑体" w:hAnsi="黑体" w:eastAsia="黑体"/>
          <w:sz w:val="18"/>
          <w:szCs w:val="18"/>
        </w:rPr>
      </w:pPr>
    </w:p>
    <w:tbl>
      <w:tblPr>
        <w:tblStyle w:val="0000a0"/>
        <w:jc w:val="center"/>
        <w:tblInd w:w="315" w:type="dxa"/>
        <w:tblLayout w:type="fixed"/>
      </w:tblPr>
      <w:tblGrid>
        <w:gridCol w:w="1366"/>
        <w:gridCol w:w="1381"/>
        <w:gridCol w:w="1381"/>
        <w:gridCol w:w="1381"/>
        <w:gridCol w:w="1381"/>
        <w:gridCol w:w="1386"/>
      </w:tblGrid>
      <w:tr>
        <w:trPr>
          <w:trHeight w:val="825" w:hRule="atLeast"/>
        </w:trPr>
        <w:tc>
          <w:tcPr>
            <w:tcW w:w="1366" w:type="dxa"/>
            <w:tcBorders>
              <w:top w:val="single" w:color="000000" w:sz="0" w:space="0"/>
              <w:left w:val="single" w:color="000000" w:sz="0" w:space="0"/>
              <w:bottom w:val="single" w:color="000000" w:sz="0" w:space="0"/>
              <w:right w:val="single" w:color="000000" w:sz="0" w:space="0"/>
            </w:tcBorders>
            <w:shd w:val="clear" w:color="auto" w:fill="E5EFFF"/>
            <w:vAlign w:val="center"/>
          </w:tcPr>
          <w:p>
            <w:pPr>
              <w:pBdr/>
              <w:spacing w:before="156" w:beforeLines="50"/>
              <w:ind w:firstLine="0"/>
              <w:jc w:val="left"/>
              <w:rPr>
                <w:rFonts w:ascii="仿宋-简" w:hAnsi="仿宋-简" w:eastAsia="仿宋-简" w:cs="仿宋-简"/>
                <w:sz w:val="18"/>
                <w:szCs w:val="24"/>
              </w:rPr>
            </w:pPr>
            <w:r>
              <w:rPr>
                <w:rFonts w:hint="eastAsia" w:ascii="仿宋-简" w:hAnsi="仿宋-简" w:eastAsia="仿宋-简" w:cs="仿宋-简"/>
                <w:sz w:val="18"/>
                <w:szCs w:val="24"/>
              </w:rPr>
              <w:t xml:space="preserve"> </w:t>
            </w:r>
            <w:r>
              <w:rPr>
                <w:rFonts w:ascii="仿宋-简" w:hAnsi="仿宋-简" w:eastAsia="仿宋-简" w:cs="仿宋-简"/>
                <w:sz w:val="18"/>
                <w:szCs w:val="24"/>
              </w:rPr>
              <w:t>技术路线</w:t>
            </w:r>
          </w:p>
        </w:tc>
        <w:tc>
          <w:tcPr>
            <w:tcW w:w="1381" w:type="dxa"/>
            <w:tcBorders>
              <w:top w:val="single" w:color="000000" w:sz="0" w:space="0"/>
              <w:left w:val="single" w:color="000000" w:sz="0" w:space="0"/>
              <w:bottom w:val="single" w:color="000000" w:sz="0" w:space="0"/>
              <w:right w:val="single" w:color="000000" w:sz="0" w:space="0"/>
            </w:tcBorders>
            <w:shd w:val="clear" w:color="auto" w:fill="E5EFFF"/>
            <w:vAlign w:val="center"/>
          </w:tcPr>
          <w:p>
            <w:pPr>
              <w:pBdr/>
              <w:spacing w:before="156" w:beforeLines="50"/>
              <w:ind w:firstLine="0"/>
              <w:jc w:val="left"/>
              <w:rPr>
                <w:rFonts w:ascii="仿宋-简" w:hAnsi="仿宋-简" w:eastAsia="仿宋-简" w:cs="仿宋-简"/>
                <w:sz w:val="18"/>
                <w:szCs w:val="24"/>
              </w:rPr>
            </w:pPr>
            <w:r>
              <w:rPr>
                <w:rFonts w:ascii="仿宋-简" w:hAnsi="仿宋-简" w:eastAsia="仿宋-简" w:cs="仿宋-简"/>
                <w:sz w:val="18"/>
                <w:szCs w:val="24"/>
              </w:rPr>
              <w:t>目标存在感知</w:t>
            </w:r>
          </w:p>
        </w:tc>
        <w:tc>
          <w:tcPr>
            <w:tcW w:w="1381" w:type="dxa"/>
            <w:tcBorders>
              <w:top w:val="single" w:color="000000" w:sz="0" w:space="0"/>
              <w:left w:val="single" w:color="000000" w:sz="0" w:space="0"/>
              <w:bottom w:val="single" w:color="000000" w:sz="0" w:space="0"/>
              <w:right w:val="single" w:color="000000" w:sz="0" w:space="0"/>
            </w:tcBorders>
            <w:shd w:val="clear" w:color="auto" w:fill="E5EFFF"/>
            <w:vAlign w:val="center"/>
          </w:tcPr>
          <w:p>
            <w:pPr>
              <w:pBdr/>
              <w:spacing w:before="156" w:beforeLines="50"/>
              <w:ind w:firstLine="0"/>
              <w:jc w:val="left"/>
              <w:rPr>
                <w:rFonts w:ascii="仿宋-简" w:hAnsi="仿宋-简" w:eastAsia="仿宋-简" w:cs="仿宋-简"/>
                <w:sz w:val="18"/>
                <w:szCs w:val="24"/>
              </w:rPr>
            </w:pPr>
            <w:r>
              <w:rPr>
                <w:rFonts w:ascii="仿宋-简" w:hAnsi="仿宋-简" w:eastAsia="仿宋-简" w:cs="仿宋-简"/>
                <w:sz w:val="18"/>
                <w:szCs w:val="24"/>
              </w:rPr>
              <w:t>目标类别识别</w:t>
            </w:r>
          </w:p>
        </w:tc>
        <w:tc>
          <w:tcPr>
            <w:tcW w:w="1381" w:type="dxa"/>
            <w:tcBorders>
              <w:top w:val="single" w:color="000000" w:sz="0" w:space="0"/>
              <w:left w:val="single" w:color="000000" w:sz="0" w:space="0"/>
              <w:bottom w:val="single" w:color="000000" w:sz="0" w:space="0"/>
              <w:right w:val="single" w:color="000000" w:sz="0" w:space="0"/>
            </w:tcBorders>
            <w:shd w:val="clear" w:color="auto" w:fill="E5EFFF"/>
            <w:vAlign w:val="center"/>
          </w:tcPr>
          <w:p>
            <w:pPr>
              <w:pBdr/>
              <w:spacing w:before="156" w:beforeLines="50"/>
              <w:ind w:firstLine="0"/>
              <w:jc w:val="left"/>
              <w:rPr>
                <w:rFonts w:ascii="仿宋-简" w:hAnsi="仿宋-简" w:eastAsia="仿宋-简" w:cs="仿宋-简"/>
                <w:sz w:val="18"/>
                <w:szCs w:val="24"/>
              </w:rPr>
            </w:pPr>
            <w:r>
              <w:rPr>
                <w:rFonts w:ascii="仿宋-简" w:hAnsi="仿宋-简" w:eastAsia="仿宋-简" w:cs="仿宋-简"/>
                <w:sz w:val="18"/>
                <w:szCs w:val="24"/>
              </w:rPr>
              <w:t>目标运动信息</w:t>
            </w:r>
          </w:p>
        </w:tc>
        <w:tc>
          <w:tcPr>
            <w:tcW w:w="1381" w:type="dxa"/>
            <w:tcBorders>
              <w:top w:val="single" w:color="000000" w:sz="0" w:space="0"/>
              <w:left w:val="single" w:color="000000" w:sz="0" w:space="0"/>
              <w:bottom w:val="single" w:color="000000" w:sz="0" w:space="0"/>
              <w:right w:val="single" w:color="000000" w:sz="0" w:space="0"/>
            </w:tcBorders>
            <w:shd w:val="clear" w:color="auto" w:fill="E5EFFF"/>
            <w:vAlign w:val="center"/>
          </w:tcPr>
          <w:p>
            <w:pPr>
              <w:pBdr/>
              <w:spacing w:before="156" w:beforeLines="50"/>
              <w:ind w:firstLine="0"/>
              <w:jc w:val="left"/>
              <w:rPr>
                <w:rFonts w:ascii="仿宋-简" w:hAnsi="仿宋-简" w:eastAsia="仿宋-简" w:cs="仿宋-简"/>
                <w:sz w:val="18"/>
                <w:szCs w:val="24"/>
              </w:rPr>
            </w:pPr>
            <w:r>
              <w:rPr>
                <w:rFonts w:ascii="仿宋-简" w:hAnsi="仿宋-简" w:eastAsia="仿宋-简" w:cs="仿宋-简"/>
                <w:sz w:val="18"/>
                <w:szCs w:val="24"/>
              </w:rPr>
              <w:t>车辆运动预测</w:t>
            </w:r>
          </w:p>
        </w:tc>
        <w:tc>
          <w:tcPr>
            <w:tcW w:w="1386" w:type="dxa"/>
            <w:tcBorders>
              <w:top w:val="single" w:color="000000" w:sz="0" w:space="0"/>
              <w:left w:val="single" w:color="000000" w:sz="0" w:space="0"/>
              <w:bottom w:val="single" w:color="000000" w:sz="0" w:space="0"/>
              <w:right w:val="single" w:color="000000" w:sz="0" w:space="0"/>
            </w:tcBorders>
            <w:shd w:val="clear" w:color="auto" w:fill="E5EFFF"/>
            <w:vAlign w:val="center"/>
          </w:tcPr>
          <w:p>
            <w:pPr>
              <w:pBdr/>
              <w:spacing w:before="156" w:beforeLines="50"/>
              <w:ind w:firstLine="0"/>
              <w:jc w:val="left"/>
              <w:rPr>
                <w:rFonts w:ascii="仿宋-简" w:hAnsi="仿宋-简" w:eastAsia="仿宋-简" w:cs="仿宋-简"/>
                <w:sz w:val="18"/>
                <w:szCs w:val="24"/>
              </w:rPr>
            </w:pPr>
            <w:r>
              <w:rPr>
                <w:rFonts w:ascii="仿宋-简" w:hAnsi="仿宋-简" w:eastAsia="仿宋-简" w:cs="仿宋-简"/>
                <w:sz w:val="18"/>
                <w:szCs w:val="24"/>
              </w:rPr>
              <w:t>主要特点</w:t>
            </w:r>
          </w:p>
        </w:tc>
      </w:tr>
      <w:tr>
        <w:trPr>
          <w:trHeight w:val="810" w:hRule="atLeast"/>
        </w:trPr>
        <w:tc>
          <w:tcPr>
            <w:tcW w:w="1366"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0"/>
              <w:jc w:val="left"/>
              <w:rPr>
                <w:rFonts w:ascii="仿宋-简" w:hAnsi="仿宋-简" w:eastAsia="仿宋-简" w:cs="仿宋-简"/>
                <w:sz w:val="18"/>
                <w:szCs w:val="24"/>
              </w:rPr>
            </w:pPr>
            <w:r>
              <w:rPr>
                <w:rFonts w:hint="eastAsia" w:ascii="仿宋-简" w:hAnsi="仿宋-简" w:eastAsia="仿宋-简" w:cs="仿宋-简"/>
                <w:sz w:val="18"/>
                <w:szCs w:val="24"/>
              </w:rPr>
              <w:t xml:space="preserve"> </w:t>
            </w:r>
            <w:r>
              <w:rPr>
                <w:rFonts w:ascii="仿宋-简" w:hAnsi="仿宋-简" w:eastAsia="仿宋-简" w:cs="仿宋-简"/>
                <w:sz w:val="18"/>
                <w:szCs w:val="24"/>
              </w:rPr>
              <w:t>超声波</w:t>
            </w:r>
          </w:p>
        </w:tc>
        <w:tc>
          <w:tcPr>
            <w:tcW w:w="1381"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jc w:val="left"/>
              <w:rPr>
                <w:rFonts w:ascii="仿宋-简" w:hAnsi="仿宋-简" w:eastAsia="仿宋-简" w:cs="仿宋-简"/>
                <w:sz w:val="18"/>
                <w:szCs w:val="24"/>
              </w:rPr>
            </w:pPr>
            <w:r>
              <w:rPr>
                <w:rFonts w:ascii="仿宋-简" w:hAnsi="仿宋-简" w:eastAsia="仿宋-简" w:cs="仿宋-简"/>
                <w:sz w:val="18"/>
                <w:szCs w:val="24"/>
              </w:rPr>
              <w:t>强</w:t>
            </w:r>
          </w:p>
        </w:tc>
        <w:tc>
          <w:tcPr>
            <w:tcW w:w="1381"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jc w:val="left"/>
              <w:rPr>
                <w:rFonts w:ascii="仿宋-简" w:hAnsi="仿宋-简" w:eastAsia="仿宋-简" w:cs="仿宋-简"/>
                <w:sz w:val="18"/>
                <w:szCs w:val="24"/>
              </w:rPr>
            </w:pPr>
            <w:r>
              <w:rPr>
                <w:rFonts w:ascii="仿宋-简" w:hAnsi="仿宋-简" w:eastAsia="仿宋-简" w:cs="仿宋-简"/>
                <w:sz w:val="18"/>
                <w:szCs w:val="24"/>
              </w:rPr>
              <w:t>弱</w:t>
            </w:r>
          </w:p>
        </w:tc>
        <w:tc>
          <w:tcPr>
            <w:tcW w:w="1381"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jc w:val="left"/>
              <w:rPr>
                <w:rFonts w:ascii="仿宋-简" w:hAnsi="仿宋-简" w:eastAsia="仿宋-简" w:cs="仿宋-简"/>
                <w:sz w:val="18"/>
                <w:szCs w:val="24"/>
              </w:rPr>
            </w:pPr>
            <w:r>
              <w:rPr>
                <w:rFonts w:ascii="仿宋-简" w:hAnsi="仿宋-简" w:eastAsia="仿宋-简" w:cs="仿宋-简"/>
                <w:sz w:val="18"/>
                <w:szCs w:val="24"/>
              </w:rPr>
              <w:t>弱</w:t>
            </w:r>
          </w:p>
        </w:tc>
        <w:tc>
          <w:tcPr>
            <w:tcW w:w="1381"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jc w:val="left"/>
              <w:rPr>
                <w:rFonts w:ascii="仿宋-简" w:hAnsi="仿宋-简" w:eastAsia="仿宋-简" w:cs="仿宋-简"/>
                <w:sz w:val="18"/>
                <w:szCs w:val="24"/>
              </w:rPr>
            </w:pPr>
            <w:r>
              <w:rPr>
                <w:rFonts w:ascii="仿宋-简" w:hAnsi="仿宋-简" w:eastAsia="仿宋-简" w:cs="仿宋-简"/>
                <w:sz w:val="18"/>
                <w:szCs w:val="24"/>
              </w:rPr>
              <w:t>弱</w:t>
            </w:r>
          </w:p>
        </w:tc>
        <w:tc>
          <w:tcPr>
            <w:tcW w:w="1386"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0"/>
              <w:jc w:val="left"/>
              <w:rPr>
                <w:rFonts w:ascii="仿宋-简" w:hAnsi="仿宋-简" w:eastAsia="仿宋-简" w:cs="仿宋-简"/>
                <w:sz w:val="18"/>
                <w:szCs w:val="24"/>
              </w:rPr>
            </w:pPr>
            <w:r>
              <w:rPr>
                <w:rFonts w:ascii="仿宋-简" w:hAnsi="仿宋-简" w:eastAsia="仿宋-简" w:cs="仿宋-简"/>
                <w:sz w:val="18"/>
                <w:szCs w:val="24"/>
              </w:rPr>
              <w:t>低成本近场检测</w:t>
            </w:r>
          </w:p>
        </w:tc>
      </w:tr>
      <w:tr>
        <w:trPr>
          <w:trHeight w:val="720" w:hRule="atLeast"/>
        </w:trPr>
        <w:tc>
          <w:tcPr>
            <w:tcW w:w="1366"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0"/>
              <w:jc w:val="left"/>
              <w:rPr>
                <w:rFonts w:ascii="仿宋-简" w:hAnsi="仿宋-简" w:eastAsia="仿宋-简" w:cs="仿宋-简"/>
                <w:sz w:val="18"/>
                <w:szCs w:val="24"/>
              </w:rPr>
            </w:pPr>
            <w:r>
              <w:rPr>
                <w:rFonts w:hint="eastAsia" w:ascii="仿宋-简" w:hAnsi="仿宋-简" w:eastAsia="仿宋-简" w:cs="仿宋-简"/>
                <w:sz w:val="18"/>
                <w:szCs w:val="24"/>
              </w:rPr>
              <w:t xml:space="preserve"> </w:t>
            </w:r>
            <w:r>
              <w:rPr>
                <w:rFonts w:ascii="仿宋-简" w:hAnsi="仿宋-简" w:eastAsia="仿宋-简" w:cs="仿宋-简"/>
                <w:sz w:val="18"/>
                <w:szCs w:val="24"/>
              </w:rPr>
              <w:t>毫米波雷达</w:t>
            </w:r>
          </w:p>
        </w:tc>
        <w:tc>
          <w:tcPr>
            <w:tcW w:w="1381"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jc w:val="left"/>
              <w:rPr>
                <w:rFonts w:ascii="仿宋-简" w:hAnsi="仿宋-简" w:eastAsia="仿宋-简" w:cs="仿宋-简"/>
                <w:sz w:val="18"/>
                <w:szCs w:val="24"/>
              </w:rPr>
            </w:pPr>
            <w:r>
              <w:rPr>
                <w:rFonts w:ascii="仿宋-简" w:hAnsi="仿宋-简" w:eastAsia="仿宋-简" w:cs="仿宋-简"/>
                <w:sz w:val="18"/>
                <w:szCs w:val="24"/>
              </w:rPr>
              <w:t>强</w:t>
            </w:r>
          </w:p>
        </w:tc>
        <w:tc>
          <w:tcPr>
            <w:tcW w:w="1381"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jc w:val="left"/>
              <w:rPr>
                <w:rFonts w:ascii="仿宋-简" w:hAnsi="仿宋-简" w:eastAsia="仿宋-简" w:cs="仿宋-简"/>
                <w:sz w:val="18"/>
                <w:szCs w:val="24"/>
              </w:rPr>
            </w:pPr>
            <w:r>
              <w:rPr>
                <w:rFonts w:ascii="仿宋-简" w:hAnsi="仿宋-简" w:eastAsia="仿宋-简" w:cs="仿宋-简"/>
                <w:sz w:val="18"/>
                <w:szCs w:val="24"/>
              </w:rPr>
              <w:t>有限</w:t>
            </w:r>
          </w:p>
        </w:tc>
        <w:tc>
          <w:tcPr>
            <w:tcW w:w="1381"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jc w:val="left"/>
              <w:rPr>
                <w:rFonts w:ascii="仿宋-简" w:hAnsi="仿宋-简" w:eastAsia="仿宋-简" w:cs="仿宋-简"/>
                <w:sz w:val="18"/>
                <w:szCs w:val="24"/>
              </w:rPr>
            </w:pPr>
            <w:r>
              <w:rPr>
                <w:rFonts w:ascii="仿宋-简" w:hAnsi="仿宋-简" w:eastAsia="仿宋-简" w:cs="仿宋-简"/>
                <w:sz w:val="18"/>
                <w:szCs w:val="24"/>
              </w:rPr>
              <w:t>强</w:t>
            </w:r>
          </w:p>
        </w:tc>
        <w:tc>
          <w:tcPr>
            <w:tcW w:w="1381"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0"/>
              <w:jc w:val="left"/>
              <w:rPr>
                <w:rFonts w:ascii="仿宋-简" w:hAnsi="仿宋-简" w:eastAsia="仿宋-简" w:cs="仿宋-简"/>
                <w:sz w:val="18"/>
                <w:szCs w:val="24"/>
              </w:rPr>
            </w:pPr>
            <w:r>
              <w:rPr>
                <w:rFonts w:ascii="仿宋-简" w:hAnsi="仿宋-简" w:eastAsia="仿宋-简" w:cs="仿宋-简"/>
                <w:sz w:val="18"/>
                <w:szCs w:val="24"/>
              </w:rPr>
              <w:t>取决于具体系统</w:t>
            </w:r>
          </w:p>
        </w:tc>
        <w:tc>
          <w:tcPr>
            <w:tcW w:w="1386"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0"/>
              <w:jc w:val="left"/>
              <w:rPr>
                <w:rFonts w:ascii="仿宋-简" w:hAnsi="仿宋-简" w:eastAsia="仿宋-简" w:cs="仿宋-简"/>
                <w:sz w:val="18"/>
                <w:szCs w:val="24"/>
              </w:rPr>
            </w:pPr>
            <w:r>
              <w:rPr>
                <w:rFonts w:ascii="仿宋-简" w:hAnsi="仿宋-简" w:eastAsia="仿宋-简" w:cs="仿宋-简"/>
                <w:sz w:val="18"/>
                <w:szCs w:val="24"/>
              </w:rPr>
              <w:t>全天候能力较强</w:t>
            </w:r>
          </w:p>
        </w:tc>
      </w:tr>
      <w:tr>
        <w:trPr>
          <w:trHeight w:val="825" w:hRule="atLeast"/>
        </w:trPr>
        <w:tc>
          <w:tcPr>
            <w:tcW w:w="1366"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0"/>
              <w:jc w:val="left"/>
              <w:rPr>
                <w:rFonts w:ascii="仿宋-简" w:hAnsi="仿宋-简" w:eastAsia="仿宋-简" w:cs="仿宋-简"/>
                <w:sz w:val="18"/>
                <w:szCs w:val="24"/>
              </w:rPr>
            </w:pPr>
            <w:r>
              <w:rPr>
                <w:rFonts w:hint="eastAsia" w:ascii="仿宋-简" w:hAnsi="仿宋-简" w:eastAsia="仿宋-简" w:cs="仿宋-简"/>
                <w:sz w:val="18"/>
                <w:szCs w:val="24"/>
              </w:rPr>
              <w:t xml:space="preserve"> </w:t>
            </w:r>
            <w:r>
              <w:rPr>
                <w:rFonts w:ascii="仿宋-简" w:hAnsi="仿宋-简" w:eastAsia="仿宋-简" w:cs="仿宋-简"/>
                <w:sz w:val="18"/>
                <w:szCs w:val="24"/>
              </w:rPr>
              <w:t>视觉AI</w:t>
            </w:r>
          </w:p>
        </w:tc>
        <w:tc>
          <w:tcPr>
            <w:tcW w:w="1381"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jc w:val="left"/>
              <w:rPr>
                <w:rFonts w:ascii="仿宋-简" w:hAnsi="仿宋-简" w:eastAsia="仿宋-简" w:cs="仿宋-简"/>
                <w:sz w:val="18"/>
                <w:szCs w:val="24"/>
              </w:rPr>
            </w:pPr>
            <w:r>
              <w:rPr>
                <w:rFonts w:ascii="仿宋-简" w:hAnsi="仿宋-简" w:eastAsia="仿宋-简" w:cs="仿宋-简"/>
                <w:sz w:val="18"/>
                <w:szCs w:val="24"/>
              </w:rPr>
              <w:t>强</w:t>
            </w:r>
          </w:p>
        </w:tc>
        <w:tc>
          <w:tcPr>
            <w:tcW w:w="1381"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jc w:val="left"/>
              <w:rPr>
                <w:rFonts w:ascii="仿宋-简" w:hAnsi="仿宋-简" w:eastAsia="仿宋-简" w:cs="仿宋-简"/>
                <w:sz w:val="18"/>
                <w:szCs w:val="24"/>
              </w:rPr>
            </w:pPr>
            <w:r>
              <w:rPr>
                <w:rFonts w:ascii="仿宋-简" w:hAnsi="仿宋-简" w:eastAsia="仿宋-简" w:cs="仿宋-简"/>
                <w:sz w:val="18"/>
                <w:szCs w:val="24"/>
              </w:rPr>
              <w:t>强</w:t>
            </w:r>
          </w:p>
        </w:tc>
        <w:tc>
          <w:tcPr>
            <w:tcW w:w="1381"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0"/>
              <w:jc w:val="left"/>
              <w:rPr>
                <w:rFonts w:ascii="仿宋-简" w:hAnsi="仿宋-简" w:eastAsia="仿宋-简" w:cs="仿宋-简"/>
                <w:sz w:val="18"/>
                <w:szCs w:val="24"/>
              </w:rPr>
            </w:pPr>
            <w:r>
              <w:rPr>
                <w:rFonts w:ascii="仿宋-简" w:hAnsi="仿宋-简" w:eastAsia="仿宋-简" w:cs="仿宋-简"/>
                <w:sz w:val="18"/>
                <w:szCs w:val="24"/>
              </w:rPr>
              <w:t>可通过算法估计</w:t>
            </w:r>
          </w:p>
        </w:tc>
        <w:tc>
          <w:tcPr>
            <w:tcW w:w="1381"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0"/>
              <w:jc w:val="left"/>
              <w:rPr>
                <w:rFonts w:ascii="仿宋-简" w:hAnsi="仿宋-简" w:eastAsia="仿宋-简" w:cs="仿宋-简"/>
                <w:sz w:val="18"/>
                <w:szCs w:val="24"/>
              </w:rPr>
            </w:pPr>
            <w:r>
              <w:rPr>
                <w:rFonts w:ascii="仿宋-简" w:hAnsi="仿宋-简" w:eastAsia="仿宋-简" w:cs="仿宋-简"/>
                <w:sz w:val="18"/>
                <w:szCs w:val="24"/>
              </w:rPr>
              <w:t>取决于具体系统</w:t>
            </w:r>
          </w:p>
        </w:tc>
        <w:tc>
          <w:tcPr>
            <w:tcW w:w="1386"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0"/>
              <w:jc w:val="left"/>
              <w:rPr>
                <w:rFonts w:ascii="仿宋-简" w:hAnsi="仿宋-简" w:eastAsia="仿宋-简" w:cs="仿宋-简"/>
                <w:sz w:val="18"/>
                <w:szCs w:val="24"/>
              </w:rPr>
            </w:pPr>
            <w:r>
              <w:rPr>
                <w:rFonts w:ascii="仿宋-简" w:hAnsi="仿宋-简" w:eastAsia="仿宋-简" w:cs="仿宋-简"/>
                <w:sz w:val="18"/>
                <w:szCs w:val="24"/>
              </w:rPr>
              <w:t>场景语义信息丰富</w:t>
            </w:r>
          </w:p>
        </w:tc>
      </w:tr>
      <w:tr>
        <w:trPr>
          <w:trHeight w:val="780" w:hRule="atLeast"/>
        </w:trPr>
        <w:tc>
          <w:tcPr>
            <w:tcW w:w="1366"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0"/>
              <w:jc w:val="left"/>
              <w:rPr>
                <w:rFonts w:ascii="仿宋-简" w:hAnsi="仿宋-简" w:eastAsia="仿宋-简" w:cs="仿宋-简"/>
                <w:sz w:val="18"/>
                <w:szCs w:val="24"/>
              </w:rPr>
            </w:pPr>
            <w:r>
              <w:rPr>
                <w:rFonts w:hint="eastAsia" w:ascii="仿宋-简" w:hAnsi="仿宋-简" w:eastAsia="仿宋-简" w:cs="仿宋-简"/>
                <w:sz w:val="18"/>
                <w:szCs w:val="24"/>
              </w:rPr>
              <w:t xml:space="preserve"> </w:t>
            </w:r>
            <w:r>
              <w:rPr>
                <w:rFonts w:ascii="仿宋-简" w:hAnsi="仿宋-简" w:eastAsia="仿宋-简" w:cs="仿宋-简"/>
                <w:sz w:val="18"/>
                <w:szCs w:val="24"/>
              </w:rPr>
              <w:t>雷达＋视觉</w:t>
            </w:r>
            <w:r>
              <w:rPr>
                <w:rFonts w:hint="eastAsia" w:ascii="仿宋-简" w:hAnsi="仿宋-简" w:eastAsia="仿宋-简" w:cs="仿宋-简"/>
                <w:sz w:val="18"/>
                <w:szCs w:val="24"/>
              </w:rPr>
              <w:t xml:space="preserve"> </w:t>
            </w:r>
            <w:r>
              <w:rPr>
                <w:rFonts w:ascii="仿宋-简" w:hAnsi="仿宋-简" w:eastAsia="仿宋-简" w:cs="仿宋-简"/>
                <w:sz w:val="18"/>
                <w:szCs w:val="24"/>
              </w:rPr>
              <w:t>融合</w:t>
            </w:r>
          </w:p>
        </w:tc>
        <w:tc>
          <w:tcPr>
            <w:tcW w:w="1381"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jc w:val="left"/>
              <w:rPr>
                <w:rFonts w:ascii="仿宋-简" w:hAnsi="仿宋-简" w:eastAsia="仿宋-简" w:cs="仿宋-简"/>
                <w:sz w:val="18"/>
                <w:szCs w:val="24"/>
              </w:rPr>
            </w:pPr>
            <w:r>
              <w:rPr>
                <w:rFonts w:ascii="仿宋-简" w:hAnsi="仿宋-简" w:eastAsia="仿宋-简" w:cs="仿宋-简"/>
                <w:sz w:val="18"/>
                <w:szCs w:val="24"/>
              </w:rPr>
              <w:t>强</w:t>
            </w:r>
          </w:p>
        </w:tc>
        <w:tc>
          <w:tcPr>
            <w:tcW w:w="1381"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jc w:val="left"/>
              <w:rPr>
                <w:rFonts w:ascii="仿宋-简" w:hAnsi="仿宋-简" w:eastAsia="仿宋-简" w:cs="仿宋-简"/>
                <w:sz w:val="18"/>
                <w:szCs w:val="24"/>
              </w:rPr>
            </w:pPr>
            <w:r>
              <w:rPr>
                <w:rFonts w:ascii="仿宋-简" w:hAnsi="仿宋-简" w:eastAsia="仿宋-简" w:cs="仿宋-简"/>
                <w:sz w:val="18"/>
                <w:szCs w:val="24"/>
              </w:rPr>
              <w:t>强</w:t>
            </w:r>
          </w:p>
        </w:tc>
        <w:tc>
          <w:tcPr>
            <w:tcW w:w="1381"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jc w:val="left"/>
              <w:rPr>
                <w:rFonts w:ascii="仿宋-简" w:hAnsi="仿宋-简" w:eastAsia="仿宋-简" w:cs="仿宋-简"/>
                <w:sz w:val="18"/>
                <w:szCs w:val="24"/>
              </w:rPr>
            </w:pPr>
            <w:r>
              <w:rPr>
                <w:rFonts w:ascii="仿宋-简" w:hAnsi="仿宋-简" w:eastAsia="仿宋-简" w:cs="仿宋-简"/>
                <w:sz w:val="18"/>
                <w:szCs w:val="24"/>
              </w:rPr>
              <w:t>强</w:t>
            </w:r>
          </w:p>
        </w:tc>
        <w:tc>
          <w:tcPr>
            <w:tcW w:w="1381"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0"/>
              <w:jc w:val="left"/>
              <w:rPr>
                <w:rFonts w:ascii="仿宋-简" w:hAnsi="仿宋-简" w:eastAsia="仿宋-简" w:cs="仿宋-简"/>
                <w:sz w:val="18"/>
                <w:szCs w:val="24"/>
              </w:rPr>
            </w:pPr>
            <w:r>
              <w:rPr>
                <w:rFonts w:ascii="仿宋-简" w:hAnsi="仿宋-简" w:eastAsia="仿宋-简" w:cs="仿宋-简"/>
                <w:sz w:val="18"/>
                <w:szCs w:val="24"/>
              </w:rPr>
              <w:t>可进一步融合车辆状态</w:t>
            </w:r>
          </w:p>
        </w:tc>
        <w:tc>
          <w:tcPr>
            <w:tcW w:w="1386"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0"/>
              <w:jc w:val="left"/>
              <w:rPr>
                <w:rFonts w:ascii="仿宋-简" w:hAnsi="仿宋-简" w:eastAsia="仿宋-简" w:cs="仿宋-简"/>
                <w:sz w:val="18"/>
                <w:szCs w:val="24"/>
              </w:rPr>
            </w:pPr>
            <w:r>
              <w:rPr>
                <w:rFonts w:ascii="仿宋-简" w:hAnsi="仿宋-简" w:eastAsia="仿宋-简" w:cs="仿宋-简"/>
                <w:sz w:val="18"/>
                <w:szCs w:val="24"/>
              </w:rPr>
              <w:t>信息完整但系统复杂度较高</w:t>
            </w:r>
          </w:p>
        </w:tc>
      </w:tr>
      <w:tr>
        <w:trPr>
          <w:trHeight w:val="915" w:hRule="atLeast"/>
        </w:trPr>
        <w:tc>
          <w:tcPr>
            <w:tcW w:w="1366"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0"/>
              <w:jc w:val="left"/>
              <w:rPr>
                <w:rFonts w:ascii="仿宋-简" w:hAnsi="仿宋-简" w:eastAsia="仿宋-简" w:cs="仿宋-简"/>
                <w:sz w:val="18"/>
                <w:szCs w:val="24"/>
              </w:rPr>
            </w:pPr>
            <w:r>
              <w:rPr>
                <w:rFonts w:hint="eastAsia" w:ascii="仿宋-简" w:hAnsi="仿宋-简" w:eastAsia="仿宋-简" w:cs="仿宋-简"/>
                <w:sz w:val="18"/>
                <w:szCs w:val="24"/>
              </w:rPr>
              <w:t xml:space="preserve"> </w:t>
            </w:r>
            <w:r>
              <w:rPr>
                <w:rFonts w:ascii="仿宋-简" w:hAnsi="仿宋-简" w:eastAsia="仿宋-简" w:cs="仿宋-简"/>
                <w:sz w:val="18"/>
                <w:szCs w:val="24"/>
              </w:rPr>
              <w:t>360°环视</w:t>
            </w:r>
          </w:p>
        </w:tc>
        <w:tc>
          <w:tcPr>
            <w:tcW w:w="1381"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jc w:val="left"/>
              <w:rPr>
                <w:rFonts w:ascii="仿宋-简" w:hAnsi="仿宋-简" w:eastAsia="仿宋-简" w:cs="仿宋-简"/>
                <w:sz w:val="18"/>
                <w:szCs w:val="24"/>
              </w:rPr>
            </w:pPr>
            <w:r>
              <w:rPr>
                <w:rFonts w:ascii="仿宋-简" w:hAnsi="仿宋-简" w:eastAsia="仿宋-简" w:cs="仿宋-简"/>
                <w:sz w:val="18"/>
                <w:szCs w:val="24"/>
              </w:rPr>
              <w:t>强</w:t>
            </w:r>
          </w:p>
        </w:tc>
        <w:tc>
          <w:tcPr>
            <w:tcW w:w="1381"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0"/>
              <w:jc w:val="left"/>
              <w:rPr>
                <w:rFonts w:ascii="仿宋-简" w:hAnsi="仿宋-简" w:eastAsia="仿宋-简" w:cs="仿宋-简"/>
                <w:sz w:val="18"/>
                <w:szCs w:val="24"/>
              </w:rPr>
            </w:pPr>
            <w:r>
              <w:rPr>
                <w:rFonts w:ascii="仿宋-简" w:hAnsi="仿宋-简" w:eastAsia="仿宋-简" w:cs="仿宋-简"/>
                <w:sz w:val="18"/>
                <w:szCs w:val="24"/>
              </w:rPr>
              <w:t>取决于AI功能</w:t>
            </w:r>
          </w:p>
        </w:tc>
        <w:tc>
          <w:tcPr>
            <w:tcW w:w="1381"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0"/>
              <w:jc w:val="left"/>
              <w:rPr>
                <w:rFonts w:ascii="仿宋-简" w:hAnsi="仿宋-简" w:eastAsia="仿宋-简" w:cs="仿宋-简"/>
                <w:sz w:val="18"/>
                <w:szCs w:val="24"/>
              </w:rPr>
            </w:pPr>
            <w:r>
              <w:rPr>
                <w:rFonts w:ascii="仿宋-简" w:hAnsi="仿宋-简" w:eastAsia="仿宋-简" w:cs="仿宋-简"/>
                <w:sz w:val="18"/>
                <w:szCs w:val="24"/>
              </w:rPr>
              <w:t>取决于算法</w:t>
            </w:r>
          </w:p>
        </w:tc>
        <w:tc>
          <w:tcPr>
            <w:tcW w:w="1381"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0"/>
              <w:jc w:val="left"/>
              <w:rPr>
                <w:rFonts w:ascii="仿宋-简" w:hAnsi="仿宋-简" w:eastAsia="仿宋-简" w:cs="仿宋-简"/>
                <w:sz w:val="18"/>
                <w:szCs w:val="24"/>
              </w:rPr>
            </w:pPr>
            <w:r>
              <w:rPr>
                <w:rFonts w:ascii="仿宋-简" w:hAnsi="仿宋-简" w:eastAsia="仿宋-简" w:cs="仿宋-简"/>
                <w:sz w:val="18"/>
                <w:szCs w:val="24"/>
              </w:rPr>
              <w:t>通常需额外模块</w:t>
            </w:r>
          </w:p>
        </w:tc>
        <w:tc>
          <w:tcPr>
            <w:tcW w:w="1386"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0"/>
              <w:jc w:val="left"/>
              <w:rPr>
                <w:rFonts w:ascii="仿宋-简" w:hAnsi="仿宋-简" w:eastAsia="仿宋-简" w:cs="仿宋-简"/>
                <w:sz w:val="18"/>
                <w:szCs w:val="24"/>
              </w:rPr>
            </w:pPr>
            <w:r>
              <w:rPr>
                <w:rFonts w:ascii="仿宋-简" w:hAnsi="仿宋-简" w:eastAsia="仿宋-简" w:cs="仿宋-简"/>
                <w:sz w:val="18"/>
                <w:szCs w:val="24"/>
              </w:rPr>
              <w:t>重点改善驾驶员周边视野</w:t>
            </w:r>
          </w:p>
        </w:tc>
      </w:tr>
    </w:tbl>
    <w:p>
      <w:pPr>
        <w:numPr/>
        <w:pBdr>
          <w:bottom/>
        </w:pBdr>
        <w:ind w:firstLine="360" w:firstLineChars="200"/>
        <w:jc w:val="center"/>
        <w:rPr>
          <w:rFonts w:hint="eastAsia" w:ascii="黑体" w:hAnsi="黑体" w:eastAsia="黑体"/>
          <w:sz w:val="18"/>
          <w:szCs w:val="18"/>
        </w:rPr>
      </w:pPr>
      <w:r>
        <w:rPr>
          <w:rFonts w:hint="eastAsia" w:ascii="黑体" w:hAnsi="黑体" w:eastAsia="黑体"/>
          <w:sz w:val="18"/>
          <w:szCs w:val="18"/>
        </w:rPr>
        <w:t>表3-1-6</w:t>
      </w:r>
    </w:p>
    <w:p>
      <w:pPr>
        <w:numPr/>
        <w:pBdr>
          <w:bottom/>
        </w:pBdr>
        <w:spacing w:before="156" w:beforeLines="50"/>
        <w:ind/>
        <w:rPr>
          <w:rFonts w:hint="eastAsia" w:ascii="黑体" w:hAnsi="黑体" w:eastAsia="黑体"/>
          <w:b w:val="1"/>
          <w:bCs w:val="1"/>
          <w:sz w:val="28"/>
          <w:szCs w:val="28"/>
        </w:rPr>
      </w:pPr>
      <w:r>
        <w:rPr>
          <w:rFonts w:hint="eastAsia" w:ascii="黑体" w:hAnsi="黑体" w:eastAsia="黑体"/>
          <w:b w:val="1"/>
          <w:bCs w:val="1"/>
          <w:sz w:val="28"/>
          <w:szCs w:val="28"/>
        </w:rPr>
        <w:t>三、代表性市场竞品分析</w:t>
      </w:r>
    </w:p>
    <w:p>
      <w:pPr>
        <w:numPr/>
        <w:spacing w:before="156" w:beforeLines="50"/>
        <w:ind/>
        <w:rPr>
          <w:rFonts w:hint="eastAsia" w:ascii="宋体" w:hAnsi="宋体" w:eastAsia="宋体"/>
          <w:b w:val="1"/>
          <w:bCs w:val="1"/>
          <w:sz w:val="24"/>
          <w:szCs w:val="24"/>
        </w:rPr>
      </w:pPr>
      <w:r>
        <w:rPr>
          <w:rFonts w:hint="eastAsia" w:ascii="宋体" w:hAnsi="宋体" w:eastAsia="宋体"/>
          <w:b w:val="1"/>
          <w:bCs w:val="1"/>
          <w:sz w:val="24"/>
          <w:szCs w:val="24"/>
        </w:rPr>
        <w:t>（一）国际商用车主动安全产品</w:t>
      </w:r>
    </w:p>
    <w:p>
      <w:pPr>
        <w:numPr/>
        <w:pBdr>
          <w:bottom/>
        </w:pBdr>
        <w:ind w:firstLine="360" w:firstLineChars="200"/>
        <w:jc w:val="both"/>
        <w:rPr>
          <w:rFonts w:hint="eastAsia" w:ascii="黑体" w:hAnsi="黑体" w:eastAsia="黑体"/>
          <w:sz w:val="18"/>
          <w:szCs w:val="18"/>
        </w:rPr>
      </w:pPr>
    </w:p>
    <w:tbl>
      <w:tblPr>
        <w:tblStyle w:val="0000a0"/>
        <w:jc w:val="center"/>
        <w:tblInd w:w="0"/>
        <w:tblLayout w:type="fixed"/>
      </w:tblPr>
      <w:tblGrid>
        <w:gridCol w:w="2733"/>
        <w:gridCol w:w="1367"/>
        <w:gridCol w:w="2004"/>
        <w:gridCol w:w="1306"/>
        <w:gridCol w:w="1151"/>
      </w:tblGrid>
      <w:tr>
        <w:trPr/>
        <w:tc>
          <w:tcPr>
            <w:tcW w:w="2733" w:type="dxa"/>
            <w:tcBorders>
              <w:top w:val="single" w:color="000000" w:sz="0" w:space="0"/>
              <w:left w:val="single" w:color="000000" w:sz="0" w:space="0"/>
              <w:bottom w:val="single" w:color="000000" w:sz="0" w:space="0"/>
              <w:right w:val="single" w:color="000000" w:sz="0" w:space="0"/>
            </w:tcBorders>
            <w:shd w:val="clear" w:color="auto" w:fill="E5EFFF"/>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厂商/产品</w:t>
            </w:r>
          </w:p>
        </w:tc>
        <w:tc>
          <w:tcPr>
            <w:tcW w:w="1367" w:type="dxa"/>
            <w:tcBorders>
              <w:top w:val="single" w:color="000000" w:sz="0" w:space="0"/>
              <w:left w:val="single" w:color="000000" w:sz="0" w:space="0"/>
              <w:bottom w:val="single" w:color="000000" w:sz="0" w:space="0"/>
              <w:right w:val="single" w:color="000000" w:sz="0" w:space="0"/>
            </w:tcBorders>
            <w:shd w:val="clear" w:color="auto" w:fill="E5EFFF"/>
            <w:vAlign w:val="center"/>
          </w:tcPr>
          <w:p>
            <w:pPr>
              <w:pBdr/>
              <w:spacing w:before="156" w:beforeLines="50"/>
              <w:ind w:firstLine="0"/>
              <w:rPr>
                <w:rFonts w:ascii="仿宋-简" w:hAnsi="仿宋-简" w:eastAsia="仿宋-简" w:cs="仿宋-简"/>
                <w:sz w:val="18"/>
                <w:szCs w:val="24"/>
              </w:rPr>
            </w:pPr>
            <w:r>
              <w:rPr>
                <w:rFonts w:ascii="仿宋-简" w:hAnsi="仿宋-简" w:eastAsia="仿宋-简" w:cs="仿宋-简"/>
                <w:sz w:val="18"/>
                <w:szCs w:val="24"/>
              </w:rPr>
              <w:t>主要技术路线</w:t>
            </w:r>
          </w:p>
        </w:tc>
        <w:tc>
          <w:tcPr>
            <w:tcW w:w="2004" w:type="dxa"/>
            <w:tcBorders>
              <w:top w:val="single" w:color="000000" w:sz="0" w:space="0"/>
              <w:left w:val="single" w:color="000000" w:sz="0" w:space="0"/>
              <w:bottom w:val="single" w:color="000000" w:sz="0" w:space="0"/>
              <w:right w:val="single" w:color="000000" w:sz="0" w:space="0"/>
            </w:tcBorders>
            <w:shd w:val="clear" w:color="auto" w:fill="E5EFFF"/>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公开核心能力</w:t>
            </w:r>
          </w:p>
        </w:tc>
        <w:tc>
          <w:tcPr>
            <w:tcW w:w="1306" w:type="dxa"/>
            <w:tcBorders>
              <w:top w:val="single" w:color="000000" w:sz="0" w:space="0"/>
              <w:left w:val="single" w:color="000000" w:sz="0" w:space="0"/>
              <w:bottom w:val="single" w:color="000000" w:sz="0" w:space="0"/>
              <w:right w:val="single" w:color="000000" w:sz="0" w:space="0"/>
            </w:tcBorders>
            <w:shd w:val="clear" w:color="auto" w:fill="E5EFFF"/>
            <w:vAlign w:val="center"/>
          </w:tcPr>
          <w:p>
            <w:pPr>
              <w:pBdr/>
              <w:spacing w:before="156" w:beforeLines="50"/>
              <w:ind w:firstLine="0"/>
              <w:rPr>
                <w:rFonts w:ascii="仿宋-简" w:hAnsi="仿宋-简" w:eastAsia="仿宋-简" w:cs="仿宋-简"/>
                <w:sz w:val="18"/>
                <w:szCs w:val="24"/>
              </w:rPr>
            </w:pPr>
            <w:r>
              <w:rPr>
                <w:rFonts w:ascii="仿宋-简" w:hAnsi="仿宋-简" w:eastAsia="仿宋-简" w:cs="仿宋-简"/>
                <w:sz w:val="18"/>
                <w:szCs w:val="24"/>
              </w:rPr>
              <w:t>铰接/挂车相关能力</w:t>
            </w:r>
          </w:p>
        </w:tc>
        <w:tc>
          <w:tcPr>
            <w:tcW w:w="1151" w:type="dxa"/>
            <w:tcBorders>
              <w:top w:val="single" w:color="000000" w:sz="0" w:space="0"/>
              <w:left w:val="single" w:color="000000" w:sz="0" w:space="0"/>
              <w:bottom w:val="single" w:color="000000" w:sz="0" w:space="0"/>
              <w:right w:val="single" w:color="000000" w:sz="0" w:space="0"/>
            </w:tcBorders>
            <w:shd w:val="clear" w:color="auto" w:fill="E5EFFF"/>
            <w:vAlign w:val="center"/>
          </w:tcPr>
          <w:p>
            <w:pPr>
              <w:pBdr/>
              <w:spacing w:before="156" w:beforeLines="50"/>
              <w:ind w:firstLine="0"/>
              <w:rPr>
                <w:rFonts w:ascii="仿宋-简" w:hAnsi="仿宋-简" w:eastAsia="仿宋-简" w:cs="仿宋-简"/>
                <w:sz w:val="18"/>
                <w:szCs w:val="24"/>
              </w:rPr>
            </w:pPr>
            <w:r>
              <w:rPr>
                <w:rFonts w:ascii="仿宋-简" w:hAnsi="仿宋-简" w:eastAsia="仿宋-简" w:cs="仿宋-简"/>
                <w:sz w:val="18"/>
                <w:szCs w:val="24"/>
              </w:rPr>
              <w:t>后装能力</w:t>
            </w:r>
          </w:p>
        </w:tc>
      </w:tr>
      <w:tr>
        <w:trPr/>
        <w:tc>
          <w:tcPr>
            <w:tcW w:w="2733"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Continental RightViu®</w:t>
            </w:r>
          </w:p>
        </w:tc>
        <w:tc>
          <w:tcPr>
            <w:tcW w:w="1367"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0"/>
              <w:rPr>
                <w:rFonts w:ascii="仿宋-简" w:hAnsi="仿宋-简" w:eastAsia="仿宋-简" w:cs="仿宋-简"/>
                <w:sz w:val="18"/>
                <w:szCs w:val="24"/>
              </w:rPr>
            </w:pPr>
            <w:r>
              <w:rPr>
                <w:rFonts w:ascii="仿宋-简" w:hAnsi="仿宋-简" w:eastAsia="仿宋-简" w:cs="仿宋-简"/>
                <w:sz w:val="18"/>
                <w:szCs w:val="24"/>
              </w:rPr>
              <w:t>雷达＋转向状态</w:t>
            </w:r>
          </w:p>
        </w:tc>
        <w:tc>
          <w:tcPr>
            <w:tcW w:w="2004"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0"/>
              <w:rPr>
                <w:rFonts w:ascii="仿宋-简" w:hAnsi="仿宋-简" w:eastAsia="仿宋-简" w:cs="仿宋-简"/>
                <w:sz w:val="18"/>
                <w:szCs w:val="24"/>
              </w:rPr>
            </w:pPr>
            <w:r>
              <w:rPr>
                <w:rFonts w:ascii="仿宋-简" w:hAnsi="仿宋-简" w:eastAsia="仿宋-简" w:cs="仿宋-简"/>
                <w:sz w:val="18"/>
                <w:szCs w:val="24"/>
              </w:rPr>
              <w:t>危险区目标检测、转弯识别、声光预警</w:t>
            </w:r>
          </w:p>
        </w:tc>
        <w:tc>
          <w:tcPr>
            <w:tcW w:w="1306"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0"/>
              <w:rPr>
                <w:rFonts w:ascii="仿宋-简" w:hAnsi="仿宋-简" w:eastAsia="仿宋-简" w:cs="仿宋-简"/>
                <w:sz w:val="18"/>
                <w:szCs w:val="24"/>
              </w:rPr>
            </w:pPr>
            <w:r>
              <w:rPr>
                <w:rFonts w:ascii="仿宋-简" w:hAnsi="仿宋-简" w:eastAsia="仿宋-简" w:cs="仿宋-简"/>
                <w:sz w:val="18"/>
                <w:szCs w:val="24"/>
              </w:rPr>
              <w:t>明确支持半挂车型</w:t>
            </w:r>
          </w:p>
        </w:tc>
        <w:tc>
          <w:tcPr>
            <w:tcW w:w="1151"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0"/>
              <w:rPr>
                <w:rFonts w:ascii="仿宋-简" w:hAnsi="仿宋-简" w:eastAsia="仿宋-简" w:cs="仿宋-简"/>
                <w:sz w:val="18"/>
                <w:szCs w:val="24"/>
              </w:rPr>
            </w:pPr>
            <w:r>
              <w:rPr>
                <w:rFonts w:ascii="仿宋-简" w:hAnsi="仿宋-简" w:eastAsia="仿宋-简" w:cs="仿宋-简"/>
                <w:sz w:val="18"/>
                <w:szCs w:val="24"/>
              </w:rPr>
              <w:t>支持</w:t>
            </w:r>
          </w:p>
        </w:tc>
      </w:tr>
      <w:tr>
        <w:trPr/>
        <w:tc>
          <w:tcPr>
            <w:tcW w:w="2733"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Bosch Turn Collision Warning</w:t>
            </w:r>
          </w:p>
        </w:tc>
        <w:tc>
          <w:tcPr>
            <w:tcW w:w="1367"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0"/>
              <w:rPr>
                <w:rFonts w:ascii="仿宋-简" w:hAnsi="仿宋-简" w:eastAsia="仿宋-简" w:cs="仿宋-简"/>
                <w:sz w:val="18"/>
                <w:szCs w:val="24"/>
              </w:rPr>
            </w:pPr>
            <w:r>
              <w:rPr>
                <w:rFonts w:ascii="仿宋-简" w:hAnsi="仿宋-简" w:eastAsia="仿宋-简" w:cs="仿宋-简"/>
                <w:sz w:val="18"/>
                <w:szCs w:val="24"/>
              </w:rPr>
              <w:t>侧向雷达＋车辆状态</w:t>
            </w:r>
          </w:p>
        </w:tc>
        <w:tc>
          <w:tcPr>
            <w:tcW w:w="2004"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0"/>
              <w:rPr>
                <w:rFonts w:ascii="仿宋-简" w:hAnsi="仿宋-简" w:eastAsia="仿宋-简" w:cs="仿宋-简"/>
                <w:sz w:val="18"/>
                <w:szCs w:val="24"/>
              </w:rPr>
            </w:pPr>
            <w:r>
              <w:rPr>
                <w:rFonts w:ascii="仿宋-简" w:hAnsi="仿宋-简" w:eastAsia="仿宋-简" w:cs="仿宋-简"/>
                <w:sz w:val="18"/>
                <w:szCs w:val="24"/>
              </w:rPr>
              <w:t>VRU检测、预测车辆路径与目标风险关联</w:t>
            </w:r>
          </w:p>
        </w:tc>
        <w:tc>
          <w:tcPr>
            <w:tcW w:w="1306"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0"/>
              <w:rPr>
                <w:rFonts w:ascii="仿宋-简" w:hAnsi="仿宋-简" w:eastAsia="仿宋-简" w:cs="仿宋-简"/>
                <w:sz w:val="18"/>
                <w:szCs w:val="24"/>
              </w:rPr>
            </w:pPr>
            <w:r>
              <w:rPr>
                <w:rFonts w:ascii="仿宋-简" w:hAnsi="仿宋-简" w:eastAsia="仿宋-简" w:cs="仿宋-简"/>
                <w:sz w:val="18"/>
                <w:szCs w:val="24"/>
              </w:rPr>
              <w:t>探测覆盖车辆及挂车侧方</w:t>
            </w:r>
          </w:p>
        </w:tc>
        <w:tc>
          <w:tcPr>
            <w:tcW w:w="1151"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0"/>
              <w:rPr>
                <w:rFonts w:ascii="仿宋-简" w:hAnsi="仿宋-简" w:eastAsia="仿宋-简" w:cs="仿宋-简"/>
                <w:sz w:val="18"/>
                <w:szCs w:val="24"/>
              </w:rPr>
            </w:pPr>
            <w:r>
              <w:rPr>
                <w:rFonts w:ascii="仿宋-简" w:hAnsi="仿宋-简" w:eastAsia="仿宋-简" w:cs="仿宋-简"/>
                <w:sz w:val="18"/>
                <w:szCs w:val="24"/>
              </w:rPr>
              <w:t>以系统集成为主</w:t>
            </w:r>
          </w:p>
        </w:tc>
      </w:tr>
      <w:tr>
        <w:trPr/>
        <w:tc>
          <w:tcPr>
            <w:tcW w:w="2733"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ZF OnSide</w:t>
            </w:r>
          </w:p>
        </w:tc>
        <w:tc>
          <w:tcPr>
            <w:tcW w:w="1367"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0"/>
              <w:rPr>
                <w:rFonts w:ascii="仿宋-简" w:hAnsi="仿宋-简" w:eastAsia="仿宋-简" w:cs="仿宋-简"/>
                <w:sz w:val="18"/>
                <w:szCs w:val="24"/>
              </w:rPr>
            </w:pPr>
            <w:r>
              <w:rPr>
                <w:rFonts w:ascii="仿宋-简" w:hAnsi="仿宋-简" w:eastAsia="仿宋-简" w:cs="仿宋-简"/>
                <w:sz w:val="18"/>
                <w:szCs w:val="24"/>
              </w:rPr>
              <w:t>侧向雷达</w:t>
            </w:r>
          </w:p>
        </w:tc>
        <w:tc>
          <w:tcPr>
            <w:tcW w:w="2004"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0"/>
              <w:rPr>
                <w:rFonts w:ascii="仿宋-简" w:hAnsi="仿宋-简" w:eastAsia="仿宋-简" w:cs="仿宋-简"/>
                <w:sz w:val="18"/>
                <w:szCs w:val="24"/>
              </w:rPr>
            </w:pPr>
            <w:r>
              <w:rPr>
                <w:rFonts w:ascii="仿宋-简" w:hAnsi="仿宋-简" w:eastAsia="仿宋-简" w:cs="仿宋-简"/>
                <w:sz w:val="18"/>
                <w:szCs w:val="24"/>
              </w:rPr>
              <w:t>盲区检测、移动目标筛选与提示</w:t>
            </w:r>
          </w:p>
        </w:tc>
        <w:tc>
          <w:tcPr>
            <w:tcW w:w="1306"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0"/>
              <w:rPr>
                <w:rFonts w:ascii="仿宋-简" w:hAnsi="仿宋-简" w:eastAsia="仿宋-简" w:cs="仿宋-简"/>
                <w:sz w:val="18"/>
                <w:szCs w:val="24"/>
              </w:rPr>
            </w:pPr>
            <w:r>
              <w:rPr>
                <w:rFonts w:ascii="仿宋-简" w:hAnsi="仿宋-简" w:eastAsia="仿宋-简" w:cs="仿宋-简"/>
                <w:sz w:val="18"/>
                <w:szCs w:val="24"/>
              </w:rPr>
              <w:t>面向重型商用车</w:t>
            </w:r>
          </w:p>
        </w:tc>
        <w:tc>
          <w:tcPr>
            <w:tcW w:w="1151"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0"/>
              <w:rPr>
                <w:rFonts w:ascii="仿宋-简" w:hAnsi="仿宋-简" w:eastAsia="仿宋-简" w:cs="仿宋-简"/>
                <w:sz w:val="18"/>
                <w:szCs w:val="24"/>
              </w:rPr>
            </w:pPr>
            <w:r>
              <w:rPr>
                <w:rFonts w:ascii="仿宋-简" w:hAnsi="仿宋-简" w:eastAsia="仿宋-简" w:cs="仿宋-简"/>
                <w:sz w:val="18"/>
                <w:szCs w:val="24"/>
              </w:rPr>
              <w:t>存在后装套件</w:t>
            </w:r>
          </w:p>
        </w:tc>
      </w:tr>
      <w:tr>
        <w:trPr/>
        <w:tc>
          <w:tcPr>
            <w:tcW w:w="2733"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Mobileye Shield+</w:t>
            </w:r>
          </w:p>
        </w:tc>
        <w:tc>
          <w:tcPr>
            <w:tcW w:w="1367"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0"/>
              <w:rPr>
                <w:rFonts w:ascii="仿宋-简" w:hAnsi="仿宋-简" w:eastAsia="仿宋-简" w:cs="仿宋-简"/>
                <w:sz w:val="18"/>
                <w:szCs w:val="24"/>
              </w:rPr>
            </w:pPr>
            <w:r>
              <w:rPr>
                <w:rFonts w:ascii="仿宋-简" w:hAnsi="仿宋-简" w:eastAsia="仿宋-简" w:cs="仿宋-简"/>
                <w:sz w:val="18"/>
                <w:szCs w:val="24"/>
              </w:rPr>
              <w:t>多摄像头视觉AI</w:t>
            </w:r>
          </w:p>
        </w:tc>
        <w:tc>
          <w:tcPr>
            <w:tcW w:w="2004"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0"/>
              <w:rPr>
                <w:rFonts w:ascii="仿宋-简" w:hAnsi="仿宋-简" w:eastAsia="仿宋-简" w:cs="仿宋-简"/>
                <w:sz w:val="18"/>
                <w:szCs w:val="24"/>
              </w:rPr>
            </w:pPr>
            <w:r>
              <w:rPr>
                <w:rFonts w:ascii="仿宋-简" w:hAnsi="仿宋-简" w:eastAsia="仿宋-简" w:cs="仿宋-简"/>
                <w:sz w:val="18"/>
                <w:szCs w:val="24"/>
              </w:rPr>
              <w:t>VRU识别、盲区检测、分级报警、数据记录</w:t>
            </w:r>
          </w:p>
        </w:tc>
        <w:tc>
          <w:tcPr>
            <w:tcW w:w="1306"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0"/>
              <w:rPr>
                <w:rFonts w:ascii="仿宋-简" w:hAnsi="仿宋-简" w:eastAsia="仿宋-简" w:cs="仿宋-简"/>
                <w:sz w:val="18"/>
                <w:szCs w:val="24"/>
              </w:rPr>
            </w:pPr>
            <w:r>
              <w:rPr>
                <w:rFonts w:ascii="仿宋-简" w:hAnsi="仿宋-简" w:eastAsia="仿宋-简" w:cs="仿宋-简"/>
                <w:sz w:val="18"/>
                <w:szCs w:val="24"/>
              </w:rPr>
              <w:t>面向公交及大型车辆</w:t>
            </w:r>
          </w:p>
        </w:tc>
        <w:tc>
          <w:tcPr>
            <w:tcW w:w="1151"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0"/>
              <w:rPr>
                <w:rFonts w:ascii="仿宋-简" w:hAnsi="仿宋-简" w:eastAsia="仿宋-简" w:cs="仿宋-简"/>
                <w:sz w:val="18"/>
                <w:szCs w:val="24"/>
              </w:rPr>
            </w:pPr>
            <w:r>
              <w:rPr>
                <w:rFonts w:ascii="仿宋-简" w:hAnsi="仿宋-简" w:eastAsia="仿宋-简" w:cs="仿宋-简"/>
                <w:sz w:val="18"/>
                <w:szCs w:val="24"/>
              </w:rPr>
              <w:t>支持</w:t>
            </w:r>
          </w:p>
        </w:tc>
      </w:tr>
      <w:tr>
        <w:trPr/>
        <w:tc>
          <w:tcPr>
            <w:tcW w:w="2733"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Brigade Radar Predict</w:t>
            </w:r>
          </w:p>
        </w:tc>
        <w:tc>
          <w:tcPr>
            <w:tcW w:w="1367"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0"/>
              <w:rPr>
                <w:rFonts w:ascii="仿宋-简" w:hAnsi="仿宋-简" w:eastAsia="仿宋-简" w:cs="仿宋-简"/>
                <w:sz w:val="18"/>
                <w:szCs w:val="24"/>
              </w:rPr>
            </w:pPr>
            <w:r>
              <w:rPr>
                <w:rFonts w:ascii="仿宋-简" w:hAnsi="仿宋-简" w:eastAsia="仿宋-简" w:cs="仿宋-简"/>
                <w:sz w:val="18"/>
                <w:szCs w:val="24"/>
              </w:rPr>
              <w:t>77 GHz AI雷达</w:t>
            </w:r>
          </w:p>
        </w:tc>
        <w:tc>
          <w:tcPr>
            <w:tcW w:w="2004"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0"/>
              <w:rPr>
                <w:rFonts w:ascii="仿宋-简" w:hAnsi="仿宋-简" w:eastAsia="仿宋-简" w:cs="仿宋-简"/>
                <w:sz w:val="18"/>
                <w:szCs w:val="24"/>
              </w:rPr>
            </w:pPr>
            <w:r>
              <w:rPr>
                <w:rFonts w:ascii="仿宋-简" w:hAnsi="仿宋-简" w:eastAsia="仿宋-简" w:cs="仿宋-简"/>
                <w:sz w:val="18"/>
                <w:szCs w:val="24"/>
              </w:rPr>
              <w:t>分析速度和方向、预测碰撞、过滤无效目标</w:t>
            </w:r>
          </w:p>
        </w:tc>
        <w:tc>
          <w:tcPr>
            <w:tcW w:w="1306"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0"/>
              <w:rPr>
                <w:rFonts w:ascii="仿宋-简" w:hAnsi="仿宋-简" w:eastAsia="仿宋-简" w:cs="仿宋-简"/>
                <w:sz w:val="18"/>
                <w:szCs w:val="24"/>
              </w:rPr>
            </w:pPr>
            <w:r>
              <w:rPr>
                <w:rFonts w:ascii="仿宋-简" w:hAnsi="仿宋-简" w:eastAsia="仿宋-简" w:cs="仿宋-简"/>
                <w:sz w:val="18"/>
                <w:szCs w:val="24"/>
              </w:rPr>
              <w:t>支持铰接车辆并自动识别挂车</w:t>
            </w:r>
          </w:p>
        </w:tc>
        <w:tc>
          <w:tcPr>
            <w:tcW w:w="1151"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0"/>
              <w:rPr>
                <w:rFonts w:ascii="仿宋-简" w:hAnsi="仿宋-简" w:eastAsia="仿宋-简" w:cs="仿宋-简"/>
                <w:sz w:val="18"/>
                <w:szCs w:val="24"/>
              </w:rPr>
            </w:pPr>
            <w:r>
              <w:rPr>
                <w:rFonts w:ascii="仿宋-简" w:hAnsi="仿宋-简" w:eastAsia="仿宋-简" w:cs="仿宋-简"/>
                <w:sz w:val="18"/>
                <w:szCs w:val="24"/>
              </w:rPr>
              <w:t>支持</w:t>
            </w:r>
          </w:p>
        </w:tc>
      </w:tr>
    </w:tbl>
    <w:p>
      <w:pPr>
        <w:numPr/>
        <w:pBdr>
          <w:bottom/>
        </w:pBdr>
        <w:ind w:firstLine="360" w:firstLineChars="200"/>
        <w:jc w:val="center"/>
        <w:rPr>
          <w:rFonts w:hint="eastAsia" w:ascii="黑体" w:hAnsi="黑体" w:eastAsia="黑体"/>
          <w:sz w:val="18"/>
          <w:szCs w:val="18"/>
        </w:rPr>
      </w:pPr>
      <w:r>
        <w:rPr>
          <w:rFonts w:hint="eastAsia" w:ascii="黑体" w:hAnsi="黑体" w:eastAsia="黑体"/>
          <w:sz w:val="18"/>
          <w:szCs w:val="18"/>
        </w:rPr>
        <w:t>表3-1-6</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上述产品表明，成熟市场已经具备</w:t>
      </w:r>
      <w:r>
        <w:rPr>
          <w:rFonts w:hint="eastAsia" w:ascii="宋体" w:hAnsi="宋体" w:eastAsia="宋体"/>
          <w:b w:val="1"/>
          <w:color w:val="1450B8"/>
          <w:sz w:val="24"/>
          <w:szCs w:val="24"/>
        </w:rPr>
        <w:t>目标检测、运动趋势分析、车辆路径关联、分级报警和铰接车辆适配</w:t>
      </w:r>
      <w:r>
        <w:rPr>
          <w:rFonts w:hint="eastAsia" w:ascii="宋体" w:hAnsi="宋体" w:eastAsia="宋体"/>
          <w:sz w:val="24"/>
          <w:szCs w:val="24"/>
        </w:rPr>
        <w:t>等能力。</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因此，本项目不将“是否能够预测”作为唯一竞争边界，而是进一步落到：</w:t>
      </w:r>
      <w:r>
        <w:rPr>
          <w:rFonts w:hint="eastAsia" w:ascii="宋体" w:hAnsi="宋体" w:eastAsia="宋体"/>
          <w:b w:val="1"/>
          <w:color w:val="1450B8"/>
          <w:sz w:val="24"/>
          <w:szCs w:val="24"/>
        </w:rPr>
        <w:t>预测的具体对象是什么、是否显式描述牵引车—挂车耦合状态、是否计算完整车身扫掠空间，以及这些能力能否在合理后装成本下产生更高的实际预警价值</w:t>
      </w:r>
      <w:r>
        <w:rPr>
          <w:rFonts w:hint="eastAsia" w:ascii="宋体" w:hAnsi="宋体" w:eastAsia="宋体"/>
          <w:sz w:val="24"/>
          <w:szCs w:val="24"/>
        </w:rPr>
        <w:t>。</w:t>
      </w:r>
    </w:p>
    <w:p>
      <w:pPr>
        <w:numPr/>
        <w:spacing w:before="156" w:beforeLines="50"/>
        <w:ind/>
        <w:rPr>
          <w:rFonts w:hint="eastAsia" w:ascii="宋体" w:hAnsi="宋体" w:eastAsia="宋体"/>
          <w:b w:val="1"/>
          <w:bCs w:val="1"/>
          <w:sz w:val="24"/>
          <w:szCs w:val="24"/>
        </w:rPr>
      </w:pPr>
      <w:r>
        <w:rPr>
          <w:rFonts w:hint="eastAsia" w:ascii="宋体" w:hAnsi="宋体" w:eastAsia="宋体"/>
          <w:b w:val="1"/>
          <w:bCs w:val="1"/>
          <w:sz w:val="24"/>
          <w:szCs w:val="24"/>
        </w:rPr>
        <w:t>（二）国内商用车盲区监测产品</w:t>
      </w:r>
    </w:p>
    <w:p>
      <w:pPr>
        <w:pBdr>
          <w:bottom/>
        </w:pBdr>
        <w:spacing w:before="156" w:beforeLines="50"/>
        <w:ind w:firstLine="420"/>
        <w:rPr>
          <w:rFonts w:hint="eastAsia" w:ascii="宋体" w:hAnsi="宋体" w:eastAsia="宋体"/>
          <w:sz w:val="24"/>
          <w:szCs w:val="24"/>
        </w:rPr>
      </w:pPr>
      <w:r>
        <w:rPr>
          <w:rFonts w:hint="eastAsia" w:ascii="宋体" w:hAnsi="宋体" w:eastAsia="宋体"/>
          <w:sz w:val="24"/>
          <w:szCs w:val="24"/>
        </w:rPr>
        <w:t>国内市场已经形成雷达BSD、视觉盲区监测、右转声光提醒以及多路摄像等多种产品形态，同时部分地方政府和运营单位已经开展相关安全设备配置和集中部署。</w:t>
      </w:r>
    </w:p>
    <w:p>
      <w:pPr>
        <w:pBdr/>
        <w:spacing w:before="156" w:beforeLines="50"/>
        <w:ind w:firstLine="420"/>
        <w:rPr>
          <w:rFonts w:hint="eastAsia" w:ascii="宋体" w:hAnsi="宋体" w:eastAsia="宋体"/>
          <w:sz w:val="24"/>
          <w:szCs w:val="24"/>
          <w:shd w:val="clear" w:color="auto" w:fill="FFFF00"/>
        </w:rPr>
      </w:pPr>
      <w:r>
        <w:rPr>
          <w:rFonts w:hint="eastAsia" w:ascii="宋体" w:hAnsi="宋体" w:eastAsia="宋体"/>
          <w:sz w:val="24"/>
          <w:szCs w:val="24"/>
          <w:shd w:val="clear" w:color="auto" w:fill="FFFF00"/>
        </w:rPr>
        <w:t>【待补充：国内直接竞品】</w:t>
      </w:r>
    </w:p>
    <w:p>
      <w:pPr>
        <w:snapToGrid w:val="1"/>
        <w:spacing w:before="156" w:after="0" w:line="240"/>
        <w:ind w:left="0" w:right="0" w:firstLine="420"/>
        <w:jc w:val="both"/>
        <w:rPr/>
      </w:pPr>
      <w:r>
        <w:rPr>
          <w:rFonts w:ascii="等线" w:hAnsi="等线" w:eastAsia="等线" w:cs="等线"/>
          <w:b w:val="1"/>
          <w:i w:val="0"/>
          <w:strike w:val="0"/>
          <w:color w:val="000000"/>
          <w:sz w:val="21"/>
          <w:u w:val="none"/>
          <w:shd w:val="clear" w:color="auto" w:fill="FFFF00"/>
        </w:rPr>
        <w:t>【B岗补充：国内直接竞品初步对比表（待技术组、正式询价复核）】</w:t>
      </w:r>
    </w:p>
    <w:tbl>
      <w:tblPr>
        <w:tblStyle w:val="0000a0"/>
        <w:jc w:val="center"/>
        <w:tblLayout w:type="fixed"/>
      </w:tblPr>
      <w:tblGrid>
        <w:gridCol w:w="1650"/>
        <w:gridCol w:w="1650"/>
        <w:gridCol w:w="1650"/>
        <w:gridCol w:w="1650"/>
        <w:gridCol w:w="1650"/>
      </w:tblGrid>
      <w:tr>
        <w:trPr>
          <w:trHeight/>
        </w:trPr>
        <w:tc>
          <w:tcPr>
            <w:tcW w:w="1650" w:type="dxa"/>
            <w:tcBorders>
              <w:top w:val="single" w:color="000000" w:sz="8" w:space="0"/>
              <w:left w:val="single" w:color="000000" w:sz="8" w:space="0"/>
              <w:bottom w:val="single" w:color="000000" w:sz="8" w:space="0"/>
              <w:right w:val="single" w:color="000000" w:sz="8" w:space="0"/>
            </w:tcBorders>
            <w:shd w:val="clear" w:color="auto" w:fill="E5EFFF"/>
            <w:tcMar>
              <w:top w:w="0" w:type="dxa"/>
              <w:left w:w="108" w:type="dxa"/>
              <w:bottom w:w="0" w:type="dxa"/>
              <w:right w:w="108" w:type="dxa"/>
            </w:tcMar>
            <w:vAlign w:val="center"/>
          </w:tcPr>
          <w:p>
            <w:pPr>
              <w:snapToGrid w:val="1"/>
              <w:spacing w:before="0" w:after="0" w:line="240"/>
              <w:ind w:left="0" w:right="0"/>
              <w:jc w:val="center"/>
              <w:rPr/>
            </w:pPr>
            <w:r>
              <w:rPr>
                <w:rFonts w:ascii="仿宋-简" w:hAnsi="仿宋-简" w:eastAsia="仿宋-简" w:cs="仿宋-简"/>
                <w:b w:val="1"/>
                <w:i w:val="0"/>
                <w:strike w:val="0"/>
                <w:color w:val="000000"/>
                <w:spacing w:val="0"/>
                <w:sz w:val="18"/>
                <w:u w:val="none"/>
              </w:rPr>
              <w:t>品牌及型号</w:t>
            </w:r>
          </w:p>
        </w:tc>
        <w:tc>
          <w:tcPr>
            <w:tcW w:w="1650" w:type="dxa"/>
            <w:tcBorders>
              <w:top w:val="single" w:color="000000" w:sz="8" w:space="0"/>
              <w:left w:val="single" w:color="000000" w:sz="0" w:space="0"/>
              <w:bottom w:val="single" w:color="000000" w:sz="8" w:space="0"/>
              <w:right w:val="single" w:color="000000" w:sz="8" w:space="0"/>
            </w:tcBorders>
            <w:shd w:val="clear" w:color="auto" w:fill="E5EFFF"/>
            <w:tcMar>
              <w:top w:w="0" w:type="dxa"/>
              <w:left w:w="108" w:type="dxa"/>
              <w:bottom w:w="0" w:type="dxa"/>
              <w:right w:w="108" w:type="dxa"/>
            </w:tcMar>
            <w:vAlign w:val="center"/>
          </w:tcPr>
          <w:p>
            <w:pPr>
              <w:snapToGrid w:val="1"/>
              <w:spacing w:before="0" w:after="0" w:line="240"/>
              <w:ind w:left="0" w:right="0"/>
              <w:jc w:val="center"/>
              <w:rPr/>
            </w:pPr>
            <w:r>
              <w:rPr>
                <w:rFonts w:ascii="仿宋-简" w:hAnsi="仿宋-简" w:eastAsia="仿宋-简" w:cs="仿宋-简"/>
                <w:b w:val="1"/>
                <w:i w:val="0"/>
                <w:strike w:val="0"/>
                <w:color w:val="000000"/>
                <w:spacing w:val="0"/>
                <w:sz w:val="18"/>
                <w:u w:val="none"/>
              </w:rPr>
              <w:t>方案、目标车型与传感器</w:t>
            </w:r>
          </w:p>
        </w:tc>
        <w:tc>
          <w:tcPr>
            <w:tcW w:w="1650" w:type="dxa"/>
            <w:tcBorders>
              <w:top w:val="single" w:color="000000" w:sz="8" w:space="0"/>
              <w:left w:val="single" w:color="000000" w:sz="0" w:space="0"/>
              <w:bottom w:val="single" w:color="000000" w:sz="8" w:space="0"/>
              <w:right w:val="single" w:color="000000" w:sz="8" w:space="0"/>
            </w:tcBorders>
            <w:shd w:val="clear" w:color="auto" w:fill="E5EFFF"/>
            <w:tcMar>
              <w:top w:w="0" w:type="dxa"/>
              <w:left w:w="108" w:type="dxa"/>
              <w:bottom w:w="0" w:type="dxa"/>
              <w:right w:w="108" w:type="dxa"/>
            </w:tcMar>
            <w:vAlign w:val="center"/>
          </w:tcPr>
          <w:p>
            <w:pPr>
              <w:snapToGrid w:val="1"/>
              <w:spacing w:before="0" w:after="0" w:line="240"/>
              <w:ind w:left="0" w:right="0"/>
              <w:jc w:val="center"/>
              <w:rPr/>
            </w:pPr>
            <w:r>
              <w:rPr>
                <w:rFonts w:ascii="仿宋-简" w:hAnsi="仿宋-简" w:eastAsia="仿宋-简" w:cs="仿宋-简"/>
                <w:b w:val="1"/>
                <w:i w:val="0"/>
                <w:strike w:val="0"/>
                <w:color w:val="000000"/>
                <w:spacing w:val="0"/>
                <w:sz w:val="18"/>
                <w:u w:val="none"/>
              </w:rPr>
              <w:t>车辆状态与预测能力</w:t>
            </w:r>
          </w:p>
        </w:tc>
        <w:tc>
          <w:tcPr>
            <w:tcW w:w="1650" w:type="dxa"/>
            <w:tcBorders>
              <w:top w:val="single" w:color="000000" w:sz="8" w:space="0"/>
              <w:left w:val="single" w:color="000000" w:sz="0" w:space="0"/>
              <w:bottom w:val="single" w:color="000000" w:sz="8" w:space="0"/>
              <w:right w:val="single" w:color="000000" w:sz="8" w:space="0"/>
            </w:tcBorders>
            <w:shd w:val="clear" w:color="auto" w:fill="E5EFFF"/>
            <w:tcMar>
              <w:top w:w="0" w:type="dxa"/>
              <w:left w:w="108" w:type="dxa"/>
              <w:bottom w:w="0" w:type="dxa"/>
              <w:right w:w="108" w:type="dxa"/>
            </w:tcMar>
            <w:vAlign w:val="center"/>
          </w:tcPr>
          <w:p>
            <w:pPr>
              <w:snapToGrid w:val="1"/>
              <w:spacing w:before="0" w:after="0" w:line="240"/>
              <w:ind w:left="0" w:right="0"/>
              <w:jc w:val="center"/>
              <w:rPr/>
            </w:pPr>
            <w:r>
              <w:rPr>
                <w:rFonts w:ascii="仿宋-简" w:hAnsi="仿宋-简" w:eastAsia="仿宋-简" w:cs="仿宋-简"/>
                <w:b w:val="1"/>
                <w:i w:val="0"/>
                <w:strike w:val="0"/>
                <w:color w:val="000000"/>
                <w:spacing w:val="0"/>
                <w:sz w:val="18"/>
                <w:u w:val="none"/>
              </w:rPr>
              <w:t>半挂专项、安装与标定</w:t>
            </w:r>
          </w:p>
        </w:tc>
        <w:tc>
          <w:tcPr>
            <w:tcW w:w="1650" w:type="dxa"/>
            <w:tcBorders>
              <w:top w:val="single" w:color="000000" w:sz="8" w:space="0"/>
              <w:left w:val="single" w:color="000000" w:sz="0" w:space="0"/>
              <w:bottom w:val="single" w:color="000000" w:sz="8" w:space="0"/>
              <w:right w:val="single" w:color="000000" w:sz="8" w:space="0"/>
            </w:tcBorders>
            <w:shd w:val="clear" w:color="auto" w:fill="E5EFFF"/>
            <w:tcMar>
              <w:top w:w="0" w:type="dxa"/>
              <w:left w:w="108" w:type="dxa"/>
              <w:bottom w:w="0" w:type="dxa"/>
              <w:right w:w="108" w:type="dxa"/>
            </w:tcMar>
            <w:vAlign w:val="center"/>
          </w:tcPr>
          <w:p>
            <w:pPr>
              <w:snapToGrid w:val="1"/>
              <w:spacing w:before="0" w:after="0" w:line="240"/>
              <w:ind w:left="0" w:right="0"/>
              <w:jc w:val="center"/>
              <w:rPr/>
            </w:pPr>
            <w:r>
              <w:rPr>
                <w:rFonts w:ascii="仿宋-简" w:hAnsi="仿宋-简" w:eastAsia="仿宋-简" w:cs="仿宋-简"/>
                <w:b w:val="1"/>
                <w:i w:val="0"/>
                <w:strike w:val="0"/>
                <w:color w:val="000000"/>
                <w:spacing w:val="0"/>
                <w:sz w:val="18"/>
                <w:u w:val="none"/>
              </w:rPr>
              <w:t>报价及证据状态</w:t>
            </w:r>
          </w:p>
        </w:tc>
      </w:tr>
      <w:tr>
        <w:trPr/>
        <w:tc>
          <w:tcPr>
            <w:tcW w:w="165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锐明技术 CA24S右侧智能摄像主机</w:t>
            </w:r>
          </w:p>
        </w:tc>
        <w:tc>
          <w:tcPr>
            <w:tcW w:w="165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视觉AI BSD；面向商用车右侧盲区；摄像头+AI。</w:t>
            </w:r>
          </w:p>
        </w:tc>
        <w:tc>
          <w:tcPr>
            <w:tcW w:w="165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官网称结合车辆运动状态分析并预测碰撞危险；车辆状态接口、目标/车辆轨迹算法及完整车身扫掠区能力未公开。</w:t>
            </w:r>
          </w:p>
        </w:tc>
        <w:tc>
          <w:tcPr>
            <w:tcW w:w="165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未发现半挂耦合专项说明；后装倾向，安装、布线和标定方式需询价。</w:t>
            </w:r>
          </w:p>
        </w:tc>
        <w:tc>
          <w:tcPr>
            <w:tcW w:w="165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官网未公开设备、安装和服务报价。证据：锐明产品官网；真实成交/交付记录仍待补。</w:t>
            </w:r>
          </w:p>
        </w:tc>
      </w:tr>
      <w:tr>
        <w:trPr/>
        <w:tc>
          <w:tcPr>
            <w:tcW w:w="165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锐明技术 智能CMS商用车系列</w:t>
            </w:r>
          </w:p>
        </w:tc>
        <w:tc>
          <w:tcPr>
            <w:tcW w:w="165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电子后视镜+智能BSD；面向商用车；摄像头/CMS，具体传感器随型号。</w:t>
            </w:r>
          </w:p>
        </w:tc>
        <w:tc>
          <w:tcPr>
            <w:tcW w:w="165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年报披露BSD升级能力，但具体型号是否接入转向状态、是否进行轨迹或扫掠区预测未公开。</w:t>
            </w:r>
          </w:p>
        </w:tc>
        <w:tc>
          <w:tcPr>
            <w:tcW w:w="165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半挂专项、前装/后装边界和标定方式需按具体型号确认。</w:t>
            </w:r>
          </w:p>
        </w:tc>
        <w:tc>
          <w:tcPr>
            <w:tcW w:w="165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公司年报披露GB 15084、UN R46/R10/R118等认证信息；报价及型号对应证书待询价核实。</w:t>
            </w:r>
          </w:p>
        </w:tc>
      </w:tr>
      <w:tr>
        <w:trPr/>
        <w:tc>
          <w:tcPr>
            <w:tcW w:w="165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鸿泉物联 HQX301</w:t>
            </w:r>
          </w:p>
        </w:tc>
        <w:tc>
          <w:tcPr>
            <w:tcW w:w="165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ADAS/DSM可扩展右侧BSD；商用车后装及车队管理；摄像头、GPS/北斗、4G，可扩展右侧BSD。</w:t>
            </w:r>
          </w:p>
        </w:tc>
        <w:tc>
          <w:tcPr>
            <w:tcW w:w="165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具备定位、录像和主动安全提示；是否读取转向状态、是否预测目标/车辆轨迹及扫掠区，官网未披露。</w:t>
            </w:r>
          </w:p>
        </w:tc>
        <w:tc>
          <w:tcPr>
            <w:tcW w:w="165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未发现半挂车辆专项说明；BSD摄像头、算法授权、安装和平台接入方式需询价。</w:t>
            </w:r>
          </w:p>
        </w:tc>
        <w:tc>
          <w:tcPr>
            <w:tcW w:w="165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官网未公开硬件、安装、算法授权及平台年费；属于真实公开产品，成交与交付案例仍待取得。</w:t>
            </w:r>
          </w:p>
        </w:tc>
      </w:tr>
      <w:tr>
        <w:trPr/>
        <w:tc>
          <w:tcPr>
            <w:tcW w:w="165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鸿泉物联 HQA802</w:t>
            </w:r>
          </w:p>
        </w:tc>
        <w:tc>
          <w:tcPr>
            <w:tcW w:w="165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视频AI+车联网平台；面向商用车主动安全/监管；GPS/北斗、4G、最高8路视频和2.0T算力。</w:t>
            </w:r>
          </w:p>
        </w:tc>
        <w:tc>
          <w:tcPr>
            <w:tcW w:w="165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可扩展DSM、BSD、ADAS和360算法；转向状态输入、轨迹预测和完整车身扫掠区能力未公开。</w:t>
            </w:r>
          </w:p>
        </w:tc>
        <w:tc>
          <w:tcPr>
            <w:tcW w:w="165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未发现半挂耦合专项说明；前后装属性、摄像头布置及标定方式待厂商确认。</w:t>
            </w:r>
          </w:p>
        </w:tc>
        <w:tc>
          <w:tcPr>
            <w:tcW w:w="165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官网披露满足GB/T 19056—2021等要求；具体配置、安装费、算法费和平台服务费需正式询价。</w:t>
            </w:r>
          </w:p>
        </w:tc>
      </w:tr>
    </w:tbl>
    <w:p>
      <w:pPr>
        <w:numPr/>
        <w:spacing w:before="156" w:beforeLines="50"/>
        <w:ind/>
        <w:rPr>
          <w:rFonts w:hint="eastAsia" w:ascii="宋体" w:hAnsi="宋体" w:eastAsia="宋体"/>
          <w:b w:val="1"/>
          <w:bCs w:val="1"/>
          <w:sz w:val="24"/>
          <w:szCs w:val="24"/>
        </w:rPr>
      </w:pPr>
      <w:r>
        <w:rPr>
          <w:rFonts w:hint="eastAsia" w:ascii="宋体" w:hAnsi="宋体" w:eastAsia="宋体"/>
          <w:b w:val="1"/>
          <w:bCs w:val="1"/>
          <w:sz w:val="24"/>
          <w:szCs w:val="24"/>
        </w:rPr>
        <w:t>（三）前装产品与后装产品比较</w:t>
      </w:r>
    </w:p>
    <w:p>
      <w:pPr>
        <w:pBdr>
          <w:bottom/>
        </w:pBdr>
        <w:spacing w:before="156" w:beforeLines="50"/>
        <w:ind w:firstLine="420"/>
        <w:rPr>
          <w:rFonts w:hint="eastAsia" w:ascii="宋体" w:hAnsi="宋体" w:eastAsia="宋体"/>
          <w:sz w:val="24"/>
          <w:szCs w:val="24"/>
        </w:rPr>
      </w:pPr>
      <w:r>
        <w:rPr>
          <w:rFonts w:hint="eastAsia" w:ascii="宋体" w:hAnsi="宋体" w:eastAsia="宋体"/>
          <w:sz w:val="24"/>
          <w:szCs w:val="24"/>
        </w:rPr>
        <w:t>商用车主动安全系统存在明显不同的前装和后装竞争逻辑。</w:t>
      </w:r>
    </w:p>
    <w:tbl>
      <w:tblPr>
        <w:tblStyle w:val="0000a0"/>
        <w:jc w:val="center"/>
        <w:tblInd w:w="0"/>
        <w:tblLayout w:type="fixed"/>
      </w:tblPr>
      <w:tblGrid>
        <w:gridCol w:w="1532"/>
        <w:gridCol w:w="3244"/>
        <w:gridCol w:w="3515"/>
      </w:tblGrid>
      <w:tr>
        <w:trPr/>
        <w:tc>
          <w:tcPr>
            <w:tcW w:w="1532" w:type="dxa"/>
            <w:tcBorders>
              <w:top w:val="single" w:color="000000" w:sz="0" w:space="0"/>
              <w:left w:val="single" w:color="000000" w:sz="0" w:space="0"/>
              <w:bottom w:val="single" w:color="000000" w:sz="0" w:space="0"/>
              <w:right w:val="single" w:color="000000" w:sz="0" w:space="0"/>
            </w:tcBorders>
            <w:shd w:val="clear" w:color="auto" w:fill="E5EFFF"/>
            <w:vAlign w:val="center"/>
          </w:tcPr>
          <w:p>
            <w:pPr>
              <w:pBdr/>
              <w:spacing w:before="156" w:beforeLines="50"/>
              <w:ind w:firstLine="0"/>
              <w:rPr>
                <w:rFonts w:ascii="仿宋-简" w:hAnsi="仿宋-简" w:eastAsia="仿宋-简" w:cs="仿宋-简"/>
                <w:sz w:val="18"/>
                <w:szCs w:val="24"/>
              </w:rPr>
            </w:pPr>
            <w:r>
              <w:rPr>
                <w:rFonts w:ascii="仿宋-简" w:hAnsi="仿宋-简" w:eastAsia="仿宋-简" w:cs="仿宋-简"/>
                <w:sz w:val="18"/>
                <w:szCs w:val="24"/>
              </w:rPr>
              <w:t>对比维度</w:t>
            </w:r>
          </w:p>
        </w:tc>
        <w:tc>
          <w:tcPr>
            <w:tcW w:w="3244" w:type="dxa"/>
            <w:tcBorders>
              <w:top w:val="single" w:color="000000" w:sz="0" w:space="0"/>
              <w:left w:val="single" w:color="000000" w:sz="0" w:space="0"/>
              <w:bottom w:val="single" w:color="000000" w:sz="0" w:space="0"/>
              <w:right w:val="single" w:color="000000" w:sz="0" w:space="0"/>
            </w:tcBorders>
            <w:shd w:val="clear" w:color="auto" w:fill="E5EFFF"/>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前装市场</w:t>
            </w:r>
          </w:p>
        </w:tc>
        <w:tc>
          <w:tcPr>
            <w:tcW w:w="3515" w:type="dxa"/>
            <w:tcBorders>
              <w:top w:val="single" w:color="000000" w:sz="0" w:space="0"/>
              <w:left w:val="single" w:color="000000" w:sz="0" w:space="0"/>
              <w:bottom w:val="single" w:color="000000" w:sz="0" w:space="0"/>
              <w:right w:val="single" w:color="000000" w:sz="0" w:space="0"/>
            </w:tcBorders>
            <w:shd w:val="clear" w:color="auto" w:fill="E5EFFF"/>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后装市场</w:t>
            </w:r>
          </w:p>
        </w:tc>
      </w:tr>
      <w:tr>
        <w:trPr/>
        <w:tc>
          <w:tcPr>
            <w:tcW w:w="1532"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0"/>
              <w:rPr>
                <w:rFonts w:ascii="仿宋-简" w:hAnsi="仿宋-简" w:eastAsia="仿宋-简" w:cs="仿宋-简"/>
                <w:sz w:val="18"/>
                <w:szCs w:val="24"/>
              </w:rPr>
            </w:pPr>
            <w:r>
              <w:rPr>
                <w:rFonts w:ascii="仿宋-简" w:hAnsi="仿宋-简" w:eastAsia="仿宋-简" w:cs="仿宋-简"/>
                <w:sz w:val="18"/>
                <w:szCs w:val="24"/>
              </w:rPr>
              <w:t>主要客户</w:t>
            </w:r>
          </w:p>
        </w:tc>
        <w:tc>
          <w:tcPr>
            <w:tcW w:w="3244"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商用车主机厂、挂车厂</w:t>
            </w:r>
          </w:p>
        </w:tc>
        <w:tc>
          <w:tcPr>
            <w:tcW w:w="3515"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0"/>
              <w:rPr>
                <w:rFonts w:ascii="仿宋-简" w:hAnsi="仿宋-简" w:eastAsia="仿宋-简" w:cs="仿宋-简"/>
                <w:sz w:val="18"/>
                <w:szCs w:val="24"/>
              </w:rPr>
            </w:pPr>
            <w:r>
              <w:rPr>
                <w:rFonts w:ascii="仿宋-简" w:hAnsi="仿宋-简" w:eastAsia="仿宋-简" w:cs="仿宋-简"/>
                <w:sz w:val="18"/>
                <w:szCs w:val="24"/>
              </w:rPr>
              <w:t>物流车队、港口、园区、工程运输企业</w:t>
            </w:r>
          </w:p>
        </w:tc>
      </w:tr>
      <w:tr>
        <w:trPr/>
        <w:tc>
          <w:tcPr>
            <w:tcW w:w="1532"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0"/>
              <w:rPr>
                <w:rFonts w:ascii="仿宋-简" w:hAnsi="仿宋-简" w:eastAsia="仿宋-简" w:cs="仿宋-简"/>
                <w:sz w:val="18"/>
                <w:szCs w:val="24"/>
              </w:rPr>
            </w:pPr>
            <w:r>
              <w:rPr>
                <w:rFonts w:ascii="仿宋-简" w:hAnsi="仿宋-简" w:eastAsia="仿宋-简" w:cs="仿宋-简"/>
                <w:sz w:val="18"/>
                <w:szCs w:val="24"/>
              </w:rPr>
              <w:t>车辆数据接入</w:t>
            </w:r>
          </w:p>
        </w:tc>
        <w:tc>
          <w:tcPr>
            <w:tcW w:w="3244"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0"/>
              <w:rPr>
                <w:rFonts w:ascii="仿宋-简" w:hAnsi="仿宋-简" w:eastAsia="仿宋-简" w:cs="仿宋-简"/>
                <w:sz w:val="18"/>
                <w:szCs w:val="24"/>
              </w:rPr>
            </w:pPr>
            <w:r>
              <w:rPr>
                <w:rFonts w:ascii="仿宋-简" w:hAnsi="仿宋-简" w:eastAsia="仿宋-简" w:cs="仿宋-简"/>
                <w:sz w:val="18"/>
                <w:szCs w:val="24"/>
              </w:rPr>
              <w:t>可与整车CAN及电子架构深度集成</w:t>
            </w:r>
          </w:p>
        </w:tc>
        <w:tc>
          <w:tcPr>
            <w:tcW w:w="3515"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需根据存量车型设计数据接口</w:t>
            </w:r>
          </w:p>
        </w:tc>
      </w:tr>
      <w:tr>
        <w:trPr/>
        <w:tc>
          <w:tcPr>
            <w:tcW w:w="1532"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0"/>
              <w:rPr>
                <w:rFonts w:ascii="仿宋-简" w:hAnsi="仿宋-简" w:eastAsia="仿宋-简" w:cs="仿宋-简"/>
                <w:sz w:val="18"/>
                <w:szCs w:val="24"/>
              </w:rPr>
            </w:pPr>
            <w:r>
              <w:rPr>
                <w:rFonts w:ascii="仿宋-简" w:hAnsi="仿宋-简" w:eastAsia="仿宋-简" w:cs="仿宋-简"/>
                <w:sz w:val="18"/>
                <w:szCs w:val="24"/>
              </w:rPr>
              <w:t>传感器安装</w:t>
            </w:r>
          </w:p>
        </w:tc>
        <w:tc>
          <w:tcPr>
            <w:tcW w:w="3244"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在整车开发阶段完成</w:t>
            </w:r>
          </w:p>
        </w:tc>
        <w:tc>
          <w:tcPr>
            <w:tcW w:w="3515"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需要现场安装及车型适配</w:t>
            </w:r>
          </w:p>
        </w:tc>
      </w:tr>
      <w:tr>
        <w:trPr/>
        <w:tc>
          <w:tcPr>
            <w:tcW w:w="1532"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0"/>
              <w:rPr>
                <w:rFonts w:ascii="仿宋-简" w:hAnsi="仿宋-简" w:eastAsia="仿宋-简" w:cs="仿宋-简"/>
                <w:sz w:val="18"/>
                <w:szCs w:val="24"/>
              </w:rPr>
            </w:pPr>
            <w:r>
              <w:rPr>
                <w:rFonts w:ascii="仿宋-简" w:hAnsi="仿宋-简" w:eastAsia="仿宋-简" w:cs="仿宋-简"/>
                <w:sz w:val="18"/>
                <w:szCs w:val="24"/>
              </w:rPr>
              <w:t>标定方式</w:t>
            </w:r>
          </w:p>
        </w:tc>
        <w:tc>
          <w:tcPr>
            <w:tcW w:w="3244"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可纳入整车生产和测试流程</w:t>
            </w:r>
          </w:p>
        </w:tc>
        <w:tc>
          <w:tcPr>
            <w:tcW w:w="3515"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需要形成标准化快速标定流程</w:t>
            </w:r>
          </w:p>
        </w:tc>
      </w:tr>
      <w:tr>
        <w:trPr/>
        <w:tc>
          <w:tcPr>
            <w:tcW w:w="1532"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0"/>
              <w:rPr>
                <w:rFonts w:ascii="仿宋-简" w:hAnsi="仿宋-简" w:eastAsia="仿宋-简" w:cs="仿宋-简"/>
                <w:sz w:val="18"/>
                <w:szCs w:val="24"/>
              </w:rPr>
            </w:pPr>
            <w:r>
              <w:rPr>
                <w:rFonts w:ascii="仿宋-简" w:hAnsi="仿宋-简" w:eastAsia="仿宋-简" w:cs="仿宋-简"/>
                <w:sz w:val="18"/>
                <w:szCs w:val="24"/>
              </w:rPr>
              <w:t>验证周期</w:t>
            </w:r>
          </w:p>
        </w:tc>
        <w:tc>
          <w:tcPr>
            <w:tcW w:w="3244"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较长</w:t>
            </w:r>
          </w:p>
        </w:tc>
        <w:tc>
          <w:tcPr>
            <w:tcW w:w="3515"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相对适合快速试点</w:t>
            </w:r>
          </w:p>
        </w:tc>
      </w:tr>
      <w:tr>
        <w:trPr/>
        <w:tc>
          <w:tcPr>
            <w:tcW w:w="1532"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0"/>
              <w:rPr>
                <w:rFonts w:ascii="仿宋-简" w:hAnsi="仿宋-简" w:eastAsia="仿宋-简" w:cs="仿宋-简"/>
                <w:sz w:val="18"/>
                <w:szCs w:val="24"/>
              </w:rPr>
            </w:pPr>
            <w:r>
              <w:rPr>
                <w:rFonts w:ascii="仿宋-简" w:hAnsi="仿宋-简" w:eastAsia="仿宋-简" w:cs="仿宋-简"/>
                <w:sz w:val="18"/>
                <w:szCs w:val="24"/>
              </w:rPr>
              <w:t>供应商准入门槛</w:t>
            </w:r>
          </w:p>
        </w:tc>
        <w:tc>
          <w:tcPr>
            <w:tcW w:w="3244"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高</w:t>
            </w:r>
          </w:p>
        </w:tc>
        <w:tc>
          <w:tcPr>
            <w:tcW w:w="3515"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相对较低</w:t>
            </w:r>
          </w:p>
        </w:tc>
      </w:tr>
      <w:tr>
        <w:trPr/>
        <w:tc>
          <w:tcPr>
            <w:tcW w:w="1532"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0"/>
              <w:rPr>
                <w:rFonts w:ascii="仿宋-简" w:hAnsi="仿宋-简" w:eastAsia="仿宋-简" w:cs="仿宋-简"/>
                <w:sz w:val="18"/>
                <w:szCs w:val="24"/>
              </w:rPr>
            </w:pPr>
            <w:r>
              <w:rPr>
                <w:rFonts w:ascii="仿宋-简" w:hAnsi="仿宋-简" w:eastAsia="仿宋-简" w:cs="仿宋-简"/>
                <w:sz w:val="18"/>
                <w:szCs w:val="24"/>
              </w:rPr>
              <w:t>现阶段适配性</w:t>
            </w:r>
          </w:p>
        </w:tc>
        <w:tc>
          <w:tcPr>
            <w:tcW w:w="3244"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中长期产业化方向</w:t>
            </w:r>
          </w:p>
        </w:tc>
        <w:tc>
          <w:tcPr>
            <w:tcW w:w="3515"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更适合项目早期商业验证</w:t>
            </w:r>
          </w:p>
        </w:tc>
      </w:tr>
    </w:tbl>
    <w:p>
      <w:pPr>
        <w:numPr/>
        <w:pBdr>
          <w:bottom/>
        </w:pBdr>
        <w:ind w:firstLine="360" w:firstLineChars="200"/>
        <w:jc w:val="center"/>
        <w:rPr>
          <w:rFonts w:hint="eastAsia" w:ascii="黑体" w:hAnsi="黑体" w:eastAsia="黑体"/>
          <w:sz w:val="18"/>
          <w:szCs w:val="18"/>
        </w:rPr>
      </w:pPr>
      <w:r>
        <w:rPr>
          <w:rFonts w:hint="eastAsia" w:ascii="黑体" w:hAnsi="黑体" w:eastAsia="黑体"/>
          <w:sz w:val="18"/>
          <w:szCs w:val="18"/>
        </w:rPr>
        <w:t>表3-1-6</w:t>
      </w:r>
    </w:p>
    <w:p>
      <w:pPr>
        <w:pBdr/>
        <w:spacing w:before="156" w:beforeLines="50"/>
        <w:ind w:firstLine="420"/>
        <w:rPr>
          <w:rFonts w:hint="eastAsia" w:ascii="宋体" w:hAnsi="宋体" w:eastAsia="宋体"/>
          <w:sz w:val="24"/>
          <w:szCs w:val="24"/>
          <w:u w:val="single"/>
        </w:rPr>
      </w:pPr>
      <w:r>
        <w:rPr>
          <w:rFonts w:hint="eastAsia" w:ascii="宋体" w:hAnsi="宋体" w:eastAsia="宋体"/>
          <w:sz w:val="24"/>
          <w:szCs w:val="24"/>
        </w:rPr>
        <w:t>成熟国际企业已经同时布局不同市场。例如</w:t>
      </w:r>
      <w:r>
        <w:rPr>
          <w:rFonts w:hint="eastAsia" w:ascii="宋体" w:hAnsi="宋体" w:eastAsia="宋体"/>
          <w:sz w:val="24"/>
          <w:szCs w:val="24"/>
          <w:u w:val="single"/>
        </w:rPr>
        <w:t>Continental明确将RightViu定位为可后装解决方案，并要求由专业服务机构完成标定和启用；ZF也提供OnSide相关后装套件及安装资料。</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结合“盲区驭智”目前的研发试制阶段，项目初期更适合通过</w:t>
      </w:r>
      <w:r>
        <w:rPr>
          <w:rFonts w:hint="eastAsia" w:ascii="宋体" w:hAnsi="宋体" w:eastAsia="宋体"/>
          <w:b w:val="1"/>
          <w:color w:val="1450B8"/>
          <w:sz w:val="24"/>
          <w:szCs w:val="24"/>
        </w:rPr>
        <w:t>存量车辆后装试点</w:t>
      </w:r>
      <w:r>
        <w:rPr>
          <w:rFonts w:hint="eastAsia" w:ascii="宋体" w:hAnsi="宋体" w:eastAsia="宋体"/>
          <w:sz w:val="24"/>
          <w:szCs w:val="24"/>
        </w:rPr>
        <w:t>验证技术效果和客户需求，在产品稳定性、法规符合性和规模化供应能力进一步成熟后，再进入主机厂和挂车厂前装合作。</w:t>
      </w:r>
    </w:p>
    <w:p>
      <w:pPr>
        <w:numPr/>
        <w:pBdr>
          <w:bottom/>
        </w:pBdr>
        <w:spacing w:before="156" w:beforeLines="50"/>
        <w:ind/>
        <w:rPr>
          <w:rFonts w:hint="eastAsia" w:ascii="黑体" w:hAnsi="黑体" w:eastAsia="黑体"/>
          <w:b w:val="1"/>
          <w:bCs w:val="1"/>
          <w:sz w:val="28"/>
          <w:szCs w:val="28"/>
        </w:rPr>
      </w:pPr>
      <w:r>
        <w:rPr>
          <w:rFonts w:hint="eastAsia" w:ascii="黑体" w:hAnsi="黑体" w:eastAsia="黑体"/>
          <w:b w:val="1"/>
          <w:bCs w:val="1"/>
          <w:sz w:val="28"/>
          <w:szCs w:val="28"/>
        </w:rPr>
        <w:t>四、客户“维持现状”的替代选择</w:t>
      </w:r>
    </w:p>
    <w:p>
      <w:pPr>
        <w:numPr/>
        <w:spacing w:before="156" w:beforeLines="50"/>
        <w:ind/>
        <w:rPr>
          <w:rFonts w:hint="eastAsia" w:ascii="宋体" w:hAnsi="宋体" w:eastAsia="宋体"/>
          <w:b w:val="1"/>
          <w:bCs w:val="1"/>
          <w:sz w:val="24"/>
          <w:szCs w:val="24"/>
        </w:rPr>
      </w:pPr>
      <w:r>
        <w:rPr>
          <w:rFonts w:hint="eastAsia" w:ascii="宋体" w:hAnsi="宋体" w:eastAsia="宋体"/>
          <w:b w:val="1"/>
          <w:bCs w:val="1"/>
          <w:sz w:val="24"/>
          <w:szCs w:val="24"/>
        </w:rPr>
        <w:t>（一）继续依赖驾驶员经验</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大量存量商用车辆已经形成以驾驶员经验、后视镜观察和主动减速为核心的右转操作习惯。对于尚未发生严重事故或安全预算有限的车辆运营主体，现有操作方式几乎不产生额外设备投入，因此具有很强的惯性。</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主动安全产品要改变这种选择，必须</w:t>
      </w:r>
      <w:r>
        <w:rPr>
          <w:rFonts w:hint="eastAsia" w:ascii="宋体" w:hAnsi="宋体" w:eastAsia="宋体"/>
          <w:b w:val="1"/>
          <w:color w:val="1450B8"/>
          <w:sz w:val="24"/>
          <w:szCs w:val="24"/>
        </w:rPr>
        <w:t>提供驾驶员能够明显感知的增量价值</w:t>
      </w:r>
      <w:r>
        <w:rPr>
          <w:rFonts w:hint="eastAsia" w:ascii="宋体" w:hAnsi="宋体" w:eastAsia="宋体"/>
          <w:sz w:val="24"/>
          <w:szCs w:val="24"/>
        </w:rPr>
        <w:t>，包括更加及时的风险信息、更低的信息处理负担以及较低的使用干扰。</w:t>
      </w:r>
    </w:p>
    <w:p>
      <w:pPr>
        <w:numPr/>
        <w:spacing w:before="156" w:beforeLines="50"/>
        <w:ind/>
        <w:rPr>
          <w:rFonts w:hint="eastAsia" w:ascii="宋体" w:hAnsi="宋体" w:eastAsia="宋体"/>
          <w:b w:val="1"/>
          <w:bCs w:val="1"/>
          <w:sz w:val="24"/>
          <w:szCs w:val="24"/>
        </w:rPr>
      </w:pPr>
      <w:r>
        <w:rPr>
          <w:rFonts w:hint="eastAsia" w:ascii="宋体" w:hAnsi="宋体" w:eastAsia="宋体"/>
          <w:b w:val="1"/>
          <w:bCs w:val="1"/>
          <w:sz w:val="24"/>
          <w:szCs w:val="24"/>
        </w:rPr>
        <w:t>（二）依靠企业内部安全管理</w:t>
      </w:r>
    </w:p>
    <w:p>
      <w:pPr>
        <w:pBdr/>
        <w:spacing w:before="156" w:beforeLines="50"/>
        <w:ind w:firstLine="420"/>
        <w:rPr>
          <w:rFonts w:hint="eastAsia" w:ascii="宋体" w:hAnsi="宋体" w:eastAsia="宋体"/>
          <w:sz w:val="24"/>
          <w:szCs w:val="24"/>
          <w:u w:val="single"/>
        </w:rPr>
      </w:pPr>
      <w:r>
        <w:rPr>
          <w:rFonts w:hint="eastAsia" w:ascii="宋体" w:hAnsi="宋体" w:eastAsia="宋体"/>
          <w:sz w:val="24"/>
          <w:szCs w:val="24"/>
        </w:rPr>
        <w:t>运输企业可以通过安全培训、驾驶员考核、车辆限速、右转操作规范以及事故责任管理降低风险。</w:t>
      </w:r>
      <w:r>
        <w:rPr>
          <w:rFonts w:hint="eastAsia" w:ascii="宋体" w:hAnsi="宋体" w:eastAsia="宋体"/>
          <w:sz w:val="24"/>
          <w:szCs w:val="24"/>
          <w:u w:val="single"/>
        </w:rPr>
        <w:t>南京等地实施的“大车右转必停”也表明，企业管理与道路监管能够形成较完整的非设备型治理体系。</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因此，车载安全系统不能被定位为企业现有管理体系的替代品，而应成为其</w:t>
      </w:r>
      <w:r>
        <w:rPr>
          <w:rFonts w:hint="eastAsia" w:ascii="宋体" w:hAnsi="宋体" w:eastAsia="宋体"/>
          <w:b w:val="1"/>
          <w:color w:val="1450B8"/>
          <w:sz w:val="24"/>
          <w:szCs w:val="24"/>
        </w:rPr>
        <w:t>安全管理能力的技术补充</w:t>
      </w:r>
      <w:r>
        <w:rPr>
          <w:rFonts w:hint="eastAsia" w:ascii="宋体" w:hAnsi="宋体" w:eastAsia="宋体"/>
          <w:sz w:val="24"/>
          <w:szCs w:val="24"/>
        </w:rPr>
        <w:t>。对于B端客户，产品价值不仅表现为驾驶员端的一次报警，还需要逐步体现为可量化、可复盘的车辆安全管理价值。</w:t>
      </w:r>
    </w:p>
    <w:p>
      <w:pPr>
        <w:numPr/>
        <w:spacing w:before="156" w:beforeLines="50"/>
        <w:ind/>
        <w:rPr>
          <w:rFonts w:hint="eastAsia" w:ascii="宋体" w:hAnsi="宋体" w:eastAsia="宋体"/>
          <w:b w:val="1"/>
          <w:bCs w:val="1"/>
          <w:sz w:val="24"/>
          <w:szCs w:val="24"/>
        </w:rPr>
      </w:pPr>
      <w:r>
        <w:rPr>
          <w:rFonts w:hint="eastAsia" w:ascii="宋体" w:hAnsi="宋体" w:eastAsia="宋体"/>
          <w:b w:val="1"/>
          <w:bCs w:val="1"/>
          <w:sz w:val="24"/>
          <w:szCs w:val="24"/>
        </w:rPr>
        <w:t>（三）不新增安全设备投入的原因</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“维持现状”实际上是项目最重要的隐性竞争方案之一。</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企业安装一套新的主动安全系统，需要承担的不只是产品采购价格，还包括</w:t>
      </w:r>
      <w:r>
        <w:rPr>
          <w:rFonts w:hint="eastAsia" w:ascii="宋体" w:hAnsi="宋体" w:eastAsia="宋体"/>
          <w:b w:val="1"/>
          <w:color w:val="1450B8"/>
          <w:sz w:val="24"/>
          <w:szCs w:val="24"/>
        </w:rPr>
        <w:t>安装、标定、车辆停运、驾驶员适应、故障维护、售后服务以及内部采购管理</w:t>
      </w:r>
      <w:r>
        <w:rPr>
          <w:rFonts w:hint="eastAsia" w:ascii="宋体" w:hAnsi="宋体" w:eastAsia="宋体"/>
          <w:sz w:val="24"/>
          <w:szCs w:val="24"/>
        </w:rPr>
        <w:t>等成本。</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因此，即使新产品技术性能更先进，如果其新增安全价值不足以覆盖上述转换成本，客户仍可能选择不采购。</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这一特点决定了“盲区驭智”后续商业验证不能仅证明算法可以运行，还需要通过真实车队试点证明产品在安全效果、使用体验和整体交付成本上的增量价值。</w:t>
      </w:r>
    </w:p>
    <w:p>
      <w:pPr>
        <w:numPr/>
        <w:pBdr>
          <w:bottom/>
        </w:pBdr>
        <w:spacing w:before="156" w:beforeLines="50"/>
        <w:ind/>
        <w:rPr>
          <w:rFonts w:hint="eastAsia" w:ascii="黑体" w:hAnsi="黑体" w:eastAsia="黑体"/>
          <w:b w:val="1"/>
          <w:bCs w:val="1"/>
          <w:sz w:val="28"/>
          <w:szCs w:val="28"/>
        </w:rPr>
      </w:pPr>
      <w:r>
        <w:rPr>
          <w:rFonts w:hint="eastAsia" w:ascii="黑体" w:hAnsi="黑体" w:eastAsia="黑体"/>
          <w:b w:val="1"/>
          <w:bCs w:val="1"/>
          <w:sz w:val="28"/>
          <w:szCs w:val="28"/>
        </w:rPr>
        <w:t>五、现有解决方案的主要市场缺口</w:t>
      </w:r>
    </w:p>
    <w:p>
      <w:pPr>
        <w:numPr/>
        <w:spacing w:before="156" w:beforeLines="50"/>
        <w:ind/>
        <w:rPr>
          <w:rFonts w:hint="eastAsia" w:ascii="宋体" w:hAnsi="宋体" w:eastAsia="宋体"/>
          <w:b w:val="1"/>
          <w:bCs w:val="1"/>
          <w:sz w:val="24"/>
          <w:szCs w:val="24"/>
        </w:rPr>
      </w:pPr>
      <w:r>
        <w:rPr>
          <w:rFonts w:hint="eastAsia" w:ascii="宋体" w:hAnsi="宋体" w:eastAsia="宋体"/>
          <w:b w:val="1"/>
          <w:bCs w:val="1"/>
          <w:sz w:val="24"/>
          <w:szCs w:val="24"/>
        </w:rPr>
        <w:t>（一）铰接车辆动态结构表达不足</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半挂车辆并非一个完整刚体。右转过程中，牵引车和挂车之间的铰接关系持续变化，挂车后轴以及车身内侧轨迹随之改变，使实际车身占用空间具有明显的动态特征。</w:t>
      </w:r>
    </w:p>
    <w:p>
      <w:pPr>
        <w:pBdr/>
        <w:spacing w:before="156" w:beforeLines="50"/>
        <w:ind w:firstLine="420"/>
        <w:rPr>
          <w:rFonts w:hint="eastAsia" w:ascii="宋体" w:hAnsi="宋体" w:eastAsia="宋体"/>
          <w:sz w:val="24"/>
          <w:szCs w:val="24"/>
          <w:u w:val="single"/>
        </w:rPr>
      </w:pPr>
      <w:r>
        <w:rPr>
          <w:rFonts w:hint="eastAsia" w:ascii="宋体" w:hAnsi="宋体" w:eastAsia="宋体"/>
          <w:sz w:val="24"/>
          <w:szCs w:val="24"/>
        </w:rPr>
        <w:t>现有成熟产品已经具备不同程度的挂车覆盖和铰接车辆适配能力。</w:t>
      </w:r>
      <w:r>
        <w:rPr>
          <w:rFonts w:hint="eastAsia" w:ascii="宋体" w:hAnsi="宋体" w:eastAsia="宋体"/>
          <w:sz w:val="24"/>
          <w:szCs w:val="24"/>
          <w:u w:val="single"/>
        </w:rPr>
        <w:t>例如Bosch雷达系统可以监测车辆及挂车侧方区域，Brigade Radar Predict已经具备挂车自动识别并明确面向铰接车辆。</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但根据目前能够获得的厂商公开资料，尚不能确认上述产品是否普遍将</w:t>
      </w:r>
      <w:r>
        <w:rPr>
          <w:rFonts w:hint="eastAsia" w:ascii="宋体" w:hAnsi="宋体" w:eastAsia="宋体"/>
          <w:b w:val="1"/>
          <w:color w:val="1450B8"/>
          <w:sz w:val="24"/>
          <w:szCs w:val="24"/>
        </w:rPr>
        <w:t>实时铰接角、牵引销偏置、牵引车后轴与挂车后轴之间的耦合运动关系</w:t>
      </w:r>
      <w:r>
        <w:rPr>
          <w:rFonts w:hint="eastAsia" w:ascii="宋体" w:hAnsi="宋体" w:eastAsia="宋体"/>
          <w:sz w:val="24"/>
          <w:szCs w:val="24"/>
        </w:rPr>
        <w:t>显式用于车身运动计算。</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因此，面向</w:t>
      </w:r>
      <w:r>
        <w:rPr>
          <w:rFonts w:hint="eastAsia" w:ascii="宋体" w:hAnsi="宋体" w:eastAsia="宋体"/>
          <w:b w:val="1"/>
          <w:color w:val="1450B8"/>
          <w:sz w:val="24"/>
          <w:szCs w:val="24"/>
        </w:rPr>
        <w:t>半挂车辆建立专门的耦合运动学表达</w:t>
      </w:r>
      <w:r>
        <w:rPr>
          <w:rFonts w:hint="eastAsia" w:ascii="宋体" w:hAnsi="宋体" w:eastAsia="宋体"/>
          <w:sz w:val="24"/>
          <w:szCs w:val="24"/>
        </w:rPr>
        <w:t>，是本项目目前需要重点验证的差异化方向。</w:t>
      </w:r>
    </w:p>
    <w:p>
      <w:pPr>
        <w:pBdr>
          <w:bottom/>
        </w:pBdr>
        <w:spacing w:before="156" w:beforeLines="50"/>
        <w:ind w:firstLine="420"/>
        <w:rPr>
          <w:rFonts w:hint="eastAsia" w:ascii="宋体" w:hAnsi="宋体" w:eastAsia="宋体"/>
          <w:sz w:val="24"/>
          <w:szCs w:val="24"/>
        </w:rPr>
      </w:pPr>
      <w:r>
        <w:rPr>
          <w:rFonts w:hint="eastAsia" w:ascii="宋体" w:hAnsi="宋体" w:eastAsia="宋体"/>
          <w:sz w:val="24"/>
          <w:szCs w:val="24"/>
        </w:rPr>
        <w:t>这里团队也注意到“公开资料未披露”不等于“竞品不具备”。后续仍需通过更详细的技术手册、专利和实物对标进一步验证。</w:t>
      </w:r>
    </w:p>
    <w:p>
      <w:pPr>
        <w:numPr/>
        <w:spacing w:before="156" w:beforeLines="50"/>
        <w:ind/>
        <w:rPr>
          <w:rFonts w:hint="eastAsia" w:ascii="宋体" w:hAnsi="宋体" w:eastAsia="宋体"/>
          <w:b w:val="1"/>
          <w:bCs w:val="1"/>
          <w:sz w:val="24"/>
          <w:szCs w:val="24"/>
        </w:rPr>
      </w:pPr>
      <w:r>
        <w:rPr>
          <w:rFonts w:hint="eastAsia" w:ascii="宋体" w:hAnsi="宋体" w:eastAsia="宋体"/>
          <w:b w:val="1"/>
          <w:bCs w:val="1"/>
          <w:sz w:val="24"/>
          <w:szCs w:val="24"/>
        </w:rPr>
        <w:t>（二）车辆未来车身扫掠区域预测能力差异</w:t>
      </w:r>
    </w:p>
    <w:p>
      <w:pPr>
        <w:pBdr/>
        <w:spacing w:before="156" w:beforeLines="50"/>
        <w:ind w:firstLine="420"/>
        <w:rPr>
          <w:rFonts w:hint="eastAsia" w:ascii="宋体" w:hAnsi="宋体" w:eastAsia="宋体"/>
          <w:sz w:val="24"/>
          <w:szCs w:val="24"/>
          <w:u w:val="single"/>
        </w:rPr>
      </w:pPr>
      <w:r>
        <w:rPr>
          <w:rFonts w:hint="eastAsia" w:ascii="宋体" w:hAnsi="宋体" w:eastAsia="宋体"/>
          <w:sz w:val="24"/>
          <w:szCs w:val="24"/>
        </w:rPr>
        <w:t>成熟商用车主动安全系统已经具备一定的路径预测和碰撞趋势判断能力。</w:t>
      </w:r>
      <w:r>
        <w:rPr>
          <w:rFonts w:hint="eastAsia" w:ascii="宋体" w:hAnsi="宋体" w:eastAsia="宋体"/>
          <w:sz w:val="24"/>
          <w:szCs w:val="24"/>
          <w:u w:val="single"/>
        </w:rPr>
        <w:t>Bosch明确将预测车辆路径与道路使用者进行关联；Brigade则利用车辆及目标的速度、方向判断碰撞风险。</w:t>
      </w:r>
    </w:p>
    <w:p>
      <w:pPr>
        <w:pBdr>
          <w:bottom/>
        </w:pBdr>
        <w:spacing w:before="156" w:beforeLines="50"/>
        <w:ind w:firstLine="420"/>
        <w:rPr>
          <w:rFonts w:hint="eastAsia" w:ascii="宋体" w:hAnsi="宋体" w:eastAsia="宋体"/>
          <w:sz w:val="24"/>
          <w:szCs w:val="24"/>
        </w:rPr>
      </w:pPr>
      <w:r>
        <w:rPr>
          <w:rFonts w:hint="eastAsia" w:ascii="宋体" w:hAnsi="宋体" w:eastAsia="宋体"/>
          <w:sz w:val="24"/>
          <w:szCs w:val="24"/>
        </w:rPr>
        <w:t>因此，本项目更准确的技术差异在于预测对象。对于大型铰接车辆，车辆中心线或单一参考点的预测轨迹不能完全等价于整个车身未来的空间占用。项目拟进一步根据车辆实时运动状态，计算</w:t>
      </w:r>
      <w:r>
        <w:rPr>
          <w:rFonts w:hint="eastAsia" w:ascii="宋体" w:hAnsi="宋体" w:eastAsia="宋体"/>
          <w:b w:val="1"/>
          <w:color w:val="1450B8"/>
          <w:sz w:val="24"/>
          <w:szCs w:val="24"/>
        </w:rPr>
        <w:t>未来0.3—2.0秒内整个车辆可能扫过的空间包络</w:t>
      </w:r>
      <w:r>
        <w:rPr>
          <w:rFonts w:hint="eastAsia" w:ascii="宋体" w:hAnsi="宋体" w:eastAsia="宋体"/>
          <w:sz w:val="24"/>
          <w:szCs w:val="24"/>
        </w:rPr>
        <w:t>，并将周边目标与该空间进行冲突匹配。</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这一风险表达方式能够更加直接地对应半挂车辆内轮差的形成机制。</w:t>
      </w:r>
    </w:p>
    <w:p>
      <w:pPr>
        <w:numPr/>
        <w:spacing w:before="156" w:beforeLines="50"/>
        <w:ind/>
        <w:rPr>
          <w:rFonts w:hint="eastAsia" w:ascii="宋体" w:hAnsi="宋体" w:eastAsia="宋体"/>
          <w:b w:val="1"/>
          <w:bCs w:val="1"/>
          <w:sz w:val="24"/>
          <w:szCs w:val="24"/>
        </w:rPr>
      </w:pPr>
      <w:r>
        <w:rPr>
          <w:rFonts w:hint="eastAsia" w:ascii="宋体" w:hAnsi="宋体" w:eastAsia="宋体"/>
          <w:b w:val="1"/>
          <w:bCs w:val="1"/>
          <w:sz w:val="24"/>
          <w:szCs w:val="24"/>
        </w:rPr>
        <w:t>（三）预警提前量与误报警之间的平衡</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主动安全系统需要同时控制两类风险：</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一方面，报警过晚会压缩驾驶员可采取措施的时间；另一方面，危险区域设置过宽或报警过于敏感，则容易产生大量无效提示，进而影响驾驶员接受程度。</w:t>
      </w:r>
    </w:p>
    <w:p>
      <w:pPr>
        <w:pBdr/>
        <w:spacing w:before="156" w:beforeLines="50"/>
        <w:ind w:firstLine="420"/>
        <w:rPr>
          <w:rFonts w:hint="eastAsia" w:ascii="宋体" w:hAnsi="宋体" w:eastAsia="宋体"/>
          <w:sz w:val="24"/>
          <w:szCs w:val="24"/>
          <w:u w:val="single"/>
        </w:rPr>
      </w:pPr>
      <w:r>
        <w:rPr>
          <w:rFonts w:hint="eastAsia" w:ascii="宋体" w:hAnsi="宋体" w:eastAsia="宋体"/>
          <w:sz w:val="24"/>
          <w:szCs w:val="24"/>
        </w:rPr>
        <w:t>成熟竞品已经将减少无效报警作为重要设计目标。</w:t>
      </w:r>
      <w:r>
        <w:rPr>
          <w:rFonts w:hint="eastAsia" w:ascii="宋体" w:hAnsi="宋体" w:eastAsia="宋体"/>
          <w:sz w:val="24"/>
          <w:szCs w:val="24"/>
          <w:u w:val="single"/>
        </w:rPr>
        <w:t>Bosch通过目标相关性判断避免部分静止对象触发报警；Brigade Radar Predict则区分移动和静止目标，并仅在判断存在碰撞风险时提供相应警告。</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“盲区驭智”拟采用多个短时间尺度的扫掠区域和分级报警机制，在预警提前量、风险准确性和驾驶员干扰之间建立平衡。</w:t>
      </w:r>
    </w:p>
    <w:p>
      <w:pPr>
        <w:pBdr/>
        <w:spacing w:before="156" w:beforeLines="50"/>
        <w:ind w:firstLine="420"/>
        <w:rPr>
          <w:rFonts w:hint="eastAsia" w:ascii="宋体" w:hAnsi="宋体" w:eastAsia="宋体"/>
          <w:sz w:val="24"/>
          <w:szCs w:val="24"/>
          <w:shd w:val="clear" w:color="auto" w:fill="FFFF00"/>
        </w:rPr>
      </w:pPr>
      <w:r>
        <w:rPr>
          <w:rFonts w:hint="eastAsia" w:ascii="宋体" w:hAnsi="宋体" w:eastAsia="宋体"/>
          <w:sz w:val="24"/>
          <w:szCs w:val="24"/>
          <w:shd w:val="clear" w:color="auto" w:fill="FFFF00"/>
        </w:rPr>
        <w:t>【待B＋技术组核定：竞品对标实验】</w:t>
      </w:r>
    </w:p>
    <w:p>
      <w:pPr>
        <w:snapToGrid w:val="1"/>
        <w:spacing w:before="156" w:after="0" w:line="240"/>
        <w:ind w:left="0" w:right="0" w:firstLine="420"/>
        <w:jc w:val="both"/>
        <w:rPr/>
      </w:pPr>
      <w:r>
        <w:rPr>
          <w:rFonts w:ascii="等线" w:hAnsi="等线" w:eastAsia="等线" w:cs="等线"/>
          <w:b w:val="1"/>
          <w:i w:val="0"/>
          <w:strike w:val="0"/>
          <w:color w:val="000000"/>
          <w:sz w:val="20"/>
          <w:u w:val="none"/>
          <w:shd w:val="clear" w:color="auto" w:fill="FFFF00"/>
        </w:rPr>
        <w:t>【B岗补充：竞品对标实验方案与记录口径（待技术组核定）】</w:t>
      </w:r>
    </w:p>
    <w:p>
      <w:pPr>
        <w:pBdr>
          <w:bottom/>
        </w:pBdr>
        <w:snapToGrid w:val="1"/>
        <w:spacing w:before="156" w:after="0" w:line="240"/>
        <w:ind w:left="0" w:right="0" w:firstLine="420"/>
        <w:jc w:val="both"/>
        <w:rPr/>
      </w:pPr>
      <w:r>
        <w:rPr>
          <w:rFonts w:ascii="宋体" w:hAnsi="宋体" w:eastAsia="宋体" w:cs="宋体"/>
          <w:i w:val="0"/>
          <w:strike w:val="0"/>
          <w:color w:val="000000"/>
          <w:sz w:val="24"/>
          <w:u w:val="none"/>
          <w:shd w:val="clear" w:color="auto" w:fill="FFFF00"/>
        </w:rPr>
        <w:t>实测指标：</w:t>
      </w:r>
    </w:p>
    <w:tbl>
      <w:tblPr>
        <w:tblStyle w:val="0000a0"/>
        <w:jc w:val="center"/>
        <w:tblLayout w:type="fixed"/>
      </w:tblPr>
      <w:tblGrid>
        <w:gridCol w:w="795"/>
        <w:gridCol w:w="3090"/>
        <w:gridCol w:w="1440"/>
        <w:gridCol w:w="1500"/>
        <w:gridCol w:w="1440"/>
      </w:tblGrid>
      <w:tr>
        <w:trPr/>
        <w:tc>
          <w:tcPr>
            <w:tcW w:w="795" w:type="dxa"/>
            <w:tcBorders>
              <w:top w:val="single" w:color="000000" w:sz="8" w:space="0"/>
              <w:left w:val="single" w:color="000000" w:sz="8" w:space="0"/>
              <w:bottom w:val="single" w:color="000000" w:sz="8" w:space="0"/>
              <w:right w:val="single" w:color="000000" w:sz="8" w:space="0"/>
            </w:tcBorders>
            <w:shd w:val="clear" w:color="auto" w:fill="E5EFFF"/>
            <w:tcMar>
              <w:top w:w="0" w:type="dxa"/>
              <w:left w:w="108" w:type="dxa"/>
              <w:bottom w:w="0" w:type="dxa"/>
              <w:right w:w="108" w:type="dxa"/>
            </w:tcMar>
            <w:vAlign w:val="center"/>
          </w:tcPr>
          <w:p>
            <w:pPr>
              <w:snapToGrid w:val="1"/>
              <w:spacing w:before="0" w:after="0" w:line="240"/>
              <w:ind w:left="0" w:right="0"/>
              <w:jc w:val="center"/>
              <w:rPr/>
            </w:pPr>
            <w:r>
              <w:rPr>
                <w:rFonts w:ascii="仿宋-简" w:hAnsi="仿宋-简" w:eastAsia="仿宋-简" w:cs="仿宋-简"/>
                <w:b w:val="1"/>
                <w:i w:val="0"/>
                <w:strike w:val="0"/>
                <w:color w:val="000000"/>
                <w:spacing w:val="0"/>
                <w:sz w:val="18"/>
                <w:u w:val="none"/>
              </w:rPr>
              <w:t>核心指标</w:t>
            </w:r>
          </w:p>
        </w:tc>
        <w:tc>
          <w:tcPr>
            <w:tcW w:w="3090" w:type="dxa"/>
            <w:tcBorders>
              <w:top w:val="single" w:color="000000" w:sz="8" w:space="0"/>
              <w:left w:val="single" w:color="000000" w:sz="0" w:space="0"/>
              <w:bottom w:val="single" w:color="000000" w:sz="8" w:space="0"/>
              <w:right w:val="single" w:color="000000" w:sz="8" w:space="0"/>
            </w:tcBorders>
            <w:shd w:val="clear" w:color="auto" w:fill="E5EFFF"/>
            <w:tcMar>
              <w:top w:w="0" w:type="dxa"/>
              <w:left w:w="108" w:type="dxa"/>
              <w:bottom w:w="0" w:type="dxa"/>
              <w:right w:w="108" w:type="dxa"/>
            </w:tcMar>
            <w:vAlign w:val="center"/>
          </w:tcPr>
          <w:p>
            <w:pPr>
              <w:snapToGrid w:val="1"/>
              <w:spacing w:before="0" w:after="0" w:line="240"/>
              <w:ind w:left="0" w:right="0"/>
              <w:jc w:val="center"/>
              <w:rPr/>
            </w:pPr>
            <w:r>
              <w:rPr>
                <w:rFonts w:ascii="仿宋-简" w:hAnsi="仿宋-简" w:eastAsia="仿宋-简" w:cs="仿宋-简"/>
                <w:b w:val="1"/>
                <w:i w:val="0"/>
                <w:strike w:val="0"/>
                <w:color w:val="000000"/>
                <w:spacing w:val="0"/>
                <w:sz w:val="18"/>
                <w:u w:val="none"/>
              </w:rPr>
              <w:t>主要验证内容</w:t>
            </w:r>
          </w:p>
        </w:tc>
        <w:tc>
          <w:tcPr>
            <w:tcW w:w="1440" w:type="dxa"/>
            <w:tcBorders>
              <w:top w:val="single" w:color="000000" w:sz="8" w:space="0"/>
              <w:left w:val="single" w:color="000000" w:sz="8" w:space="0"/>
              <w:bottom w:val="single" w:color="000000" w:sz="8" w:space="0"/>
              <w:right w:val="single" w:color="000000" w:sz="8" w:space="0"/>
            </w:tcBorders>
            <w:shd w:val="clear" w:color="auto" w:fill="E5EFFF"/>
            <w:tcMar>
              <w:top w:w="0" w:type="dxa"/>
              <w:left w:w="108" w:type="dxa"/>
              <w:bottom w:w="0" w:type="dxa"/>
              <w:right w:w="108" w:type="dxa"/>
            </w:tcMar>
            <w:vAlign w:val="center"/>
          </w:tcPr>
          <w:p>
            <w:pPr>
              <w:snapToGrid w:val="1"/>
              <w:spacing w:before="0" w:after="0" w:line="240"/>
              <w:ind w:left="0" w:right="0"/>
              <w:jc w:val="center"/>
              <w:rPr/>
            </w:pPr>
            <w:r>
              <w:rPr>
                <w:rFonts w:ascii="仿宋-简" w:hAnsi="仿宋-简" w:eastAsia="仿宋-简" w:cs="仿宋-简"/>
                <w:b w:val="1"/>
                <w:i w:val="0"/>
                <w:strike w:val="0"/>
                <w:color w:val="000000"/>
                <w:spacing w:val="0"/>
                <w:sz w:val="18"/>
                <w:u w:val="none"/>
              </w:rPr>
              <w:t>统一计算口径（初稿）</w:t>
            </w:r>
          </w:p>
        </w:tc>
        <w:tc>
          <w:tcPr>
            <w:tcW w:w="1500" w:type="dxa"/>
            <w:tcBorders>
              <w:top w:val="single" w:color="000000" w:sz="8" w:space="0"/>
              <w:left w:val="single" w:color="000000" w:sz="0" w:space="0"/>
              <w:bottom w:val="single" w:color="000000" w:sz="8" w:space="0"/>
              <w:right w:val="single" w:color="000000" w:sz="8" w:space="0"/>
            </w:tcBorders>
            <w:shd w:val="clear" w:color="auto" w:fill="E5EFFF"/>
            <w:tcMar>
              <w:top w:w="0" w:type="dxa"/>
              <w:left w:w="108" w:type="dxa"/>
              <w:bottom w:w="0" w:type="dxa"/>
              <w:right w:w="108" w:type="dxa"/>
            </w:tcMar>
            <w:vAlign w:val="center"/>
          </w:tcPr>
          <w:p>
            <w:pPr>
              <w:snapToGrid w:val="1"/>
              <w:spacing w:before="0" w:after="0" w:line="240"/>
              <w:ind w:left="0" w:right="0"/>
              <w:jc w:val="center"/>
              <w:rPr/>
            </w:pPr>
            <w:r>
              <w:rPr>
                <w:rFonts w:ascii="仿宋-简" w:hAnsi="仿宋-简" w:eastAsia="仿宋-简" w:cs="仿宋-简"/>
                <w:b w:val="1"/>
                <w:i w:val="0"/>
                <w:strike w:val="0"/>
                <w:color w:val="000000"/>
                <w:spacing w:val="0"/>
                <w:sz w:val="18"/>
                <w:u w:val="none"/>
              </w:rPr>
              <w:t>建议测试条件/样本（待技术组修正）</w:t>
            </w:r>
          </w:p>
        </w:tc>
        <w:tc>
          <w:tcPr>
            <w:tcW w:w="1440" w:type="dxa"/>
            <w:tcBorders>
              <w:top w:val="single" w:color="000000" w:sz="8" w:space="0"/>
              <w:left w:val="single" w:color="000000" w:sz="0" w:space="0"/>
              <w:bottom w:val="single" w:color="000000" w:sz="8" w:space="0"/>
              <w:right w:val="single" w:color="000000" w:sz="8" w:space="0"/>
            </w:tcBorders>
            <w:shd w:val="clear" w:color="auto" w:fill="E5EFFF"/>
            <w:tcMar>
              <w:top w:w="0" w:type="dxa"/>
              <w:left w:w="108" w:type="dxa"/>
              <w:bottom w:w="0" w:type="dxa"/>
              <w:right w:w="108" w:type="dxa"/>
            </w:tcMar>
            <w:vAlign w:val="center"/>
          </w:tcPr>
          <w:p>
            <w:pPr>
              <w:snapToGrid w:val="1"/>
              <w:spacing w:before="0" w:after="0" w:line="240"/>
              <w:ind w:left="0" w:right="0"/>
              <w:jc w:val="center"/>
              <w:rPr/>
            </w:pPr>
            <w:r>
              <w:rPr>
                <w:rFonts w:ascii="仿宋-简" w:hAnsi="仿宋-简" w:eastAsia="仿宋-简" w:cs="仿宋-简"/>
                <w:b w:val="1"/>
                <w:i w:val="0"/>
                <w:strike w:val="0"/>
                <w:color w:val="000000"/>
                <w:spacing w:val="0"/>
                <w:sz w:val="18"/>
                <w:u w:val="none"/>
              </w:rPr>
              <w:t>对标输出及当前状态</w:t>
            </w:r>
          </w:p>
        </w:tc>
      </w:tr>
      <w:tr>
        <w:trPr/>
        <w:tc>
          <w:tcPr>
            <w:tcW w:w="79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jc w:val="left"/>
              <w:rPr/>
            </w:pPr>
            <w:r>
              <w:rPr>
                <w:rFonts w:ascii="仿宋-简" w:hAnsi="仿宋-简" w:eastAsia="仿宋-简" w:cs="仿宋-简"/>
                <w:i w:val="0"/>
                <w:strike w:val="0"/>
                <w:color w:val="000000"/>
                <w:spacing w:val="0"/>
                <w:sz w:val="18"/>
                <w:u w:val="none"/>
                <w:shd w:val="clear" w:color="auto" w:fill="FFFF00"/>
              </w:rPr>
              <w:t>有效预警提前量</w:t>
            </w:r>
          </w:p>
        </w:tc>
        <w:tc>
          <w:tcPr>
            <w:tcW w:w="309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firstLine="420"/>
              <w:jc w:val="left"/>
              <w:rPr/>
            </w:pPr>
            <w:r>
              <w:rPr>
                <w:rFonts w:ascii="仿宋-简" w:hAnsi="仿宋-简" w:eastAsia="仿宋-简" w:cs="仿宋-简"/>
                <w:i w:val="0"/>
                <w:strike w:val="0"/>
                <w:color w:val="000000"/>
                <w:spacing w:val="0"/>
                <w:sz w:val="18"/>
                <w:u w:val="none"/>
                <w:shd w:val="clear" w:color="auto" w:fill="FFFF00"/>
              </w:rPr>
              <w:t>不同典型冲突场景下首次有效报警时间</w:t>
            </w:r>
          </w:p>
        </w:tc>
        <w:tc>
          <w:tcPr>
            <w:tcW w:w="144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首次有效报警时刻至预计冲突时刻的时间差；分别报告均值、中位数及P10，不只报告最佳值。</w:t>
            </w:r>
          </w:p>
        </w:tc>
        <w:tc>
          <w:tcPr>
            <w:tcW w:w="150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行人/骑行者平行直行、横穿等典型场景；每场景建议≥30次有效冲突试验，覆盖不同车速和转角。</w:t>
            </w:r>
          </w:p>
        </w:tc>
        <w:tc>
          <w:tcPr>
            <w:tcW w:w="144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与同场景竞品结果并列；目前无正式实验结果，技术组负责测试。</w:t>
            </w:r>
          </w:p>
        </w:tc>
      </w:tr>
      <w:tr>
        <w:trPr/>
        <w:tc>
          <w:tcPr>
            <w:tcW w:w="79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jc w:val="left"/>
              <w:rPr/>
            </w:pPr>
            <w:r>
              <w:rPr>
                <w:rFonts w:ascii="仿宋-简" w:hAnsi="仿宋-简" w:eastAsia="仿宋-简" w:cs="仿宋-简"/>
                <w:i w:val="0"/>
                <w:strike w:val="0"/>
                <w:color w:val="000000"/>
                <w:spacing w:val="0"/>
                <w:sz w:val="18"/>
                <w:u w:val="none"/>
                <w:shd w:val="clear" w:color="auto" w:fill="FFFF00"/>
              </w:rPr>
              <w:t>误报警率</w:t>
            </w:r>
          </w:p>
        </w:tc>
        <w:tc>
          <w:tcPr>
            <w:tcW w:w="309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firstLine="420"/>
              <w:jc w:val="left"/>
              <w:rPr/>
            </w:pPr>
            <w:r>
              <w:rPr>
                <w:rFonts w:ascii="仿宋-简" w:hAnsi="仿宋-简" w:eastAsia="仿宋-简" w:cs="仿宋-简"/>
                <w:i w:val="0"/>
                <w:strike w:val="0"/>
                <w:color w:val="000000"/>
                <w:spacing w:val="0"/>
                <w:sz w:val="18"/>
                <w:u w:val="none"/>
                <w:shd w:val="clear" w:color="auto" w:fill="FFFF00"/>
              </w:rPr>
              <w:t>不形成真实冲突时的错误提示情况</w:t>
            </w:r>
          </w:p>
        </w:tc>
        <w:tc>
          <w:tcPr>
            <w:tcW w:w="144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无真实冲突条件下触发的错误报警次数÷无冲突观察事件数；必须预先定义“无冲突”。</w:t>
            </w:r>
          </w:p>
        </w:tc>
        <w:tc>
          <w:tcPr>
            <w:tcW w:w="150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路侧静止物、护栏、邻车但不侵入扫掠区等干扰场景；建议累计≥100次无冲突事件。</w:t>
            </w:r>
          </w:p>
        </w:tc>
        <w:tc>
          <w:tcPr>
            <w:tcW w:w="144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输出误报警率及95%置信区间；当前未实测，不填写XX%。</w:t>
            </w:r>
          </w:p>
        </w:tc>
      </w:tr>
      <w:tr>
        <w:trPr/>
        <w:tc>
          <w:tcPr>
            <w:tcW w:w="79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jc w:val="left"/>
              <w:rPr/>
            </w:pPr>
            <w:r>
              <w:rPr>
                <w:rFonts w:ascii="仿宋-简" w:hAnsi="仿宋-简" w:eastAsia="仿宋-简" w:cs="仿宋-简"/>
                <w:i w:val="0"/>
                <w:strike w:val="0"/>
                <w:color w:val="000000"/>
                <w:spacing w:val="0"/>
                <w:sz w:val="18"/>
                <w:u w:val="none"/>
                <w:shd w:val="clear" w:color="auto" w:fill="FFFF00"/>
              </w:rPr>
              <w:t>漏报警率</w:t>
            </w:r>
          </w:p>
        </w:tc>
        <w:tc>
          <w:tcPr>
            <w:tcW w:w="309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firstLine="420"/>
              <w:jc w:val="left"/>
              <w:rPr/>
            </w:pPr>
            <w:r>
              <w:rPr>
                <w:rFonts w:ascii="仿宋-简" w:hAnsi="仿宋-简" w:eastAsia="仿宋-简" w:cs="仿宋-简"/>
                <w:i w:val="0"/>
                <w:strike w:val="0"/>
                <w:color w:val="000000"/>
                <w:spacing w:val="0"/>
                <w:sz w:val="18"/>
                <w:u w:val="none"/>
                <w:shd w:val="clear" w:color="auto" w:fill="FFFF00"/>
              </w:rPr>
              <w:t>形成真实冲突但未有效提示的情况</w:t>
            </w:r>
          </w:p>
        </w:tc>
        <w:tc>
          <w:tcPr>
            <w:tcW w:w="144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真实冲突事件中未在规定提前量内有效报警的次数÷真实冲突事件数。</w:t>
            </w:r>
          </w:p>
        </w:tc>
        <w:tc>
          <w:tcPr>
            <w:tcW w:w="150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与提前量测试使用同一冲突定义；每类场景建议≥30次，并记录失败原因。</w:t>
            </w:r>
          </w:p>
        </w:tc>
        <w:tc>
          <w:tcPr>
            <w:tcW w:w="144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输出漏报警率、失败场景和原始日志；当前未实测。</w:t>
            </w:r>
          </w:p>
        </w:tc>
      </w:tr>
      <w:tr>
        <w:trPr/>
        <w:tc>
          <w:tcPr>
            <w:tcW w:w="79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jc w:val="left"/>
              <w:rPr/>
            </w:pPr>
            <w:r>
              <w:rPr>
                <w:rFonts w:ascii="仿宋-简" w:hAnsi="仿宋-简" w:eastAsia="仿宋-简" w:cs="仿宋-简"/>
                <w:i w:val="0"/>
                <w:strike w:val="0"/>
                <w:color w:val="000000"/>
                <w:spacing w:val="0"/>
                <w:sz w:val="18"/>
                <w:u w:val="none"/>
                <w:shd w:val="clear" w:color="auto" w:fill="FFFF00"/>
              </w:rPr>
              <w:t>危险区覆盖能力</w:t>
            </w:r>
          </w:p>
        </w:tc>
        <w:tc>
          <w:tcPr>
            <w:tcW w:w="309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firstLine="420"/>
              <w:jc w:val="left"/>
              <w:rPr/>
            </w:pPr>
            <w:r>
              <w:rPr>
                <w:rFonts w:ascii="仿宋-简" w:hAnsi="仿宋-简" w:eastAsia="仿宋-简" w:cs="仿宋-简"/>
                <w:i w:val="0"/>
                <w:strike w:val="0"/>
                <w:color w:val="000000"/>
                <w:spacing w:val="0"/>
                <w:sz w:val="18"/>
                <w:u w:val="none"/>
                <w:shd w:val="clear" w:color="auto" w:fill="FFFF00"/>
              </w:rPr>
              <w:t>不同转向角、铰接角和车速下的扫掠范围</w:t>
            </w:r>
          </w:p>
        </w:tc>
        <w:tc>
          <w:tcPr>
            <w:tcW w:w="144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预测危险区与实测车身扫掠边界的覆盖程度/边界误差；具体指标由技术组确定。</w:t>
            </w:r>
          </w:p>
        </w:tc>
        <w:tc>
          <w:tcPr>
            <w:tcW w:w="150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覆盖不同前轮转角、铰接角及5/10/15km/h等低速工况；用标记点、视频或高精度轨迹形成真值。</w:t>
            </w:r>
          </w:p>
        </w:tc>
        <w:tc>
          <w:tcPr>
            <w:tcW w:w="144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与竞品固定ROI或动态危险区在同一车辆、同一路径下比较；当前缺真值数据。</w:t>
            </w:r>
          </w:p>
        </w:tc>
      </w:tr>
      <w:tr>
        <w:trPr/>
        <w:tc>
          <w:tcPr>
            <w:tcW w:w="79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jc w:val="left"/>
              <w:rPr/>
            </w:pPr>
            <w:r>
              <w:rPr>
                <w:rFonts w:ascii="仿宋-简" w:hAnsi="仿宋-简" w:eastAsia="仿宋-简" w:cs="仿宋-简"/>
                <w:i w:val="0"/>
                <w:strike w:val="0"/>
                <w:color w:val="000000"/>
                <w:spacing w:val="0"/>
                <w:sz w:val="18"/>
                <w:u w:val="none"/>
                <w:shd w:val="clear" w:color="auto" w:fill="FFFF00"/>
              </w:rPr>
              <w:t>报警稳定性</w:t>
            </w:r>
          </w:p>
        </w:tc>
        <w:tc>
          <w:tcPr>
            <w:tcW w:w="309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firstLine="420"/>
              <w:jc w:val="left"/>
              <w:rPr/>
            </w:pPr>
            <w:r>
              <w:rPr>
                <w:rFonts w:ascii="仿宋-简" w:hAnsi="仿宋-简" w:eastAsia="仿宋-简" w:cs="仿宋-简"/>
                <w:i w:val="0"/>
                <w:strike w:val="0"/>
                <w:color w:val="000000"/>
                <w:spacing w:val="0"/>
                <w:sz w:val="18"/>
                <w:u w:val="none"/>
                <w:shd w:val="clear" w:color="auto" w:fill="FFFF00"/>
              </w:rPr>
              <w:t>风险等级是否出现频繁跳变</w:t>
            </w:r>
          </w:p>
        </w:tc>
        <w:tc>
          <w:tcPr>
            <w:tcW w:w="144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单次风险事件内报警等级非预期跳变次数、持续时间及重复试验一致性。</w:t>
            </w:r>
          </w:p>
        </w:tc>
        <w:tc>
          <w:tcPr>
            <w:tcW w:w="150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每类场景建议重复≥30次，记录报警时间序列、目标轨迹和车辆状态。</w:t>
            </w:r>
          </w:p>
        </w:tc>
        <w:tc>
          <w:tcPr>
            <w:tcW w:w="144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输出跳变次数和重复性；当前无正式数据。</w:t>
            </w:r>
          </w:p>
        </w:tc>
      </w:tr>
    </w:tbl>
    <w:p>
      <w:pPr>
        <w:numPr/>
        <w:spacing w:before="156" w:beforeLines="50"/>
        <w:ind/>
        <w:rPr>
          <w:rFonts w:hint="eastAsia" w:ascii="宋体" w:hAnsi="宋体" w:eastAsia="宋体"/>
          <w:b w:val="1"/>
          <w:bCs w:val="1"/>
          <w:sz w:val="24"/>
          <w:szCs w:val="24"/>
        </w:rPr>
      </w:pPr>
      <w:r>
        <w:rPr>
          <w:rFonts w:hint="eastAsia" w:ascii="宋体" w:hAnsi="宋体" w:eastAsia="宋体"/>
          <w:b w:val="1"/>
          <w:bCs w:val="1"/>
          <w:sz w:val="24"/>
          <w:szCs w:val="24"/>
        </w:rPr>
        <w:t>（四）存量车辆安装与成本约束</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对于存量商用车市场，产品价格并不等于客户真实使用成本。</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一套后装主动安全产品完整的交付成本包括：</w:t>
      </w:r>
    </w:p>
    <w:p>
      <w:pPr>
        <w:pBdr/>
        <w:spacing w:before="156" w:beforeLines="50"/>
        <w:ind w:firstLine="420"/>
        <w:rPr>
          <w:rFonts w:hint="eastAsia" w:ascii="宋体" w:hAnsi="宋体" w:eastAsia="宋体"/>
          <w:b w:val="1"/>
          <w:color w:val="1450B8"/>
          <w:sz w:val="24"/>
          <w:szCs w:val="24"/>
        </w:rPr>
      </w:pPr>
      <w:r>
        <w:rPr>
          <w:rFonts w:hint="eastAsia" w:ascii="宋体" w:hAnsi="宋体" w:eastAsia="宋体"/>
          <w:b w:val="1"/>
          <w:color w:val="1450B8"/>
          <w:sz w:val="24"/>
          <w:szCs w:val="24"/>
        </w:rPr>
        <w:t>设备成本＋安装布线＋车型适配＋传感器标定＋车辆停运＋维护售后。</w:t>
      </w:r>
    </w:p>
    <w:p>
      <w:pPr>
        <w:pBdr/>
        <w:spacing w:before="156" w:beforeLines="50"/>
        <w:ind w:firstLine="420"/>
        <w:rPr>
          <w:rFonts w:hint="eastAsia" w:ascii="宋体" w:hAnsi="宋体" w:eastAsia="宋体"/>
          <w:sz w:val="24"/>
          <w:szCs w:val="24"/>
        </w:rPr>
      </w:pPr>
      <w:r>
        <w:rPr>
          <w:rFonts w:hint="eastAsia" w:ascii="宋体" w:hAnsi="宋体" w:eastAsia="宋体"/>
          <w:sz w:val="24"/>
          <w:szCs w:val="24"/>
          <w:u w:val="single"/>
        </w:rPr>
        <w:t>Continental RightViu虽然定位为快速后装产品，但仍明确要求由专业服务机构完成系统标定和启用；ZF的后装产品也配套专门的安装技术资料。</w:t>
      </w:r>
      <w:r>
        <w:rPr>
          <w:rFonts w:hint="eastAsia" w:ascii="宋体" w:hAnsi="宋体" w:eastAsia="宋体"/>
          <w:sz w:val="24"/>
          <w:szCs w:val="24"/>
        </w:rPr>
        <w:t>这说明成熟后装产品本质上是一个完整的</w:t>
      </w:r>
      <w:r>
        <w:rPr>
          <w:rFonts w:hint="eastAsia" w:ascii="宋体" w:hAnsi="宋体" w:eastAsia="宋体"/>
          <w:b w:val="1"/>
          <w:color w:val="1450B8"/>
          <w:sz w:val="24"/>
          <w:szCs w:val="24"/>
        </w:rPr>
        <w:t>工程交付体系</w:t>
      </w:r>
      <w:r>
        <w:rPr>
          <w:rFonts w:hint="eastAsia" w:ascii="宋体" w:hAnsi="宋体" w:eastAsia="宋体"/>
          <w:sz w:val="24"/>
          <w:szCs w:val="24"/>
        </w:rPr>
        <w:t>，而不是单纯出售传感器和控制器。</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因此，本项目未来的成本优势不能仅建立在低BOM之上，还需要进一步建立标准化安装方式、快速车型参数配置、标定流程和售后体系，从而降低客户的总体交付成本。</w:t>
      </w:r>
    </w:p>
    <w:p>
      <w:pPr>
        <w:pBdr/>
        <w:spacing w:before="156" w:beforeLines="50"/>
        <w:ind w:firstLine="420"/>
        <w:rPr>
          <w:rFonts w:hint="eastAsia" w:ascii="宋体" w:hAnsi="宋体" w:eastAsia="宋体"/>
          <w:sz w:val="24"/>
          <w:szCs w:val="24"/>
          <w:shd w:val="clear" w:color="auto" w:fill="FFFF00"/>
        </w:rPr>
      </w:pPr>
      <w:r>
        <w:rPr>
          <w:rFonts w:hint="eastAsia" w:ascii="宋体" w:hAnsi="宋体" w:eastAsia="宋体"/>
          <w:sz w:val="24"/>
          <w:szCs w:val="24"/>
          <w:shd w:val="clear" w:color="auto" w:fill="FFFF00"/>
        </w:rPr>
        <w:t>【待补充：竞品真实报价与交付成本】</w:t>
      </w:r>
    </w:p>
    <w:p>
      <w:pPr>
        <w:snapToGrid w:val="1"/>
        <w:spacing w:before="156" w:after="0" w:line="240"/>
        <w:ind w:left="0" w:right="0" w:firstLine="420"/>
        <w:jc w:val="both"/>
        <w:rPr/>
      </w:pPr>
      <w:r>
        <w:rPr>
          <w:rFonts w:ascii="等线" w:hAnsi="等线" w:eastAsia="等线" w:cs="等线"/>
          <w:b w:val="1"/>
          <w:i w:val="0"/>
          <w:strike w:val="0"/>
          <w:color w:val="000000"/>
          <w:sz w:val="20"/>
          <w:u w:val="none"/>
          <w:shd w:val="clear" w:color="auto" w:fill="FFFF00"/>
        </w:rPr>
        <w:t>【B岗补充：竞品真实报价与交付成本询价底表（现阶段待取得正式报价）】</w:t>
      </w:r>
    </w:p>
    <w:tbl>
      <w:tblPr>
        <w:tblStyle w:val="0000a0"/>
        <w:jc w:val="center"/>
        <w:tblLayout w:type="fixed"/>
      </w:tblPr>
      <w:tblGrid>
        <w:gridCol w:w="1380"/>
        <w:gridCol w:w="1380"/>
        <w:gridCol w:w="1380"/>
        <w:gridCol w:w="1380"/>
        <w:gridCol w:w="1380"/>
        <w:gridCol w:w="1380"/>
      </w:tblGrid>
      <w:tr>
        <w:trPr/>
        <w:tc>
          <w:tcPr>
            <w:tcW w:w="1380" w:type="dxa"/>
            <w:tcBorders>
              <w:top w:val="single" w:color="000000" w:sz="8" w:space="0"/>
              <w:left w:val="single" w:color="000000" w:sz="8" w:space="0"/>
              <w:bottom w:val="single" w:color="000000" w:sz="8" w:space="0"/>
              <w:right w:val="single" w:color="000000" w:sz="8" w:space="0"/>
            </w:tcBorders>
            <w:shd w:val="clear" w:color="auto" w:fill="E5EFFF"/>
            <w:tcMar>
              <w:top w:w="0" w:type="dxa"/>
              <w:left w:w="108" w:type="dxa"/>
              <w:bottom w:w="0" w:type="dxa"/>
              <w:right w:w="108" w:type="dxa"/>
            </w:tcMar>
            <w:vAlign w:val="center"/>
          </w:tcPr>
          <w:p>
            <w:pPr>
              <w:snapToGrid w:val="1"/>
              <w:spacing w:before="0" w:after="0" w:line="240"/>
              <w:ind w:left="0" w:right="0"/>
              <w:jc w:val="center"/>
              <w:rPr/>
            </w:pPr>
            <w:r>
              <w:rPr>
                <w:rFonts w:ascii="仿宋-简" w:hAnsi="仿宋-简" w:eastAsia="仿宋-简" w:cs="仿宋-简"/>
                <w:b w:val="1"/>
                <w:i w:val="0"/>
                <w:strike w:val="0"/>
                <w:color w:val="000000"/>
                <w:spacing w:val="0"/>
                <w:sz w:val="18"/>
                <w:u w:val="none"/>
              </w:rPr>
              <w:t>询价对象</w:t>
            </w:r>
          </w:p>
        </w:tc>
        <w:tc>
          <w:tcPr>
            <w:tcW w:w="1380" w:type="dxa"/>
            <w:tcBorders>
              <w:top w:val="single" w:color="000000" w:sz="8" w:space="0"/>
              <w:left w:val="single" w:color="000000" w:sz="0" w:space="0"/>
              <w:bottom w:val="single" w:color="000000" w:sz="8" w:space="0"/>
              <w:right w:val="single" w:color="000000" w:sz="8" w:space="0"/>
            </w:tcBorders>
            <w:shd w:val="clear" w:color="auto" w:fill="E5EFFF"/>
            <w:tcMar>
              <w:top w:w="0" w:type="dxa"/>
              <w:left w:w="108" w:type="dxa"/>
              <w:bottom w:w="0" w:type="dxa"/>
              <w:right w:w="108" w:type="dxa"/>
            </w:tcMar>
            <w:vAlign w:val="center"/>
          </w:tcPr>
          <w:p>
            <w:pPr>
              <w:snapToGrid w:val="1"/>
              <w:spacing w:before="0" w:after="0" w:line="240"/>
              <w:ind w:left="0" w:right="0"/>
              <w:jc w:val="center"/>
              <w:rPr/>
            </w:pPr>
            <w:r>
              <w:rPr>
                <w:rFonts w:ascii="仿宋-简" w:hAnsi="仿宋-简" w:eastAsia="仿宋-简" w:cs="仿宋-简"/>
                <w:b w:val="1"/>
                <w:i w:val="0"/>
                <w:strike w:val="0"/>
                <w:color w:val="000000"/>
                <w:spacing w:val="0"/>
                <w:sz w:val="18"/>
                <w:u w:val="none"/>
              </w:rPr>
              <w:t>可比类别</w:t>
            </w:r>
          </w:p>
        </w:tc>
        <w:tc>
          <w:tcPr>
            <w:tcW w:w="1380" w:type="dxa"/>
            <w:tcBorders>
              <w:top w:val="single" w:color="000000" w:sz="8" w:space="0"/>
              <w:left w:val="single" w:color="000000" w:sz="0" w:space="0"/>
              <w:bottom w:val="single" w:color="000000" w:sz="8" w:space="0"/>
              <w:right w:val="single" w:color="000000" w:sz="8" w:space="0"/>
            </w:tcBorders>
            <w:shd w:val="clear" w:color="auto" w:fill="E5EFFF"/>
            <w:tcMar>
              <w:top w:w="0" w:type="dxa"/>
              <w:left w:w="108" w:type="dxa"/>
              <w:bottom w:w="0" w:type="dxa"/>
              <w:right w:w="108" w:type="dxa"/>
            </w:tcMar>
            <w:vAlign w:val="center"/>
          </w:tcPr>
          <w:p>
            <w:pPr>
              <w:snapToGrid w:val="1"/>
              <w:spacing w:before="0" w:after="0" w:line="240"/>
              <w:ind w:left="0" w:right="0"/>
              <w:jc w:val="center"/>
              <w:rPr/>
            </w:pPr>
            <w:r>
              <w:rPr>
                <w:rFonts w:ascii="仿宋-简" w:hAnsi="仿宋-简" w:eastAsia="仿宋-简" w:cs="仿宋-简"/>
                <w:b w:val="1"/>
                <w:i w:val="0"/>
                <w:strike w:val="0"/>
                <w:color w:val="000000"/>
                <w:spacing w:val="0"/>
                <w:sz w:val="18"/>
                <w:u w:val="none"/>
              </w:rPr>
              <w:t>需包含的设备/终端</w:t>
            </w:r>
          </w:p>
        </w:tc>
        <w:tc>
          <w:tcPr>
            <w:tcW w:w="1380" w:type="dxa"/>
            <w:tcBorders>
              <w:top w:val="single" w:color="000000" w:sz="8" w:space="0"/>
              <w:left w:val="single" w:color="000000" w:sz="0" w:space="0"/>
              <w:bottom w:val="single" w:color="000000" w:sz="8" w:space="0"/>
              <w:right w:val="single" w:color="000000" w:sz="8" w:space="0"/>
            </w:tcBorders>
            <w:shd w:val="clear" w:color="auto" w:fill="E5EFFF"/>
            <w:tcMar>
              <w:top w:w="0" w:type="dxa"/>
              <w:left w:w="108" w:type="dxa"/>
              <w:bottom w:w="0" w:type="dxa"/>
              <w:right w:w="108" w:type="dxa"/>
            </w:tcMar>
            <w:vAlign w:val="center"/>
          </w:tcPr>
          <w:p>
            <w:pPr>
              <w:snapToGrid w:val="1"/>
              <w:spacing w:before="0" w:after="0" w:line="240"/>
              <w:ind w:left="0" w:right="0"/>
              <w:jc w:val="center"/>
              <w:rPr/>
            </w:pPr>
            <w:r>
              <w:rPr>
                <w:rFonts w:ascii="仿宋-简" w:hAnsi="仿宋-简" w:eastAsia="仿宋-简" w:cs="仿宋-简"/>
                <w:b w:val="1"/>
                <w:i w:val="0"/>
                <w:strike w:val="0"/>
                <w:color w:val="000000"/>
                <w:spacing w:val="0"/>
                <w:sz w:val="18"/>
                <w:u w:val="none"/>
              </w:rPr>
              <w:t>安装、标定与税费</w:t>
            </w:r>
          </w:p>
        </w:tc>
        <w:tc>
          <w:tcPr>
            <w:tcW w:w="1380" w:type="dxa"/>
            <w:tcBorders>
              <w:top w:val="single" w:color="000000" w:sz="8" w:space="0"/>
              <w:left w:val="single" w:color="000000" w:sz="0" w:space="0"/>
              <w:bottom w:val="single" w:color="000000" w:sz="8" w:space="0"/>
              <w:right w:val="single" w:color="000000" w:sz="8" w:space="0"/>
            </w:tcBorders>
            <w:shd w:val="clear" w:color="auto" w:fill="E5EFFF"/>
            <w:tcMar>
              <w:top w:w="0" w:type="dxa"/>
              <w:left w:w="108" w:type="dxa"/>
              <w:bottom w:w="0" w:type="dxa"/>
              <w:right w:w="108" w:type="dxa"/>
            </w:tcMar>
            <w:vAlign w:val="center"/>
          </w:tcPr>
          <w:p>
            <w:pPr>
              <w:snapToGrid w:val="1"/>
              <w:spacing w:before="0" w:after="0" w:line="240"/>
              <w:ind w:left="0" w:right="0"/>
              <w:jc w:val="center"/>
              <w:rPr/>
            </w:pPr>
            <w:r>
              <w:rPr>
                <w:rFonts w:ascii="仿宋-简" w:hAnsi="仿宋-简" w:eastAsia="仿宋-简" w:cs="仿宋-简"/>
                <w:b w:val="1"/>
                <w:i w:val="0"/>
                <w:strike w:val="0"/>
                <w:color w:val="000000"/>
                <w:spacing w:val="0"/>
                <w:sz w:val="18"/>
                <w:u w:val="none"/>
              </w:rPr>
              <w:t>质保/年费/批量条件</w:t>
            </w:r>
          </w:p>
        </w:tc>
        <w:tc>
          <w:tcPr>
            <w:tcW w:w="1380" w:type="dxa"/>
            <w:tcBorders>
              <w:top w:val="single" w:color="000000" w:sz="8" w:space="0"/>
              <w:left w:val="single" w:color="000000" w:sz="0" w:space="0"/>
              <w:bottom w:val="single" w:color="000000" w:sz="8" w:space="0"/>
              <w:right w:val="single" w:color="000000" w:sz="8" w:space="0"/>
            </w:tcBorders>
            <w:shd w:val="clear" w:color="auto" w:fill="E5EFFF"/>
            <w:tcMar>
              <w:top w:w="0" w:type="dxa"/>
              <w:left w:w="108" w:type="dxa"/>
              <w:bottom w:w="0" w:type="dxa"/>
              <w:right w:w="108" w:type="dxa"/>
            </w:tcMar>
            <w:vAlign w:val="center"/>
          </w:tcPr>
          <w:p>
            <w:pPr>
              <w:snapToGrid w:val="1"/>
              <w:spacing w:before="0" w:after="0" w:line="240"/>
              <w:ind w:left="0" w:right="0"/>
              <w:jc w:val="center"/>
              <w:rPr/>
            </w:pPr>
            <w:r>
              <w:rPr>
                <w:rFonts w:ascii="仿宋-简" w:hAnsi="仿宋-简" w:eastAsia="仿宋-简" w:cs="仿宋-简"/>
                <w:b w:val="1"/>
                <w:i w:val="0"/>
                <w:strike w:val="0"/>
                <w:color w:val="000000"/>
                <w:spacing w:val="0"/>
                <w:sz w:val="18"/>
                <w:u w:val="none"/>
              </w:rPr>
              <w:t>现有证据与状态</w:t>
            </w:r>
          </w:p>
        </w:tc>
      </w:tr>
      <w:tr>
        <w:trPr/>
        <w:tc>
          <w:tcPr>
            <w:tcW w:w="138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锐明技术 CA24S</w:t>
            </w:r>
          </w:p>
        </w:tc>
        <w:tc>
          <w:tcPr>
            <w:tcW w:w="138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国内视觉AI BSD</w:t>
            </w:r>
          </w:p>
        </w:tc>
        <w:tc>
          <w:tcPr>
            <w:tcW w:w="138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主机、摄像头、车内显示/声光终端、车外提醒、线束与支架</w:t>
            </w:r>
          </w:p>
        </w:tc>
        <w:tc>
          <w:tcPr>
            <w:tcW w:w="138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分别列安装布线、车型适配、标定、差旅、车辆停运及含税价</w:t>
            </w:r>
          </w:p>
        </w:tc>
        <w:tc>
          <w:tcPr>
            <w:tcW w:w="138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质保期、换新/维修、平台年费、MOQ及批量折扣</w:t>
            </w:r>
          </w:p>
        </w:tc>
        <w:tc>
          <w:tcPr>
            <w:tcW w:w="138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官网证明产品真实存在；未公开统一售价，须向厂商/经销商正式询价。</w:t>
            </w:r>
          </w:p>
        </w:tc>
      </w:tr>
      <w:tr>
        <w:trPr/>
        <w:tc>
          <w:tcPr>
            <w:tcW w:w="138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鸿泉物联 HQX301/HQA802</w:t>
            </w:r>
          </w:p>
        </w:tc>
        <w:tc>
          <w:tcPr>
            <w:tcW w:w="138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国内ADAS/BSD及车联网平台</w:t>
            </w:r>
          </w:p>
        </w:tc>
        <w:tc>
          <w:tcPr>
            <w:tcW w:w="138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主机、BSD摄像头、显示/报警终端、算法授权、4G/北斗及存储配置</w:t>
            </w:r>
          </w:p>
        </w:tc>
        <w:tc>
          <w:tcPr>
            <w:tcW w:w="138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区分硬件含税价、安装标定费和车型适配费</w:t>
            </w:r>
          </w:p>
        </w:tc>
        <w:tc>
          <w:tcPr>
            <w:tcW w:w="138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平台年费、SIM流量、质保、算法授权、MOQ及折扣</w:t>
            </w:r>
          </w:p>
        </w:tc>
        <w:tc>
          <w:tcPr>
            <w:tcW w:w="138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官网证明产品及扩展能力；未公开完整配置报价，待正式询价。</w:t>
            </w:r>
          </w:p>
        </w:tc>
      </w:tr>
      <w:tr>
        <w:trPr/>
        <w:tc>
          <w:tcPr>
            <w:tcW w:w="138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Continental RightViu</w:t>
            </w:r>
          </w:p>
        </w:tc>
        <w:tc>
          <w:tcPr>
            <w:tcW w:w="138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雷达后装右转辅助</w:t>
            </w:r>
          </w:p>
        </w:tc>
        <w:tc>
          <w:tcPr>
            <w:tcW w:w="138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雷达、控制器、显示/报警器、线束、支架及启用工具</w:t>
            </w:r>
          </w:p>
        </w:tc>
        <w:tc>
          <w:tcPr>
            <w:tcW w:w="138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官方要求专业机构标定启用；须分别取得设备、安装标定和税费</w:t>
            </w:r>
          </w:p>
        </w:tc>
        <w:tc>
          <w:tcPr>
            <w:tcW w:w="138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质保、维护、批量采购及区域服务条件</w:t>
            </w:r>
          </w:p>
        </w:tc>
        <w:tc>
          <w:tcPr>
            <w:tcW w:w="138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官网证明产品与安装要求；无统一公开售价，不能直接比较。</w:t>
            </w:r>
          </w:p>
        </w:tc>
      </w:tr>
      <w:tr>
        <w:trPr/>
        <w:tc>
          <w:tcPr>
            <w:tcW w:w="138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Mobileye Shield+</w:t>
            </w:r>
          </w:p>
        </w:tc>
        <w:tc>
          <w:tcPr>
            <w:tcW w:w="138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多视觉AI大型车辆盲区系统</w:t>
            </w:r>
          </w:p>
        </w:tc>
        <w:tc>
          <w:tcPr>
            <w:tcW w:w="138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多摄像头/传感器、显示/报警终端、线束及Connect数据服务（如选）</w:t>
            </w:r>
          </w:p>
        </w:tc>
        <w:tc>
          <w:tcPr>
            <w:tcW w:w="138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安装、摄像头布置、车型参数配置、标定及含税价</w:t>
            </w:r>
          </w:p>
        </w:tc>
        <w:tc>
          <w:tcPr>
            <w:tcW w:w="138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质保、软件/数据服务年费、MOQ和车队折扣</w:t>
            </w:r>
          </w:p>
        </w:tc>
        <w:tc>
          <w:tcPr>
            <w:tcW w:w="138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jc w:val="left"/>
              <w:rPr/>
            </w:pPr>
            <w:r>
              <w:rPr>
                <w:rFonts w:ascii="仿宋-简" w:hAnsi="仿宋-简" w:eastAsia="仿宋-简" w:cs="仿宋-简"/>
                <w:i w:val="0"/>
                <w:strike w:val="0"/>
                <w:color w:val="000000"/>
                <w:spacing w:val="0"/>
                <w:sz w:val="18"/>
                <w:u w:val="none"/>
              </w:rPr>
              <w:t>官方测试资料证明功能；未取得正式报价与中国区交付成本。</w:t>
            </w:r>
          </w:p>
        </w:tc>
      </w:tr>
    </w:tbl>
    <w:p>
      <w:pPr>
        <w:numPr/>
        <w:spacing w:before="156" w:beforeLines="50"/>
        <w:ind/>
        <w:rPr>
          <w:rFonts w:hint="eastAsia" w:ascii="宋体" w:hAnsi="宋体" w:eastAsia="宋体"/>
          <w:b w:val="1"/>
          <w:bCs w:val="1"/>
          <w:sz w:val="24"/>
          <w:szCs w:val="24"/>
        </w:rPr>
      </w:pPr>
      <w:r>
        <w:rPr>
          <w:rFonts w:hint="eastAsia" w:ascii="宋体" w:hAnsi="宋体" w:eastAsia="宋体"/>
          <w:b w:val="1"/>
          <w:bCs w:val="1"/>
          <w:sz w:val="24"/>
          <w:szCs w:val="24"/>
        </w:rPr>
        <w:t>（五）车端风险数据向车队管理延伸不足</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商用车主动安全产品正在由单车报警进一步向车队风险管理发展。</w:t>
      </w:r>
      <w:r>
        <w:rPr>
          <w:rFonts w:hint="eastAsia" w:ascii="宋体" w:hAnsi="宋体" w:eastAsia="宋体"/>
          <w:sz w:val="24"/>
          <w:szCs w:val="24"/>
          <w:u w:val="single"/>
        </w:rPr>
        <w:t>Mobileye Shield+已经提供报警数据采集能力，可将相关数据用于后续分析</w:t>
      </w:r>
      <w:r>
        <w:rPr>
          <w:rFonts w:hint="eastAsia" w:ascii="宋体" w:hAnsi="宋体" w:eastAsia="宋体"/>
          <w:sz w:val="24"/>
          <w:szCs w:val="24"/>
        </w:rPr>
        <w:t>；这说明单纯提出“增加云平台或上传报警数据”已经不足以形成明显差异化。</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对于半挂车辆右转这一特定风险，本项目进一步关注的是将</w:t>
      </w:r>
      <w:r>
        <w:rPr>
          <w:rFonts w:hint="eastAsia" w:ascii="宋体" w:hAnsi="宋体" w:eastAsia="宋体"/>
          <w:b w:val="1"/>
          <w:color w:val="1450B8"/>
          <w:sz w:val="24"/>
          <w:szCs w:val="24"/>
        </w:rPr>
        <w:t>风险事件、车辆运动状态、铰接状态和高精度时空位置</w:t>
      </w:r>
      <w:r>
        <w:rPr>
          <w:rFonts w:hint="eastAsia" w:ascii="宋体" w:hAnsi="宋体" w:eastAsia="宋体"/>
          <w:sz w:val="24"/>
          <w:szCs w:val="24"/>
        </w:rPr>
        <w:t>形成关联，使车队不仅知道“某辆车发生过报警”，还能够进一步分析：</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 xml:space="preserve"> 1.报警发生于何处； </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 xml:space="preserve"> 2.当时车辆处于何种转向和铰接状态； </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 xml:space="preserve"> 3.哪些路口或运营区域风险事件更集中； </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 xml:space="preserve"> 4.不同车辆及驾驶工况是否存在稳定风险差异； </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 xml:space="preserve"> 5.产品安装前后风险事件是否发生变化。 </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这一方向有望使单车预警数据进一步服务于车队安全复盘、风险路段识别和运营管理。</w:t>
      </w:r>
    </w:p>
    <w:p>
      <w:pPr>
        <w:pBdr/>
        <w:spacing w:before="156" w:beforeLines="50"/>
        <w:ind w:firstLine="420"/>
        <w:rPr>
          <w:rFonts w:hint="eastAsia" w:ascii="宋体" w:hAnsi="宋体" w:eastAsia="宋体"/>
          <w:sz w:val="24"/>
          <w:szCs w:val="24"/>
        </w:rPr>
      </w:pPr>
      <w:r>
        <w:rPr>
          <w:rFonts w:hint="eastAsia" w:ascii="宋体" w:hAnsi="宋体" w:eastAsia="宋体"/>
          <w:sz w:val="24"/>
          <w:szCs w:val="24"/>
        </w:rPr>
        <w:t>但该能力目前仍属于项目的后续产品规划，其客户价值和付费意愿需要通过真实B端试点验证，现阶段不作为已经实现的商业功能表述。</w:t>
      </w:r>
    </w:p>
    <w:p>
      <w:pPr>
        <w:pBdr/>
        <w:spacing w:before="156" w:beforeLines="50"/>
        <w:ind w:firstLine="420"/>
        <w:rPr>
          <w:rFonts w:hint="eastAsia" w:ascii="宋体" w:hAnsi="宋体" w:eastAsia="宋体"/>
          <w:sz w:val="24"/>
          <w:szCs w:val="24"/>
        </w:rPr>
      </w:pPr>
    </w:p>
    <w:p>
      <w:pPr>
        <w:pBdr/>
        <w:spacing w:before="156" w:beforeLines="50"/>
        <w:ind w:firstLine="420"/>
        <w:rPr>
          <w:rFonts w:hint="eastAsia" w:ascii="宋体" w:hAnsi="宋体" w:eastAsia="宋体"/>
          <w:sz w:val="24"/>
          <w:szCs w:val="24"/>
        </w:rPr>
      </w:pPr>
    </w:p>
    <w:p>
      <w:pPr>
        <w:ind w:firstLine="480" w:firstLineChars="200"/>
        <w:rPr>
          <w:rFonts w:hint="eastAsia" w:ascii="宋体" w:hAnsi="宋体" w:eastAsia="宋体"/>
          <w:sz w:val="24"/>
          <w:szCs w:val="24"/>
        </w:rPr>
      </w:pPr>
    </w:p>
    <w:p>
      <w:pPr>
        <w:ind w:firstLine="480" w:firstLineChars="200"/>
        <w:jc w:val="center"/>
        <w:rPr>
          <w:rFonts w:hint="eastAsia" w:ascii="宋体" w:hAnsi="宋体" w:eastAsia="宋体"/>
          <w:sz w:val="24"/>
          <w:szCs w:val="24"/>
        </w:rPr>
      </w:pPr>
    </w:p>
    <w:p>
      <w:pPr>
        <w:ind w:firstLine="480" w:firstLineChars="200"/>
        <w:rPr>
          <w:rFonts w:hint="eastAsia" w:ascii="宋体" w:hAnsi="宋体" w:eastAsia="宋体"/>
          <w:sz w:val="24"/>
          <w:szCs w:val="24"/>
        </w:rPr>
      </w:pPr>
    </w:p>
    <w:p>
      <w:pPr>
        <w:ind w:firstLine="480" w:firstLineChars="200"/>
        <w:rPr>
          <w:rFonts w:hint="eastAsia" w:ascii="宋体" w:hAnsi="宋体" w:eastAsia="宋体"/>
          <w:sz w:val="24"/>
          <w:szCs w:val="24"/>
        </w:rPr>
      </w:pPr>
    </w:p>
    <w:p>
      <w:pPr>
        <w:ind/>
        <w:jc w:val="center"/>
        <w:rPr>
          <w:rFonts w:hint="eastAsia" w:ascii="黑体" w:hAnsi="黑体" w:eastAsia="黑体"/>
          <w:b w:val="1"/>
          <w:bCs w:val="1"/>
          <w:color w:val="215E99" w:themeColor="text2" w:themeTint="BF"/>
          <w:sz w:val="36"/>
          <w:szCs w:val="36"/>
        </w:rPr>
      </w:pPr>
      <w:r>
        <w:rPr>
          <w:rFonts w:hint="eastAsia" w:ascii="黑体" w:hAnsi="黑体" w:eastAsia="黑体"/>
          <w:b w:val="1"/>
          <w:bCs w:val="1"/>
          <w:color w:val="215E99" w:themeColor="text2" w:themeTint="BF"/>
          <w:sz w:val="36"/>
          <w:szCs w:val="36"/>
          <w14:shadow w14:blurRad="50800" w14:dist="38100" w14:dir="2700000" w14:sx="100000" w14:sy="100000" w14:kx="0" w14:ky="0" w14:algn="tl">
            <w14:srgbClr w14:val="000000">
              <w14:alpha w14:val="60000"/>
            </w14:srgbClr>
          </w14:shadow>
        </w:rPr>
        <w:t>第四部分：</w:t>
      </w:r>
      <w:r>
        <w:rPr>
          <w:rFonts w:hint="eastAsia" w:ascii="黑体" w:hAnsi="黑体" w:eastAsia="黑体"/>
          <w:b w:val="1"/>
          <w:bCs w:val="1"/>
          <w:color w:val="215E99" w:themeColor="text2" w:themeTint="BF"/>
          <w:sz w:val="36"/>
          <w:szCs w:val="36"/>
          <w14:shadow w14:blurRad="50800" w14:dist="38100" w14:dir="2700000" w14:sx="100000" w14:sy="100000" w14:kx="0" w14:ky="0" w14:algn="tl">
            <w14:srgbClr w14:val="000000">
              <w14:alpha w14:val="60000"/>
            </w14:srgbClr>
          </w14:shadow>
        </w:rPr>
        <w:t>“盲区驭智”产品与技术解决方案</w:t>
      </w:r>
    </w:p>
    <w:p>
      <w:pPr>
        <w:pBdr/>
        <w:spacing w:before="156" w:beforeLines="50"/>
        <w:ind w:firstLine="420"/>
        <w:rPr>
          <w:rFonts w:ascii="宋体" w:hAnsi="宋体" w:eastAsia="宋体"/>
          <w:sz w:val="24"/>
          <w:szCs w:val="24"/>
        </w:rPr>
      </w:pPr>
      <w:r>
        <w:rPr>
          <w:rFonts w:ascii="宋体" w:hAnsi="宋体" w:eastAsia="宋体"/>
          <w:sz w:val="24"/>
          <w:szCs w:val="24"/>
        </w:rPr>
        <w:t>“盲区驭智”面向大型半挂车辆低速右转场景，围绕</w:t>
      </w:r>
      <w:r>
        <w:rPr>
          <w:rFonts w:ascii="宋体" w:hAnsi="宋体" w:eastAsia="宋体"/>
          <w:b w:val="1"/>
          <w:color w:val="1450B8"/>
          <w:sz w:val="24"/>
          <w:szCs w:val="24"/>
        </w:rPr>
        <w:t>车辆未来短时扫掠空间与行人、非机动车之间的潜在冲突</w:t>
      </w:r>
      <w:r>
        <w:rPr>
          <w:rFonts w:ascii="宋体" w:hAnsi="宋体" w:eastAsia="宋体"/>
          <w:sz w:val="24"/>
          <w:szCs w:val="24"/>
        </w:rPr>
        <w:t>构建主动预警方案。</w:t>
      </w:r>
    </w:p>
    <w:p>
      <w:pPr>
        <w:pBdr/>
        <w:spacing w:before="156" w:beforeLines="50"/>
        <w:ind w:firstLine="420"/>
        <w:rPr>
          <w:rFonts w:ascii="宋体" w:hAnsi="宋体" w:eastAsia="宋体"/>
          <w:sz w:val="24"/>
          <w:szCs w:val="24"/>
        </w:rPr>
      </w:pPr>
      <w:r>
        <w:rPr>
          <w:rFonts w:ascii="宋体" w:hAnsi="宋体" w:eastAsia="宋体"/>
          <w:sz w:val="24"/>
          <w:szCs w:val="24"/>
        </w:rPr>
        <w:t>系统以车辆运动状态为基础，通过半挂车耦合运动学模型预测牵引车与挂车未来短时姿态，进一步生成车辆右侧动态扫掠区域；同时利用毫米波雷达、视觉等感知手段获取周边目标信息，并结合空间位置、目标运动趋势和风险等级输出分级声光预警。现阶段项目定位为</w:t>
      </w:r>
      <w:r>
        <w:rPr>
          <w:rFonts w:ascii="宋体" w:hAnsi="宋体" w:eastAsia="宋体"/>
          <w:b w:val="1"/>
          <w:color w:val="1450B8"/>
          <w:sz w:val="24"/>
          <w:szCs w:val="24"/>
        </w:rPr>
        <w:t>驾驶辅助预警系统</w:t>
      </w:r>
      <w:r>
        <w:rPr>
          <w:rFonts w:ascii="宋体" w:hAnsi="宋体" w:eastAsia="宋体"/>
          <w:sz w:val="24"/>
          <w:szCs w:val="24"/>
        </w:rPr>
        <w:t>，不直接接管车辆转向和制动控制。项目立项材料亦明确将研究对象定义为短时风险预测问题，而非车辆控制问题。</w:t>
      </w:r>
    </w:p>
    <w:p>
      <w:pPr>
        <w:snapToGrid w:val="1"/>
        <w:spacing w:line="240"/>
        <w:ind w:left="420"/>
        <w:rPr>
          <w:shd w:val="clear" w:color="auto" w:fill="FFFF00"/>
        </w:rPr>
      </w:pPr>
      <w:r>
        <w:rPr>
          <w:b w:val="1"/>
          <w:i w:val="0"/>
          <w:strike w:val="0"/>
          <w:color w:val="000000"/>
          <w:u w:val="none"/>
          <w:shd w:val="clear" w:color="auto" w:fill="FFFF00"/>
        </w:rPr>
        <w:t>第四部分：“盲区驭智”产品与技术解决方案</w:t>
      </w:r>
    </w:p>
    <w:p>
      <w:pPr>
        <w:snapToGrid w:val="1"/>
        <w:spacing w:line="240"/>
        <w:ind w:left="420"/>
        <w:rPr>
          <w:shd w:val="clear" w:color="auto" w:fill="FFFF00"/>
        </w:rPr>
      </w:pPr>
      <w:r>
        <w:rPr>
          <w:b w:val="1"/>
          <w:i w:val="0"/>
          <w:strike w:val="0"/>
          <w:color w:val="000000"/>
          <w:u w:val="none"/>
          <w:shd w:val="clear" w:color="auto" w:fill="FFFF00"/>
        </w:rPr>
        <w:t>一、产品定位</w:t>
      </w:r>
    </w:p>
    <w:p>
      <w:pPr>
        <w:snapToGrid w:val="1"/>
        <w:spacing w:line="240"/>
        <w:ind w:left="420"/>
        <w:rPr>
          <w:shd w:val="clear" w:color="auto" w:fill="FFFF00"/>
        </w:rPr>
      </w:pPr>
      <w:r>
        <w:rPr>
          <w:i w:val="0"/>
          <w:strike w:val="0"/>
          <w:color w:val="000000"/>
          <w:u w:val="none"/>
          <w:shd w:val="clear" w:color="auto" w:fill="FFFF00"/>
        </w:rPr>
        <w:t>（一）产品定义</w:t>
      </w:r>
    </w:p>
    <w:p>
      <w:pPr>
        <w:snapToGrid w:val="1"/>
        <w:spacing w:line="240"/>
        <w:ind w:left="420"/>
        <w:rPr>
          <w:shd w:val="clear" w:color="auto" w:fill="FFFF00"/>
        </w:rPr>
      </w:pPr>
      <w:r>
        <w:rPr>
          <w:i w:val="0"/>
          <w:strike w:val="0"/>
          <w:color w:val="000000"/>
          <w:u w:val="none"/>
          <w:shd w:val="clear" w:color="auto" w:fill="FFFF00"/>
        </w:rPr>
        <w:t>（二）核心应用场景</w:t>
      </w:r>
    </w:p>
    <w:p>
      <w:pPr>
        <w:snapToGrid w:val="1"/>
        <w:spacing w:line="240"/>
        <w:ind w:left="420"/>
        <w:rPr>
          <w:shd w:val="clear" w:color="auto" w:fill="FFFF00"/>
        </w:rPr>
      </w:pPr>
      <w:r>
        <w:rPr>
          <w:i w:val="0"/>
          <w:strike w:val="0"/>
          <w:color w:val="000000"/>
          <w:u w:val="none"/>
          <w:shd w:val="clear" w:color="auto" w:fill="FFFF00"/>
        </w:rPr>
        <w:t>（三）产品功能边界</w:t>
      </w:r>
    </w:p>
    <w:p>
      <w:pPr>
        <w:snapToGrid w:val="1"/>
        <w:spacing w:line="240"/>
        <w:ind w:left="420"/>
        <w:rPr>
          <w:shd w:val="clear" w:color="auto" w:fill="FFFF00"/>
        </w:rPr>
      </w:pPr>
      <w:r>
        <w:rPr>
          <w:b w:val="1"/>
          <w:i w:val="0"/>
          <w:strike w:val="0"/>
          <w:color w:val="000000"/>
          <w:u w:val="none"/>
          <w:shd w:val="clear" w:color="auto" w:fill="FFFF00"/>
        </w:rPr>
        <w:t>二、系统总体技术架构</w:t>
      </w:r>
    </w:p>
    <w:p>
      <w:pPr>
        <w:snapToGrid w:val="1"/>
        <w:spacing w:line="240"/>
        <w:ind w:left="420"/>
        <w:rPr>
          <w:shd w:val="clear" w:color="auto" w:fill="FFFF00"/>
        </w:rPr>
      </w:pPr>
      <w:r>
        <w:rPr>
          <w:i w:val="0"/>
          <w:strike w:val="0"/>
          <w:color w:val="000000"/>
          <w:u w:val="none"/>
          <w:shd w:val="clear" w:color="auto" w:fill="FFFF00"/>
        </w:rPr>
        <w:t>（一）车辆状态感知层</w:t>
      </w:r>
    </w:p>
    <w:p>
      <w:pPr>
        <w:numPr>
          <w:ilvl w:val="0"/>
          <w:numId w:val="2"/>
        </w:numPr>
        <w:snapToGrid w:val="1"/>
        <w:spacing w:line="240"/>
        <w:ind/>
        <w:rPr>
          <w:shd w:val="clear" w:color="auto" w:fill="FFFF00"/>
        </w:rPr>
      </w:pPr>
      <w:r>
        <w:rPr>
          <w:i w:val="0"/>
          <w:strike w:val="0"/>
          <w:color w:val="000000"/>
          <w:u w:val="none"/>
          <w:shd w:val="clear" w:color="auto" w:fill="FFFF00"/>
        </w:rPr>
        <w:t xml:space="preserve"> 车辆速度采集 </w:t>
      </w:r>
    </w:p>
    <w:p>
      <w:pPr>
        <w:numPr>
          <w:ilvl w:val="0"/>
          <w:numId w:val="2"/>
        </w:numPr>
        <w:snapToGrid w:val="1"/>
        <w:spacing w:line="240"/>
        <w:ind/>
        <w:rPr>
          <w:shd w:val="clear" w:color="auto" w:fill="FFFF00"/>
        </w:rPr>
      </w:pPr>
      <w:r>
        <w:rPr>
          <w:i w:val="0"/>
          <w:strike w:val="0"/>
          <w:color w:val="000000"/>
          <w:u w:val="none"/>
          <w:shd w:val="clear" w:color="auto" w:fill="FFFF00"/>
        </w:rPr>
        <w:t xml:space="preserve"> 前轮转向角采集 </w:t>
      </w:r>
    </w:p>
    <w:p>
      <w:pPr>
        <w:numPr>
          <w:ilvl w:val="0"/>
          <w:numId w:val="2"/>
        </w:numPr>
        <w:snapToGrid w:val="1"/>
        <w:spacing w:line="240"/>
        <w:ind/>
        <w:rPr>
          <w:shd w:val="clear" w:color="auto" w:fill="FFFF00"/>
        </w:rPr>
      </w:pPr>
      <w:r>
        <w:rPr>
          <w:i w:val="0"/>
          <w:strike w:val="0"/>
          <w:color w:val="000000"/>
          <w:u w:val="none"/>
          <w:shd w:val="clear" w:color="auto" w:fill="FFFF00"/>
        </w:rPr>
        <w:t xml:space="preserve"> 牵引车—挂车铰接角采集</w:t>
      </w:r>
    </w:p>
    <w:p>
      <w:pPr>
        <w:snapToGrid w:val="1"/>
        <w:spacing w:line="240"/>
        <w:ind w:left="420"/>
        <w:rPr>
          <w:shd w:val="clear" w:color="auto" w:fill="FFFF00"/>
        </w:rPr>
      </w:pPr>
      <w:r>
        <w:rPr>
          <w:i w:val="0"/>
          <w:strike w:val="0"/>
          <w:color w:val="000000"/>
          <w:u w:val="none"/>
          <w:shd w:val="clear" w:color="auto" w:fill="FFFF00"/>
        </w:rPr>
        <w:t>（二）北斗高精度时空信息层</w:t>
      </w:r>
    </w:p>
    <w:p>
      <w:pPr>
        <w:snapToGrid w:val="1"/>
        <w:spacing w:line="240"/>
        <w:ind w:left="420"/>
        <w:rPr>
          <w:shd w:val="clear" w:color="auto" w:fill="FFFF00"/>
        </w:rPr>
      </w:pPr>
      <w:r>
        <w:rPr>
          <w:i w:val="0"/>
          <w:strike w:val="0"/>
          <w:color w:val="000000"/>
          <w:u w:val="none"/>
          <w:shd w:val="clear" w:color="auto" w:fill="FFFF00"/>
        </w:rPr>
        <w:t>（三）毫米波雷达环境感知层</w:t>
      </w:r>
    </w:p>
    <w:p>
      <w:pPr>
        <w:snapToGrid w:val="1"/>
        <w:spacing w:line="240"/>
        <w:ind w:left="420"/>
        <w:rPr>
          <w:shd w:val="clear" w:color="auto" w:fill="FFFF00"/>
        </w:rPr>
      </w:pPr>
      <w:r>
        <w:rPr>
          <w:i w:val="0"/>
          <w:strike w:val="0"/>
          <w:color w:val="000000"/>
          <w:u w:val="none"/>
          <w:shd w:val="clear" w:color="auto" w:fill="FFFF00"/>
        </w:rPr>
        <w:t>（四）视觉协处理感知层</w:t>
      </w:r>
    </w:p>
    <w:p>
      <w:pPr>
        <w:snapToGrid w:val="1"/>
        <w:spacing w:line="240"/>
        <w:ind w:left="420"/>
        <w:rPr>
          <w:shd w:val="clear" w:color="auto" w:fill="FFFF00"/>
        </w:rPr>
      </w:pPr>
      <w:r>
        <w:rPr>
          <w:i w:val="0"/>
          <w:strike w:val="0"/>
          <w:color w:val="000000"/>
          <w:u w:val="none"/>
          <w:shd w:val="clear" w:color="auto" w:fill="FFFF00"/>
        </w:rPr>
        <w:t>（五）嵌入式计算与风险决策层</w:t>
      </w:r>
    </w:p>
    <w:p>
      <w:pPr>
        <w:ind w:left="420"/>
        <w:rPr>
          <w:shd w:val="clear" w:color="auto" w:fill="FFFF00"/>
        </w:rPr>
      </w:pPr>
      <w:r>
        <w:rPr>
          <w:i w:val="0"/>
          <w:strike w:val="0"/>
          <w:color w:val="000000"/>
          <w:u w:val="none"/>
          <w:shd w:val="clear" w:color="auto" w:fill="FFFF00"/>
        </w:rPr>
        <w:t xml:space="preserve">（六）声光预警与数据记录层 </w:t>
      </w:r>
    </w:p>
    <w:p>
      <w:pPr>
        <w:snapToGrid w:val="1"/>
        <w:spacing w:line="240"/>
        <w:ind w:left="420"/>
        <w:rPr>
          <w:shd w:val="clear" w:color="auto" w:fill="FFFF00"/>
        </w:rPr>
      </w:pPr>
      <w:r>
        <w:rPr>
          <w:b w:val="1"/>
          <w:i w:val="0"/>
          <w:strike w:val="0"/>
          <w:color w:val="000000"/>
          <w:u w:val="none"/>
          <w:shd w:val="clear" w:color="auto" w:fill="FFFF00"/>
        </w:rPr>
        <w:t>三、半挂车辆短时耦合运动学预测</w:t>
      </w:r>
    </w:p>
    <w:p>
      <w:pPr>
        <w:snapToGrid w:val="1"/>
        <w:spacing w:line="240"/>
        <w:ind w:left="420"/>
        <w:rPr>
          <w:shd w:val="clear" w:color="auto" w:fill="FFFF00"/>
        </w:rPr>
      </w:pPr>
      <w:r>
        <w:rPr>
          <w:i w:val="0"/>
          <w:strike w:val="0"/>
          <w:color w:val="000000"/>
          <w:u w:val="none"/>
          <w:shd w:val="clear" w:color="auto" w:fill="FFFF00"/>
        </w:rPr>
        <w:t>（一）车辆运动状态建模</w:t>
      </w:r>
    </w:p>
    <w:p>
      <w:pPr>
        <w:snapToGrid w:val="1"/>
        <w:spacing w:line="240"/>
        <w:ind w:left="420"/>
        <w:rPr>
          <w:shd w:val="clear" w:color="auto" w:fill="FFFF00"/>
        </w:rPr>
      </w:pPr>
      <w:r>
        <w:rPr>
          <w:i w:val="0"/>
          <w:strike w:val="0"/>
          <w:color w:val="000000"/>
          <w:u w:val="none"/>
          <w:shd w:val="clear" w:color="auto" w:fill="FFFF00"/>
        </w:rPr>
        <w:t>（二）牵引车—挂车耦合关系</w:t>
      </w:r>
    </w:p>
    <w:p>
      <w:pPr>
        <w:snapToGrid w:val="1"/>
        <w:spacing w:line="240"/>
        <w:ind w:left="420"/>
        <w:rPr>
          <w:shd w:val="clear" w:color="auto" w:fill="FFFF00"/>
        </w:rPr>
      </w:pPr>
      <w:r>
        <w:rPr>
          <w:i w:val="0"/>
          <w:strike w:val="0"/>
          <w:color w:val="000000"/>
          <w:u w:val="none"/>
          <w:shd w:val="clear" w:color="auto" w:fill="FFFF00"/>
        </w:rPr>
        <w:t>（三）牵引销偏置与挂车内切特征</w:t>
      </w:r>
    </w:p>
    <w:p>
      <w:pPr>
        <w:snapToGrid w:val="1"/>
        <w:spacing w:line="240"/>
        <w:ind w:left="420"/>
        <w:rPr>
          <w:shd w:val="clear" w:color="auto" w:fill="FFFF00"/>
        </w:rPr>
      </w:pPr>
      <w:r>
        <w:rPr>
          <w:i w:val="0"/>
          <w:strike w:val="0"/>
          <w:color w:val="000000"/>
          <w:u w:val="none"/>
          <w:shd w:val="clear" w:color="auto" w:fill="FFFF00"/>
        </w:rPr>
        <w:t>（四）车辆未来短时姿态递推</w:t>
      </w:r>
    </w:p>
    <w:p>
      <w:pPr>
        <w:snapToGrid w:val="1"/>
        <w:spacing w:line="240"/>
        <w:ind w:left="420"/>
        <w:rPr>
          <w:shd w:val="clear" w:color="auto" w:fill="FFFF00"/>
        </w:rPr>
      </w:pPr>
      <w:r>
        <w:rPr>
          <w:b w:val="1"/>
          <w:i w:val="0"/>
          <w:strike w:val="0"/>
          <w:color w:val="000000"/>
          <w:u w:val="none"/>
          <w:shd w:val="clear" w:color="auto" w:fill="FFFF00"/>
        </w:rPr>
        <w:t>四、多时间尺度动态扫掠危险区</w:t>
      </w:r>
    </w:p>
    <w:p>
      <w:pPr>
        <w:snapToGrid w:val="1"/>
        <w:spacing w:line="240"/>
        <w:ind w:left="420"/>
        <w:rPr>
          <w:shd w:val="clear" w:color="auto" w:fill="FFFF00"/>
        </w:rPr>
      </w:pPr>
      <w:r>
        <w:rPr>
          <w:i w:val="0"/>
          <w:strike w:val="0"/>
          <w:color w:val="000000"/>
          <w:u w:val="none"/>
          <w:shd w:val="clear" w:color="auto" w:fill="FFFF00"/>
        </w:rPr>
        <w:t>（一）关键车辆几何点定义</w:t>
      </w:r>
    </w:p>
    <w:p>
      <w:pPr>
        <w:snapToGrid w:val="1"/>
        <w:spacing w:line="240"/>
        <w:ind w:left="420"/>
        <w:rPr>
          <w:shd w:val="clear" w:color="auto" w:fill="FFFF00"/>
        </w:rPr>
      </w:pPr>
      <w:r>
        <w:rPr>
          <w:i w:val="0"/>
          <w:strike w:val="0"/>
          <w:color w:val="000000"/>
          <w:u w:val="none"/>
          <w:shd w:val="clear" w:color="auto" w:fill="FFFF00"/>
        </w:rPr>
        <w:t>（二）车辆右侧边界计算</w:t>
      </w:r>
    </w:p>
    <w:p>
      <w:pPr>
        <w:snapToGrid w:val="1"/>
        <w:spacing w:line="240"/>
        <w:ind w:left="420"/>
        <w:rPr>
          <w:shd w:val="clear" w:color="auto" w:fill="FFFF00"/>
        </w:rPr>
      </w:pPr>
      <w:r>
        <w:rPr>
          <w:i w:val="0"/>
          <w:strike w:val="0"/>
          <w:color w:val="000000"/>
          <w:u w:val="none"/>
          <w:shd w:val="clear" w:color="auto" w:fill="FFFF00"/>
        </w:rPr>
        <w:t>（三）0.3秒紧急危险区</w:t>
      </w:r>
    </w:p>
    <w:p>
      <w:pPr>
        <w:snapToGrid w:val="1"/>
        <w:spacing w:line="240"/>
        <w:ind w:left="420"/>
        <w:rPr>
          <w:shd w:val="clear" w:color="auto" w:fill="FFFF00"/>
        </w:rPr>
      </w:pPr>
      <w:r>
        <w:rPr>
          <w:i w:val="0"/>
          <w:strike w:val="0"/>
          <w:color w:val="000000"/>
          <w:u w:val="none"/>
          <w:shd w:val="clear" w:color="auto" w:fill="FFFF00"/>
        </w:rPr>
        <w:t>（四）1.0秒报警危险区</w:t>
      </w:r>
    </w:p>
    <w:p>
      <w:pPr>
        <w:snapToGrid w:val="1"/>
        <w:spacing w:line="240"/>
        <w:ind w:left="420"/>
        <w:rPr>
          <w:shd w:val="clear" w:color="auto" w:fill="FFFF00"/>
        </w:rPr>
      </w:pPr>
      <w:r>
        <w:rPr>
          <w:i w:val="0"/>
          <w:strike w:val="0"/>
          <w:color w:val="000000"/>
          <w:u w:val="none"/>
          <w:shd w:val="clear" w:color="auto" w:fill="FFFF00"/>
        </w:rPr>
        <w:t>（五）2.0秒预警危险区</w:t>
      </w:r>
    </w:p>
    <w:p>
      <w:pPr>
        <w:snapToGrid w:val="1"/>
        <w:spacing w:line="240"/>
        <w:ind w:left="420"/>
        <w:rPr>
          <w:shd w:val="clear" w:color="auto" w:fill="FFFF00"/>
        </w:rPr>
      </w:pPr>
      <w:r>
        <w:rPr>
          <w:b w:val="1"/>
          <w:i w:val="0"/>
          <w:strike w:val="0"/>
          <w:color w:val="000000"/>
          <w:u w:val="none"/>
          <w:shd w:val="clear" w:color="auto" w:fill="FFFF00"/>
        </w:rPr>
        <w:t>五、多传感器目标感知与信息融合</w:t>
      </w:r>
    </w:p>
    <w:p>
      <w:pPr>
        <w:snapToGrid w:val="1"/>
        <w:spacing w:line="240"/>
        <w:ind w:left="420"/>
        <w:rPr>
          <w:shd w:val="clear" w:color="auto" w:fill="FFFF00"/>
        </w:rPr>
      </w:pPr>
      <w:r>
        <w:rPr>
          <w:i w:val="0"/>
          <w:strike w:val="0"/>
          <w:color w:val="000000"/>
          <w:u w:val="none"/>
          <w:shd w:val="clear" w:color="auto" w:fill="FFFF00"/>
        </w:rPr>
        <w:t>（一）毫米波雷达目标位置与速度感知</w:t>
      </w:r>
    </w:p>
    <w:p>
      <w:pPr>
        <w:snapToGrid w:val="1"/>
        <w:spacing w:line="240"/>
        <w:ind w:left="420"/>
        <w:rPr>
          <w:shd w:val="clear" w:color="auto" w:fill="FFFF00"/>
        </w:rPr>
      </w:pPr>
      <w:r>
        <w:rPr>
          <w:i w:val="0"/>
          <w:strike w:val="0"/>
          <w:color w:val="000000"/>
          <w:u w:val="none"/>
          <w:shd w:val="clear" w:color="auto" w:fill="FFFF00"/>
        </w:rPr>
        <w:t>（二）视觉目标类别识别</w:t>
      </w:r>
    </w:p>
    <w:p>
      <w:pPr>
        <w:snapToGrid w:val="1"/>
        <w:spacing w:line="240"/>
        <w:ind w:left="420"/>
        <w:rPr>
          <w:shd w:val="clear" w:color="auto" w:fill="FFFF00"/>
        </w:rPr>
      </w:pPr>
      <w:r>
        <w:rPr>
          <w:i w:val="0"/>
          <w:strike w:val="0"/>
          <w:color w:val="000000"/>
          <w:u w:val="none"/>
          <w:shd w:val="clear" w:color="auto" w:fill="FFFF00"/>
        </w:rPr>
        <w:t>（三）传感器外参标定</w:t>
      </w:r>
    </w:p>
    <w:p>
      <w:pPr>
        <w:snapToGrid w:val="1"/>
        <w:spacing w:line="240"/>
        <w:ind w:left="420"/>
        <w:rPr>
          <w:shd w:val="clear" w:color="auto" w:fill="FFFF00"/>
        </w:rPr>
      </w:pPr>
      <w:r>
        <w:rPr>
          <w:i w:val="0"/>
          <w:strike w:val="0"/>
          <w:color w:val="000000"/>
          <w:u w:val="none"/>
          <w:shd w:val="clear" w:color="auto" w:fill="FFFF00"/>
        </w:rPr>
        <w:t>（四）统一车体坐标系</w:t>
      </w:r>
    </w:p>
    <w:p>
      <w:pPr>
        <w:snapToGrid w:val="1"/>
        <w:spacing w:line="240"/>
        <w:ind w:left="420"/>
        <w:rPr>
          <w:shd w:val="clear" w:color="auto" w:fill="FFFF00"/>
        </w:rPr>
      </w:pPr>
      <w:r>
        <w:rPr>
          <w:i w:val="0"/>
          <w:strike w:val="0"/>
          <w:color w:val="000000"/>
          <w:u w:val="none"/>
          <w:shd w:val="clear" w:color="auto" w:fill="FFFF00"/>
        </w:rPr>
        <w:t>（五）多源目标信息融合</w:t>
      </w:r>
    </w:p>
    <w:p>
      <w:pPr>
        <w:snapToGrid w:val="1"/>
        <w:spacing w:line="240"/>
        <w:ind w:left="420"/>
        <w:rPr>
          <w:shd w:val="clear" w:color="auto" w:fill="FFFF00"/>
        </w:rPr>
      </w:pPr>
      <w:r>
        <w:rPr>
          <w:b w:val="1"/>
          <w:i w:val="0"/>
          <w:strike w:val="0"/>
          <w:color w:val="000000"/>
          <w:u w:val="none"/>
          <w:shd w:val="clear" w:color="auto" w:fill="FFFF00"/>
        </w:rPr>
        <w:t>六、目标风险评估与分级预警</w:t>
      </w:r>
    </w:p>
    <w:p>
      <w:pPr>
        <w:snapToGrid w:val="1"/>
        <w:spacing w:line="240"/>
        <w:ind w:left="420"/>
        <w:rPr>
          <w:shd w:val="clear" w:color="auto" w:fill="FFFF00"/>
        </w:rPr>
      </w:pPr>
      <w:r>
        <w:rPr>
          <w:i w:val="0"/>
          <w:strike w:val="0"/>
          <w:color w:val="000000"/>
          <w:u w:val="none"/>
          <w:shd w:val="clear" w:color="auto" w:fill="FFFF00"/>
        </w:rPr>
        <w:t>（一）目标短时运动外推</w:t>
      </w:r>
    </w:p>
    <w:p>
      <w:pPr>
        <w:snapToGrid w:val="1"/>
        <w:spacing w:line="240"/>
        <w:ind w:left="420"/>
        <w:rPr>
          <w:shd w:val="clear" w:color="auto" w:fill="FFFF00"/>
        </w:rPr>
      </w:pPr>
      <w:r>
        <w:rPr>
          <w:i w:val="0"/>
          <w:strike w:val="0"/>
          <w:color w:val="000000"/>
          <w:u w:val="none"/>
          <w:shd w:val="clear" w:color="auto" w:fill="FFFF00"/>
        </w:rPr>
        <w:t>（二）点在扫掠危险区内判定</w:t>
      </w:r>
    </w:p>
    <w:p>
      <w:pPr>
        <w:snapToGrid w:val="1"/>
        <w:spacing w:line="240"/>
        <w:ind w:left="420"/>
        <w:rPr>
          <w:shd w:val="clear" w:color="auto" w:fill="FFFF00"/>
        </w:rPr>
      </w:pPr>
      <w:r>
        <w:rPr>
          <w:i w:val="0"/>
          <w:strike w:val="0"/>
          <w:color w:val="000000"/>
          <w:u w:val="none"/>
          <w:shd w:val="clear" w:color="auto" w:fill="FFFF00"/>
        </w:rPr>
        <w:t>（三）TTC风险评估</w:t>
      </w:r>
    </w:p>
    <w:p>
      <w:pPr>
        <w:snapToGrid w:val="1"/>
        <w:spacing w:line="240"/>
        <w:ind w:left="420"/>
        <w:rPr>
          <w:shd w:val="clear" w:color="auto" w:fill="FFFF00"/>
        </w:rPr>
      </w:pPr>
      <w:r>
        <w:rPr>
          <w:i w:val="0"/>
          <w:strike w:val="0"/>
          <w:color w:val="000000"/>
          <w:u w:val="none"/>
          <w:shd w:val="clear" w:color="auto" w:fill="FFFF00"/>
        </w:rPr>
        <w:t>（四）0—3级风险分级</w:t>
      </w:r>
    </w:p>
    <w:p>
      <w:pPr>
        <w:snapToGrid w:val="1"/>
        <w:spacing w:line="240"/>
        <w:ind w:left="420"/>
        <w:rPr>
          <w:shd w:val="clear" w:color="auto" w:fill="FFFF00"/>
        </w:rPr>
      </w:pPr>
      <w:r>
        <w:rPr>
          <w:i w:val="0"/>
          <w:strike w:val="0"/>
          <w:color w:val="000000"/>
          <w:u w:val="none"/>
          <w:shd w:val="clear" w:color="auto" w:fill="FFFF00"/>
        </w:rPr>
        <w:t>（五）报警状态机与滞回机制</w:t>
      </w:r>
    </w:p>
    <w:p>
      <w:pPr>
        <w:snapToGrid w:val="1"/>
        <w:spacing w:line="240"/>
        <w:ind w:left="420"/>
        <w:rPr>
          <w:shd w:val="clear" w:color="auto" w:fill="FFFF00"/>
        </w:rPr>
      </w:pPr>
      <w:r>
        <w:rPr>
          <w:b w:val="1"/>
          <w:i w:val="0"/>
          <w:strike w:val="0"/>
          <w:color w:val="000000"/>
          <w:u w:val="none"/>
          <w:shd w:val="clear" w:color="auto" w:fill="FFFF00"/>
        </w:rPr>
        <w:t>七、北斗高精度定位赋能</w:t>
      </w:r>
    </w:p>
    <w:p>
      <w:pPr>
        <w:snapToGrid w:val="1"/>
        <w:spacing w:line="240"/>
        <w:ind w:left="420"/>
        <w:rPr>
          <w:shd w:val="clear" w:color="auto" w:fill="FFFF00"/>
        </w:rPr>
      </w:pPr>
      <w:r>
        <w:rPr>
          <w:i w:val="0"/>
          <w:strike w:val="0"/>
          <w:color w:val="000000"/>
          <w:u w:val="none"/>
          <w:shd w:val="clear" w:color="auto" w:fill="FFFF00"/>
        </w:rPr>
        <w:t>（一）车辆位置、速度与航向信息获取</w:t>
      </w:r>
    </w:p>
    <w:p>
      <w:pPr>
        <w:snapToGrid w:val="1"/>
        <w:spacing w:line="240"/>
        <w:ind w:left="420"/>
        <w:rPr>
          <w:shd w:val="clear" w:color="auto" w:fill="FFFF00"/>
        </w:rPr>
      </w:pPr>
      <w:r>
        <w:rPr>
          <w:i w:val="0"/>
          <w:strike w:val="0"/>
          <w:color w:val="000000"/>
          <w:u w:val="none"/>
          <w:shd w:val="clear" w:color="auto" w:fill="FFFF00"/>
        </w:rPr>
        <w:t>（二）预警事件时空关联</w:t>
      </w:r>
    </w:p>
    <w:p>
      <w:pPr>
        <w:snapToGrid w:val="1"/>
        <w:spacing w:line="240"/>
        <w:ind w:left="420"/>
        <w:rPr>
          <w:shd w:val="clear" w:color="auto" w:fill="FFFF00"/>
        </w:rPr>
      </w:pPr>
      <w:r>
        <w:rPr>
          <w:i w:val="0"/>
          <w:strike w:val="0"/>
          <w:color w:val="000000"/>
          <w:u w:val="none"/>
          <w:shd w:val="clear" w:color="auto" w:fill="FFFF00"/>
        </w:rPr>
        <w:t>（三）车队风险数据沉淀</w:t>
      </w:r>
    </w:p>
    <w:p>
      <w:pPr>
        <w:snapToGrid w:val="1"/>
        <w:spacing w:line="240"/>
        <w:ind w:left="420"/>
        <w:rPr>
          <w:shd w:val="clear" w:color="auto" w:fill="FFFF00"/>
        </w:rPr>
      </w:pPr>
      <w:r>
        <w:rPr>
          <w:i w:val="0"/>
          <w:strike w:val="0"/>
          <w:color w:val="000000"/>
          <w:u w:val="none"/>
          <w:shd w:val="clear" w:color="auto" w:fill="FFFF00"/>
        </w:rPr>
        <w:t>（四）路口风险黑点识别的拓展潜力</w:t>
      </w:r>
    </w:p>
    <w:p>
      <w:pPr>
        <w:snapToGrid w:val="1"/>
        <w:spacing w:line="240"/>
        <w:ind w:left="420"/>
        <w:rPr>
          <w:shd w:val="clear" w:color="auto" w:fill="FFFF00"/>
        </w:rPr>
      </w:pPr>
      <w:r>
        <w:rPr>
          <w:b w:val="1"/>
          <w:i w:val="0"/>
          <w:strike w:val="0"/>
          <w:color w:val="000000"/>
          <w:u w:val="none"/>
          <w:shd w:val="clear" w:color="auto" w:fill="FFFF00"/>
        </w:rPr>
        <w:t>八、嵌入式软硬件实现</w:t>
      </w:r>
    </w:p>
    <w:p>
      <w:pPr>
        <w:snapToGrid w:val="1"/>
        <w:spacing w:line="240"/>
        <w:ind w:left="420"/>
        <w:rPr>
          <w:shd w:val="clear" w:color="auto" w:fill="FFFF00"/>
        </w:rPr>
      </w:pPr>
      <w:r>
        <w:rPr>
          <w:i w:val="0"/>
          <w:strike w:val="0"/>
          <w:color w:val="000000"/>
          <w:u w:val="none"/>
          <w:shd w:val="clear" w:color="auto" w:fill="FFFF00"/>
        </w:rPr>
        <w:t>（一）ESP32-S3主控平台</w:t>
      </w:r>
    </w:p>
    <w:p>
      <w:pPr>
        <w:snapToGrid w:val="1"/>
        <w:spacing w:line="240"/>
        <w:ind w:left="420"/>
        <w:rPr>
          <w:shd w:val="clear" w:color="auto" w:fill="FFFF00"/>
        </w:rPr>
      </w:pPr>
      <w:r>
        <w:rPr>
          <w:i w:val="0"/>
          <w:strike w:val="0"/>
          <w:color w:val="000000"/>
          <w:u w:val="none"/>
          <w:shd w:val="clear" w:color="auto" w:fill="FFFF00"/>
        </w:rPr>
        <w:t>（二）OpenMV视觉协处理模块</w:t>
      </w:r>
    </w:p>
    <w:p>
      <w:pPr>
        <w:snapToGrid w:val="1"/>
        <w:spacing w:line="240"/>
        <w:ind w:left="420"/>
        <w:rPr>
          <w:shd w:val="clear" w:color="auto" w:fill="FFFF00"/>
        </w:rPr>
      </w:pPr>
      <w:r>
        <w:rPr>
          <w:i w:val="0"/>
          <w:strike w:val="0"/>
          <w:color w:val="000000"/>
          <w:u w:val="none"/>
          <w:shd w:val="clear" w:color="auto" w:fill="FFFF00"/>
        </w:rPr>
        <w:t>（三）毫米波雷达及角度传感器</w:t>
      </w:r>
    </w:p>
    <w:p>
      <w:pPr>
        <w:snapToGrid w:val="1"/>
        <w:spacing w:line="240"/>
        <w:ind w:left="420"/>
        <w:rPr>
          <w:shd w:val="clear" w:color="auto" w:fill="FFFF00"/>
        </w:rPr>
      </w:pPr>
      <w:r>
        <w:rPr>
          <w:i w:val="0"/>
          <w:strike w:val="0"/>
          <w:color w:val="000000"/>
          <w:u w:val="none"/>
          <w:shd w:val="clear" w:color="auto" w:fill="FFFF00"/>
        </w:rPr>
        <w:t>（四）CAN/OBD车辆数据接口</w:t>
      </w:r>
    </w:p>
    <w:p>
      <w:pPr>
        <w:snapToGrid w:val="1"/>
        <w:spacing w:line="240"/>
        <w:ind w:left="420"/>
        <w:rPr>
          <w:shd w:val="clear" w:color="auto" w:fill="FFFF00"/>
        </w:rPr>
      </w:pPr>
      <w:r>
        <w:rPr>
          <w:i w:val="0"/>
          <w:strike w:val="0"/>
          <w:color w:val="000000"/>
          <w:u w:val="none"/>
          <w:shd w:val="clear" w:color="auto" w:fill="FFFF00"/>
        </w:rPr>
        <w:t>（五）北斗RTK模块</w:t>
      </w:r>
    </w:p>
    <w:p>
      <w:pPr>
        <w:snapToGrid w:val="1"/>
        <w:spacing w:line="240"/>
        <w:ind w:left="420"/>
        <w:rPr>
          <w:shd w:val="clear" w:color="auto" w:fill="FFFF00"/>
        </w:rPr>
      </w:pPr>
      <w:r>
        <w:rPr>
          <w:i w:val="0"/>
          <w:strike w:val="0"/>
          <w:color w:val="000000"/>
          <w:u w:val="none"/>
          <w:shd w:val="clear" w:color="auto" w:fill="FFFF00"/>
        </w:rPr>
        <w:t>（六）系统通信与数据记录</w:t>
      </w:r>
    </w:p>
    <w:p>
      <w:pPr>
        <w:snapToGrid w:val="1"/>
        <w:spacing w:line="240"/>
        <w:ind w:left="420"/>
        <w:rPr>
          <w:shd w:val="clear" w:color="auto" w:fill="FFFF00"/>
        </w:rPr>
      </w:pPr>
      <w:r>
        <w:rPr>
          <w:b w:val="1"/>
          <w:i w:val="0"/>
          <w:strike w:val="0"/>
          <w:color w:val="000000"/>
          <w:u w:val="none"/>
          <w:shd w:val="clear" w:color="auto" w:fill="FFFF00"/>
        </w:rPr>
        <w:t>九、仿真与实验验证体系</w:t>
      </w:r>
    </w:p>
    <w:p>
      <w:pPr>
        <w:snapToGrid w:val="1"/>
        <w:spacing w:line="240"/>
        <w:ind w:left="420"/>
        <w:rPr>
          <w:shd w:val="clear" w:color="auto" w:fill="FFFF00"/>
        </w:rPr>
      </w:pPr>
      <w:r>
        <w:rPr>
          <w:i w:val="0"/>
          <w:strike w:val="0"/>
          <w:color w:val="000000"/>
          <w:u w:val="none"/>
          <w:shd w:val="clear" w:color="auto" w:fill="FFFF00"/>
        </w:rPr>
        <w:t>（一）PID工况生成</w:t>
      </w:r>
    </w:p>
    <w:p>
      <w:pPr>
        <w:snapToGrid w:val="1"/>
        <w:spacing w:line="240"/>
        <w:ind w:left="420"/>
        <w:rPr>
          <w:shd w:val="clear" w:color="auto" w:fill="FFFF00"/>
        </w:rPr>
      </w:pPr>
      <w:r>
        <w:rPr>
          <w:i w:val="0"/>
          <w:strike w:val="0"/>
          <w:color w:val="000000"/>
          <w:u w:val="none"/>
          <w:shd w:val="clear" w:color="auto" w:fill="FFFF00"/>
        </w:rPr>
        <w:t>（二）MATLAB运动学验证</w:t>
      </w:r>
    </w:p>
    <w:p>
      <w:pPr>
        <w:snapToGrid w:val="1"/>
        <w:spacing w:line="240"/>
        <w:ind w:left="420"/>
        <w:rPr>
          <w:shd w:val="clear" w:color="auto" w:fill="FFFF00"/>
        </w:rPr>
      </w:pPr>
      <w:r>
        <w:rPr>
          <w:i w:val="0"/>
          <w:strike w:val="0"/>
          <w:color w:val="000000"/>
          <w:u w:val="none"/>
          <w:shd w:val="clear" w:color="auto" w:fill="FFFF00"/>
        </w:rPr>
        <w:t>（三）网页盲区分析工具</w:t>
      </w:r>
    </w:p>
    <w:p>
      <w:pPr>
        <w:snapToGrid w:val="1"/>
        <w:spacing w:line="240"/>
        <w:ind w:left="420"/>
        <w:rPr>
          <w:shd w:val="clear" w:color="auto" w:fill="FFFF00"/>
        </w:rPr>
      </w:pPr>
      <w:r>
        <w:rPr>
          <w:i w:val="0"/>
          <w:strike w:val="0"/>
          <w:color w:val="000000"/>
          <w:u w:val="none"/>
          <w:shd w:val="clear" w:color="auto" w:fill="FFFF00"/>
        </w:rPr>
        <w:t>（四）虚拟传感器回放</w:t>
      </w:r>
    </w:p>
    <w:p>
      <w:pPr>
        <w:snapToGrid w:val="1"/>
        <w:spacing w:line="240"/>
        <w:ind w:left="420"/>
        <w:rPr>
          <w:shd w:val="clear" w:color="auto" w:fill="FFFF00"/>
        </w:rPr>
      </w:pPr>
      <w:r>
        <w:rPr>
          <w:i w:val="0"/>
          <w:strike w:val="0"/>
          <w:color w:val="000000"/>
          <w:u w:val="none"/>
          <w:shd w:val="clear" w:color="auto" w:fill="FFFF00"/>
        </w:rPr>
        <w:t>（五）半实物测试</w:t>
      </w:r>
    </w:p>
    <w:p>
      <w:pPr>
        <w:snapToGrid w:val="1"/>
        <w:spacing w:line="240"/>
        <w:ind w:left="420"/>
        <w:rPr>
          <w:shd w:val="clear" w:color="auto" w:fill="FFFF00"/>
        </w:rPr>
      </w:pPr>
      <w:r>
        <w:rPr>
          <w:i w:val="0"/>
          <w:strike w:val="0"/>
          <w:color w:val="000000"/>
          <w:u w:val="none"/>
          <w:shd w:val="clear" w:color="auto" w:fill="FFFF00"/>
        </w:rPr>
        <w:t>（六）低速实车验证计划</w:t>
      </w:r>
    </w:p>
    <w:p>
      <w:pPr>
        <w:snapToGrid w:val="1"/>
        <w:spacing w:line="240"/>
        <w:ind w:left="420"/>
        <w:rPr>
          <w:shd w:val="clear" w:color="auto" w:fill="FFFF00"/>
        </w:rPr>
      </w:pPr>
      <w:r>
        <w:rPr>
          <w:b w:val="1"/>
          <w:i w:val="0"/>
          <w:strike w:val="0"/>
          <w:color w:val="000000"/>
          <w:u w:val="none"/>
          <w:shd w:val="clear" w:color="auto" w:fill="FFFF00"/>
        </w:rPr>
        <w:t>十、产品形态与版本规划</w:t>
      </w:r>
    </w:p>
    <w:p>
      <w:pPr>
        <w:snapToGrid w:val="1"/>
        <w:spacing w:line="240"/>
        <w:ind w:left="420"/>
        <w:rPr>
          <w:shd w:val="clear" w:color="auto" w:fill="FFFF00"/>
        </w:rPr>
      </w:pPr>
      <w:r>
        <w:rPr>
          <w:i w:val="0"/>
          <w:strike w:val="0"/>
          <w:color w:val="000000"/>
          <w:u w:val="none"/>
          <w:shd w:val="clear" w:color="auto" w:fill="FFFF00"/>
        </w:rPr>
        <w:t>（一）基础车端预警版</w:t>
      </w:r>
    </w:p>
    <w:p>
      <w:pPr>
        <w:snapToGrid w:val="1"/>
        <w:spacing w:line="240"/>
        <w:ind w:left="420"/>
        <w:rPr>
          <w:shd w:val="clear" w:color="auto" w:fill="FFFF00"/>
        </w:rPr>
      </w:pPr>
      <w:r>
        <w:rPr>
          <w:i w:val="0"/>
          <w:strike w:val="0"/>
          <w:color w:val="000000"/>
          <w:u w:val="none"/>
          <w:shd w:val="clear" w:color="auto" w:fill="FFFF00"/>
        </w:rPr>
        <w:t>（二）北斗高精度增强版</w:t>
      </w:r>
    </w:p>
    <w:p>
      <w:pPr>
        <w:snapToGrid w:val="1"/>
        <w:spacing w:line="240"/>
        <w:ind w:left="420"/>
        <w:rPr>
          <w:shd w:val="clear" w:color="auto" w:fill="FFFF00"/>
        </w:rPr>
      </w:pPr>
      <w:r>
        <w:rPr>
          <w:i w:val="0"/>
          <w:strike w:val="0"/>
          <w:color w:val="000000"/>
          <w:u w:val="none"/>
          <w:shd w:val="clear" w:color="auto" w:fill="FFFF00"/>
        </w:rPr>
        <w:t>（三）车队数据管理版</w:t>
      </w:r>
    </w:p>
    <w:p>
      <w:pPr>
        <w:snapToGrid w:val="1"/>
        <w:spacing w:line="240"/>
        <w:ind w:left="420"/>
        <w:rPr>
          <w:shd w:val="clear" w:color="auto" w:fill="FFFF00"/>
        </w:rPr>
      </w:pPr>
      <w:r>
        <w:rPr>
          <w:i w:val="0"/>
          <w:strike w:val="0"/>
          <w:color w:val="000000"/>
          <w:u w:val="none"/>
          <w:shd w:val="clear" w:color="auto" w:fill="FFFF00"/>
        </w:rPr>
        <w:t>（四）OEM/算法集成方案</w:t>
      </w:r>
    </w:p>
    <w:p>
      <w:pPr>
        <w:snapToGrid w:val="1"/>
        <w:spacing w:line="240"/>
        <w:ind w:left="420"/>
        <w:rPr>
          <w:shd w:val="clear" w:color="auto" w:fill="FFFF00"/>
        </w:rPr>
      </w:pPr>
      <w:r>
        <w:rPr>
          <w:b w:val="1"/>
          <w:i w:val="0"/>
          <w:strike w:val="0"/>
          <w:color w:val="000000"/>
          <w:u w:val="none"/>
          <w:shd w:val="clear" w:color="auto" w:fill="FFFF00"/>
        </w:rPr>
        <w:t>十一、项目当前研发成熟度</w:t>
      </w:r>
    </w:p>
    <w:p>
      <w:pPr>
        <w:snapToGrid w:val="1"/>
        <w:spacing w:line="240"/>
        <w:ind w:left="420"/>
        <w:rPr>
          <w:shd w:val="clear" w:color="auto" w:fill="FFFF00"/>
        </w:rPr>
      </w:pPr>
      <w:r>
        <w:rPr>
          <w:i w:val="0"/>
          <w:strike w:val="0"/>
          <w:color w:val="000000"/>
          <w:u w:val="none"/>
          <w:shd w:val="clear" w:color="auto" w:fill="FFFF00"/>
        </w:rPr>
        <w:t>（一）已完成内容</w:t>
      </w:r>
    </w:p>
    <w:p>
      <w:pPr>
        <w:snapToGrid w:val="1"/>
        <w:spacing w:line="240"/>
        <w:ind w:left="420"/>
        <w:rPr>
          <w:shd w:val="clear" w:color="auto" w:fill="FFFF00"/>
        </w:rPr>
      </w:pPr>
      <w:r>
        <w:rPr>
          <w:i w:val="0"/>
          <w:strike w:val="0"/>
          <w:color w:val="000000"/>
          <w:u w:val="none"/>
          <w:shd w:val="clear" w:color="auto" w:fill="FFFF00"/>
        </w:rPr>
        <w:t>（二）正在验证内容</w:t>
      </w:r>
    </w:p>
    <w:p>
      <w:pPr>
        <w:snapToGrid w:val="1"/>
        <w:spacing w:line="240"/>
        <w:ind w:left="420"/>
        <w:rPr>
          <w:shd w:val="clear" w:color="auto" w:fill="FFFF00"/>
        </w:rPr>
      </w:pPr>
      <w:r>
        <w:rPr>
          <w:i w:val="0"/>
          <w:strike w:val="0"/>
          <w:color w:val="000000"/>
          <w:u w:val="none"/>
          <w:shd w:val="clear" w:color="auto" w:fill="FFFF00"/>
        </w:rPr>
        <w:t>（三）下一阶段研发任务</w:t>
      </w:r>
    </w:p>
    <w:p>
      <w:pPr>
        <w:pBdr/>
        <w:spacing w:before="156" w:beforeLines="50"/>
        <w:ind w:firstLine="420"/>
        <w:rPr>
          <w:rFonts w:ascii="宋体" w:hAnsi="宋体" w:eastAsia="宋体"/>
          <w:sz w:val="24"/>
          <w:szCs w:val="24"/>
        </w:rPr>
      </w:pPr>
    </w:p>
    <w:p>
      <w:pPr>
        <w:pBdr/>
        <w:spacing w:before="156" w:beforeLines="50"/>
        <w:ind w:firstLine="420"/>
        <w:rPr>
          <w:rFonts w:ascii="宋体" w:hAnsi="宋体" w:eastAsia="宋体"/>
          <w:sz w:val="24"/>
          <w:szCs w:val="24"/>
        </w:rPr>
      </w:pPr>
    </w:p>
    <w:p>
      <w:pPr>
        <w:pBdr/>
        <w:spacing w:before="156" w:beforeLines="50"/>
        <w:ind w:firstLine="420"/>
        <w:rPr>
          <w:rFonts w:ascii="宋体" w:hAnsi="宋体" w:eastAsia="宋体"/>
          <w:sz w:val="24"/>
          <w:szCs w:val="24"/>
        </w:rPr>
      </w:pPr>
    </w:p>
    <w:p>
      <w:pPr>
        <w:numPr/>
        <w:pBdr>
          <w:bottom/>
        </w:pBdr>
        <w:spacing w:before="156" w:beforeLines="50"/>
        <w:ind/>
        <w:rPr>
          <w:rFonts w:hint="eastAsia" w:ascii="黑体" w:hAnsi="黑体" w:eastAsia="黑体"/>
          <w:b w:val="1"/>
          <w:bCs w:val="1"/>
          <w:sz w:val="28"/>
          <w:szCs w:val="28"/>
        </w:rPr>
      </w:pPr>
      <w:r>
        <w:rPr>
          <w:rFonts w:hint="eastAsia" w:ascii="黑体" w:hAnsi="黑体" w:eastAsia="黑体"/>
          <w:b w:val="1"/>
          <w:bCs w:val="1"/>
          <w:sz w:val="28"/>
          <w:szCs w:val="28"/>
        </w:rPr>
        <w:t>一、</w:t>
      </w:r>
      <w:r>
        <w:rPr>
          <w:rFonts w:ascii="黑体" w:hAnsi="黑体" w:eastAsia="黑体"/>
          <w:b w:val="1"/>
          <w:bCs w:val="1"/>
          <w:sz w:val="28"/>
          <w:szCs w:val="28"/>
        </w:rPr>
        <w:t>产品定位</w:t>
      </w:r>
    </w:p>
    <w:p>
      <w:pPr>
        <w:numPr/>
        <w:spacing w:before="156" w:beforeLines="50"/>
        <w:ind/>
        <w:rPr>
          <w:rFonts w:hint="eastAsia" w:ascii="宋体" w:hAnsi="宋体" w:eastAsia="宋体"/>
          <w:b w:val="1"/>
          <w:bCs w:val="1"/>
          <w:sz w:val="24"/>
          <w:szCs w:val="24"/>
        </w:rPr>
      </w:pPr>
      <w:r>
        <w:rPr>
          <w:rFonts w:hint="eastAsia" w:ascii="宋体" w:hAnsi="宋体" w:eastAsia="宋体"/>
          <w:b w:val="1"/>
          <w:bCs w:val="1"/>
          <w:sz w:val="24"/>
          <w:szCs w:val="24"/>
        </w:rPr>
        <w:t>（一）产品定义</w:t>
      </w:r>
    </w:p>
    <w:p>
      <w:pPr>
        <w:pBdr/>
        <w:spacing w:before="156" w:beforeLines="50"/>
        <w:ind w:firstLine="420"/>
        <w:rPr>
          <w:rFonts w:ascii="宋体" w:hAnsi="宋体" w:eastAsia="宋体"/>
          <w:sz w:val="24"/>
          <w:szCs w:val="24"/>
        </w:rPr>
      </w:pPr>
      <w:r>
        <w:rPr>
          <w:rFonts w:ascii="宋体" w:hAnsi="宋体" w:eastAsia="宋体"/>
          <w:sz w:val="24"/>
          <w:szCs w:val="24"/>
        </w:rPr>
        <w:t>“盲区驭智”是一套面向</w:t>
      </w:r>
      <w:r>
        <w:rPr>
          <w:rFonts w:ascii="宋体" w:hAnsi="宋体" w:eastAsia="宋体"/>
          <w:b w:val="1"/>
          <w:color w:val="1450B8"/>
          <w:sz w:val="24"/>
          <w:szCs w:val="24"/>
        </w:rPr>
        <w:t>半挂及大型车辆低速右转场景</w:t>
      </w:r>
      <w:r>
        <w:rPr>
          <w:rFonts w:ascii="宋体" w:hAnsi="宋体" w:eastAsia="宋体"/>
          <w:sz w:val="24"/>
          <w:szCs w:val="24"/>
        </w:rPr>
        <w:t>的动态内轮差风险预警原型系统。</w:t>
      </w:r>
    </w:p>
    <w:p>
      <w:pPr>
        <w:pBdr/>
        <w:spacing w:before="156" w:beforeLines="50"/>
        <w:ind w:firstLine="420"/>
        <w:rPr>
          <w:rFonts w:ascii="宋体" w:hAnsi="宋体" w:eastAsia="宋体"/>
          <w:sz w:val="24"/>
          <w:szCs w:val="24"/>
        </w:rPr>
      </w:pPr>
      <w:r>
        <w:rPr>
          <w:rFonts w:ascii="宋体" w:hAnsi="宋体" w:eastAsia="宋体"/>
          <w:sz w:val="24"/>
          <w:szCs w:val="24"/>
        </w:rPr>
        <w:t>其核心功能不是单纯扩大车辆右侧感知范围，而是根据车辆实时运动状态，预测未来短时间内牵引车和挂车可能占用的空间，并判断周边目标是否可能进入车辆扫掠区域，从而形成分级风险提示。</w:t>
      </w:r>
    </w:p>
    <w:p>
      <w:pPr>
        <w:pBdr/>
        <w:spacing w:before="156" w:beforeLines="50"/>
        <w:ind w:firstLine="420"/>
        <w:rPr>
          <w:rFonts w:ascii="宋体" w:hAnsi="宋体" w:eastAsia="宋体"/>
          <w:sz w:val="24"/>
          <w:szCs w:val="24"/>
        </w:rPr>
      </w:pPr>
      <w:r>
        <w:rPr>
          <w:rFonts w:ascii="宋体" w:hAnsi="宋体" w:eastAsia="宋体"/>
          <w:sz w:val="24"/>
          <w:szCs w:val="24"/>
        </w:rPr>
        <w:t>项目的基本风险判断链路为：</w:t>
      </w:r>
    </w:p>
    <w:p>
      <w:pPr>
        <w:pBdr/>
        <w:spacing w:before="156" w:beforeLines="50"/>
        <w:ind w:firstLine="420"/>
        <w:rPr>
          <w:rFonts w:ascii="宋体" w:hAnsi="宋体" w:eastAsia="宋体"/>
          <w:b w:val="1"/>
          <w:color w:val="1450B8"/>
          <w:sz w:val="24"/>
          <w:szCs w:val="24"/>
        </w:rPr>
      </w:pPr>
      <w:r>
        <w:rPr>
          <w:rFonts w:ascii="宋体" w:hAnsi="宋体" w:eastAsia="宋体"/>
          <w:b w:val="1"/>
          <w:color w:val="1450B8"/>
          <w:sz w:val="24"/>
          <w:szCs w:val="24"/>
        </w:rPr>
        <w:t>车辆状态采集 → 半挂车姿态预测 → 动态扫掠区域生成 → 周边目标感知 → 时空冲突判断 → 风险分级预警</w:t>
      </w:r>
    </w:p>
    <w:p>
      <w:pPr>
        <w:pBdr/>
        <w:spacing w:before="156" w:beforeLines="50"/>
        <w:ind w:firstLine="420"/>
        <w:rPr>
          <w:rFonts w:ascii="宋体" w:hAnsi="宋体" w:eastAsia="宋体"/>
          <w:sz w:val="24"/>
          <w:szCs w:val="24"/>
        </w:rPr>
      </w:pPr>
      <w:r>
        <w:rPr>
          <w:rFonts w:ascii="宋体" w:hAnsi="宋体" w:eastAsia="宋体"/>
          <w:sz w:val="24"/>
          <w:szCs w:val="24"/>
        </w:rPr>
        <w:t>与单纯的固定盲区检测相比，项目重点研究对象由“目标当前是否位于某个区域”进一步扩展至车辆未来车身扫掠空间与目标运动之间的关系。</w:t>
      </w:r>
    </w:p>
    <w:p>
      <w:pPr>
        <w:numPr/>
        <w:spacing w:before="156" w:beforeLines="50"/>
        <w:ind/>
        <w:rPr>
          <w:rFonts w:hint="eastAsia" w:ascii="宋体" w:hAnsi="宋体" w:eastAsia="宋体"/>
          <w:b w:val="1"/>
          <w:bCs w:val="1"/>
          <w:sz w:val="24"/>
          <w:szCs w:val="24"/>
        </w:rPr>
      </w:pPr>
      <w:r>
        <w:rPr>
          <w:rFonts w:hint="eastAsia" w:ascii="宋体" w:hAnsi="宋体" w:eastAsia="宋体"/>
          <w:b w:val="1"/>
          <w:bCs w:val="1"/>
          <w:sz w:val="24"/>
          <w:szCs w:val="24"/>
        </w:rPr>
        <w:t>（二）核心应用场景</w:t>
      </w:r>
    </w:p>
    <w:p>
      <w:pPr>
        <w:pBdr/>
        <w:spacing w:before="156" w:beforeLines="50"/>
        <w:ind w:firstLine="420"/>
        <w:rPr>
          <w:rFonts w:ascii="宋体" w:hAnsi="宋体" w:eastAsia="宋体"/>
          <w:sz w:val="24"/>
          <w:szCs w:val="24"/>
        </w:rPr>
      </w:pPr>
      <w:r>
        <w:rPr>
          <w:rFonts w:ascii="宋体" w:hAnsi="宋体" w:eastAsia="宋体"/>
          <w:sz w:val="24"/>
          <w:szCs w:val="24"/>
        </w:rPr>
        <w:t>项目优先面向具有以下特征的车辆及运营场景：</w:t>
      </w:r>
    </w:p>
    <w:p>
      <w:pPr>
        <w:pBdr/>
        <w:spacing w:before="156" w:beforeLines="50"/>
        <w:ind w:firstLine="420"/>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 xml:space="preserve">半挂牵引车、重型货运车辆等车身较长车辆； </w:t>
      </w:r>
    </w:p>
    <w:p>
      <w:pPr>
        <w:pBdr/>
        <w:spacing w:before="156" w:beforeLines="50"/>
        <w:ind w:firstLine="420"/>
        <w:rPr>
          <w:rFonts w:ascii="宋体" w:hAnsi="宋体" w:eastAsia="宋体"/>
          <w:sz w:val="24"/>
          <w:szCs w:val="24"/>
        </w:rPr>
      </w:pPr>
      <w:r>
        <w:rPr>
          <w:rFonts w:hint="eastAsia" w:ascii="宋体" w:hAnsi="宋体" w:eastAsia="宋体"/>
          <w:sz w:val="24"/>
          <w:szCs w:val="24"/>
        </w:rPr>
        <w:t>2.</w:t>
      </w:r>
      <w:r>
        <w:rPr>
          <w:rFonts w:ascii="宋体" w:hAnsi="宋体" w:eastAsia="宋体"/>
          <w:sz w:val="24"/>
          <w:szCs w:val="24"/>
        </w:rPr>
        <w:t xml:space="preserve">城市交叉口低速右转； </w:t>
      </w:r>
    </w:p>
    <w:p>
      <w:pPr>
        <w:pBdr/>
        <w:spacing w:before="156" w:beforeLines="50"/>
        <w:ind w:firstLine="420"/>
        <w:rPr>
          <w:rFonts w:ascii="宋体" w:hAnsi="宋体" w:eastAsia="宋体"/>
          <w:sz w:val="24"/>
          <w:szCs w:val="24"/>
        </w:rPr>
      </w:pPr>
      <w:r>
        <w:rPr>
          <w:rFonts w:hint="eastAsia" w:ascii="宋体" w:hAnsi="宋体" w:eastAsia="宋体"/>
          <w:sz w:val="24"/>
          <w:szCs w:val="24"/>
        </w:rPr>
        <w:t>3.</w:t>
      </w:r>
      <w:r>
        <w:rPr>
          <w:rFonts w:ascii="宋体" w:hAnsi="宋体" w:eastAsia="宋体"/>
          <w:sz w:val="24"/>
          <w:szCs w:val="24"/>
        </w:rPr>
        <w:t xml:space="preserve">港口、物流园区及场站内部道路； </w:t>
      </w:r>
    </w:p>
    <w:p>
      <w:pPr>
        <w:pBdr/>
        <w:spacing w:before="156" w:beforeLines="50"/>
        <w:ind w:firstLine="420"/>
        <w:rPr>
          <w:rFonts w:ascii="宋体" w:hAnsi="宋体" w:eastAsia="宋体"/>
          <w:sz w:val="24"/>
          <w:szCs w:val="24"/>
        </w:rPr>
      </w:pPr>
      <w:r>
        <w:rPr>
          <w:rFonts w:hint="eastAsia" w:ascii="宋体" w:hAnsi="宋体" w:eastAsia="宋体"/>
          <w:sz w:val="24"/>
          <w:szCs w:val="24"/>
        </w:rPr>
        <w:t>4.</w:t>
      </w:r>
      <w:r>
        <w:rPr>
          <w:rFonts w:ascii="宋体" w:hAnsi="宋体" w:eastAsia="宋体"/>
          <w:sz w:val="24"/>
          <w:szCs w:val="24"/>
        </w:rPr>
        <w:t xml:space="preserve">工程运输车辆集中运行区域； </w:t>
      </w:r>
    </w:p>
    <w:p>
      <w:pPr>
        <w:pBdr/>
        <w:spacing w:before="156" w:beforeLines="50"/>
        <w:ind w:firstLine="420"/>
        <w:rPr>
          <w:rFonts w:ascii="宋体" w:hAnsi="宋体" w:eastAsia="宋体"/>
          <w:sz w:val="24"/>
          <w:szCs w:val="24"/>
        </w:rPr>
      </w:pPr>
      <w:r>
        <w:rPr>
          <w:rFonts w:hint="eastAsia" w:ascii="宋体" w:hAnsi="宋体" w:eastAsia="宋体"/>
          <w:sz w:val="24"/>
          <w:szCs w:val="24"/>
        </w:rPr>
        <w:t>5.</w:t>
      </w:r>
      <w:r>
        <w:rPr>
          <w:rFonts w:ascii="宋体" w:hAnsi="宋体" w:eastAsia="宋体"/>
          <w:sz w:val="24"/>
          <w:szCs w:val="24"/>
        </w:rPr>
        <w:t xml:space="preserve">行人、电动自行车等弱势道路交通参与者与大型车辆混行场景。 </w:t>
      </w:r>
    </w:p>
    <w:p>
      <w:pPr>
        <w:pBdr/>
        <w:spacing w:before="156" w:beforeLines="50"/>
        <w:ind w:firstLine="420"/>
        <w:rPr>
          <w:rFonts w:ascii="宋体" w:hAnsi="宋体" w:eastAsia="宋体"/>
          <w:sz w:val="24"/>
          <w:szCs w:val="24"/>
        </w:rPr>
      </w:pPr>
      <w:r>
        <w:rPr>
          <w:rFonts w:ascii="宋体" w:hAnsi="宋体" w:eastAsia="宋体"/>
          <w:sz w:val="24"/>
          <w:szCs w:val="24"/>
        </w:rPr>
        <w:t>从技术适配角度看，项目现阶段优先解决的是</w:t>
      </w:r>
      <w:r>
        <w:rPr>
          <w:rFonts w:ascii="宋体" w:hAnsi="宋体" w:eastAsia="宋体"/>
          <w:b w:val="1"/>
          <w:color w:val="1450B8"/>
          <w:sz w:val="24"/>
          <w:szCs w:val="24"/>
        </w:rPr>
        <w:t>低速、短时间窗右转风险</w:t>
      </w:r>
      <w:r>
        <w:rPr>
          <w:rFonts w:ascii="宋体" w:hAnsi="宋体" w:eastAsia="宋体"/>
          <w:sz w:val="24"/>
          <w:szCs w:val="24"/>
        </w:rPr>
        <w:t>，而不是高速行驶、长距离轨迹规划或自动驾驶控制。</w:t>
      </w:r>
    </w:p>
    <w:p>
      <w:pPr>
        <w:pBdr/>
        <w:spacing w:before="156" w:beforeLines="50"/>
        <w:ind w:firstLine="420"/>
        <w:rPr>
          <w:rFonts w:ascii="宋体" w:hAnsi="宋体" w:eastAsia="宋体"/>
          <w:sz w:val="24"/>
          <w:szCs w:val="24"/>
        </w:rPr>
      </w:pPr>
      <w:r>
        <w:rPr>
          <w:rFonts w:ascii="宋体" w:hAnsi="宋体" w:eastAsia="宋体"/>
          <w:sz w:val="24"/>
          <w:szCs w:val="24"/>
        </w:rPr>
        <w:t>这一边界非常重要，可以避免将研发试制阶段的预警产品过度延伸为自动驾驶系统。</w:t>
      </w:r>
    </w:p>
    <w:p>
      <w:pPr>
        <w:numPr/>
        <w:spacing w:before="156" w:beforeLines="50"/>
        <w:ind/>
        <w:rPr>
          <w:rFonts w:hint="eastAsia" w:ascii="宋体" w:hAnsi="宋体" w:eastAsia="宋体"/>
          <w:b w:val="1"/>
          <w:bCs w:val="1"/>
          <w:sz w:val="24"/>
          <w:szCs w:val="24"/>
        </w:rPr>
      </w:pPr>
      <w:r>
        <w:rPr>
          <w:rFonts w:hint="eastAsia" w:ascii="宋体" w:hAnsi="宋体" w:eastAsia="宋体"/>
          <w:b w:val="1"/>
          <w:bCs w:val="1"/>
          <w:sz w:val="24"/>
          <w:szCs w:val="24"/>
        </w:rPr>
        <w:t>（三）产品功能边界</w:t>
      </w:r>
    </w:p>
    <w:p>
      <w:pPr>
        <w:pBdr/>
        <w:spacing w:before="156" w:beforeLines="50"/>
        <w:ind w:firstLine="420"/>
        <w:rPr>
          <w:rFonts w:ascii="宋体" w:hAnsi="宋体" w:eastAsia="宋体"/>
          <w:sz w:val="24"/>
          <w:szCs w:val="24"/>
        </w:rPr>
      </w:pPr>
      <w:r>
        <w:rPr>
          <w:rFonts w:ascii="宋体" w:hAnsi="宋体" w:eastAsia="宋体"/>
          <w:sz w:val="24"/>
          <w:szCs w:val="24"/>
        </w:rPr>
        <w:t>现阶段产品功能划分如下：</w:t>
      </w:r>
    </w:p>
    <w:p>
      <w:pPr>
        <w:numPr/>
        <w:pBdr>
          <w:bottom/>
        </w:pBdr>
        <w:ind w:firstLine="360" w:firstLineChars="200"/>
        <w:jc w:val="center"/>
        <w:rPr>
          <w:rFonts w:hint="eastAsia" w:ascii="黑体" w:hAnsi="黑体" w:eastAsia="黑体"/>
          <w:sz w:val="18"/>
          <w:szCs w:val="18"/>
        </w:rPr>
      </w:pPr>
      <w:r>
        <w:rPr>
          <w:rFonts w:hint="eastAsia" w:ascii="黑体" w:hAnsi="黑体" w:eastAsia="黑体"/>
          <w:sz w:val="18"/>
          <w:szCs w:val="18"/>
        </w:rPr>
        <w:t>表4-1-6</w:t>
      </w:r>
    </w:p>
    <w:tbl>
      <w:tblPr>
        <w:tblStyle w:val="0000a0"/>
        <w:jc w:val="center"/>
        <w:tblInd w:w="0" w:type="dxa"/>
        <w:tblLayout w:type="fixed"/>
      </w:tblPr>
      <w:tblGrid>
        <w:gridCol w:w="3471"/>
        <w:gridCol w:w="2182"/>
      </w:tblGrid>
      <w:tr>
        <w:trPr>
          <w:trHeight/>
        </w:trPr>
        <w:tc>
          <w:tcPr>
            <w:tcW w:w="3471" w:type="dxa"/>
            <w:tcBorders>
              <w:top w:val="single" w:color="000000" w:sz="0" w:space="0"/>
              <w:left w:val="single" w:color="000000" w:sz="0" w:space="0"/>
              <w:bottom w:val="single" w:color="000000" w:sz="0" w:space="0"/>
              <w:right w:val="single" w:color="000000" w:sz="0" w:space="0"/>
            </w:tcBorders>
            <w:shd w:val="clear" w:color="auto" w:fill="E5EFFF"/>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功能</w:t>
            </w:r>
          </w:p>
        </w:tc>
        <w:tc>
          <w:tcPr>
            <w:tcW w:w="2182" w:type="dxa"/>
            <w:tcBorders>
              <w:top w:val="single" w:color="000000" w:sz="0" w:space="0"/>
              <w:left w:val="single" w:color="000000" w:sz="0" w:space="0"/>
              <w:bottom w:val="single" w:color="000000" w:sz="0" w:space="0"/>
              <w:right w:val="single" w:color="000000" w:sz="0" w:space="0"/>
            </w:tcBorders>
            <w:shd w:val="clear" w:color="auto" w:fill="E5EFFF"/>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当前项目定位</w:t>
            </w:r>
          </w:p>
        </w:tc>
      </w:tr>
      <w:tr>
        <w:trPr/>
        <w:tc>
          <w:tcPr>
            <w:tcW w:w="3471"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车辆状态采集</w:t>
            </w:r>
          </w:p>
        </w:tc>
        <w:tc>
          <w:tcPr>
            <w:tcW w:w="2182"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核心功能</w:t>
            </w:r>
          </w:p>
        </w:tc>
      </w:tr>
      <w:tr>
        <w:trPr/>
        <w:tc>
          <w:tcPr>
            <w:tcW w:w="3471"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半挂车短时姿态预测</w:t>
            </w:r>
          </w:p>
        </w:tc>
        <w:tc>
          <w:tcPr>
            <w:tcW w:w="2182"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核心功能</w:t>
            </w:r>
          </w:p>
        </w:tc>
      </w:tr>
      <w:tr>
        <w:trPr/>
        <w:tc>
          <w:tcPr>
            <w:tcW w:w="3471"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动态车身扫掠区生成</w:t>
            </w:r>
          </w:p>
        </w:tc>
        <w:tc>
          <w:tcPr>
            <w:tcW w:w="2182"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核心功能</w:t>
            </w:r>
          </w:p>
        </w:tc>
      </w:tr>
      <w:tr>
        <w:trPr/>
        <w:tc>
          <w:tcPr>
            <w:tcW w:w="3471"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雷达目标位置/运动信息</w:t>
            </w:r>
          </w:p>
        </w:tc>
        <w:tc>
          <w:tcPr>
            <w:tcW w:w="2182"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核心感知方向</w:t>
            </w:r>
          </w:p>
        </w:tc>
      </w:tr>
      <w:tr>
        <w:trPr/>
        <w:tc>
          <w:tcPr>
            <w:tcW w:w="3471"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视觉目标类别识别</w:t>
            </w:r>
          </w:p>
        </w:tc>
        <w:tc>
          <w:tcPr>
            <w:tcW w:w="2182"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融合感知方向</w:t>
            </w:r>
          </w:p>
        </w:tc>
      </w:tr>
      <w:tr>
        <w:trPr/>
        <w:tc>
          <w:tcPr>
            <w:tcW w:w="3471"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0—3级风险判断</w:t>
            </w:r>
          </w:p>
        </w:tc>
        <w:tc>
          <w:tcPr>
            <w:tcW w:w="2182"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核心算法方向</w:t>
            </w:r>
          </w:p>
        </w:tc>
      </w:tr>
      <w:tr>
        <w:trPr/>
        <w:tc>
          <w:tcPr>
            <w:tcW w:w="3471"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声光报警</w:t>
            </w:r>
          </w:p>
        </w:tc>
        <w:tc>
          <w:tcPr>
            <w:tcW w:w="2182"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核心输出方式</w:t>
            </w:r>
          </w:p>
        </w:tc>
      </w:tr>
      <w:tr>
        <w:trPr/>
        <w:tc>
          <w:tcPr>
            <w:tcW w:w="3471"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北斗高精度时空关联</w:t>
            </w:r>
          </w:p>
        </w:tc>
        <w:tc>
          <w:tcPr>
            <w:tcW w:w="2182"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增强功能</w:t>
            </w:r>
          </w:p>
        </w:tc>
      </w:tr>
      <w:tr>
        <w:trPr/>
        <w:tc>
          <w:tcPr>
            <w:tcW w:w="3471"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车队风险数据分析</w:t>
            </w:r>
          </w:p>
        </w:tc>
        <w:tc>
          <w:tcPr>
            <w:tcW w:w="2182"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后续扩展</w:t>
            </w:r>
          </w:p>
        </w:tc>
      </w:tr>
      <w:tr>
        <w:trPr/>
        <w:tc>
          <w:tcPr>
            <w:tcW w:w="3471"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自动紧急制动</w:t>
            </w:r>
          </w:p>
        </w:tc>
        <w:tc>
          <w:tcPr>
            <w:tcW w:w="2182"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0"/>
              <w:rPr>
                <w:rFonts w:ascii="仿宋-简" w:hAnsi="仿宋-简" w:eastAsia="仿宋-简" w:cs="仿宋-简"/>
                <w:sz w:val="18"/>
                <w:szCs w:val="24"/>
              </w:rPr>
            </w:pPr>
            <w:r>
              <w:rPr>
                <w:rFonts w:ascii="仿宋-简" w:hAnsi="仿宋-简" w:eastAsia="仿宋-简" w:cs="仿宋-简"/>
                <w:sz w:val="18"/>
                <w:szCs w:val="24"/>
              </w:rPr>
              <w:t>现阶段不纳入产品功能</w:t>
            </w:r>
          </w:p>
        </w:tc>
      </w:tr>
      <w:tr>
        <w:trPr/>
        <w:tc>
          <w:tcPr>
            <w:tcW w:w="3471"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自动转向/车辆接管</w:t>
            </w:r>
          </w:p>
        </w:tc>
        <w:tc>
          <w:tcPr>
            <w:tcW w:w="2182"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0"/>
              <w:rPr>
                <w:rFonts w:ascii="仿宋-简" w:hAnsi="仿宋-简" w:eastAsia="仿宋-简" w:cs="仿宋-简"/>
                <w:sz w:val="18"/>
                <w:szCs w:val="24"/>
              </w:rPr>
            </w:pPr>
            <w:r>
              <w:rPr>
                <w:rFonts w:ascii="仿宋-简" w:hAnsi="仿宋-简" w:eastAsia="仿宋-简" w:cs="仿宋-简"/>
                <w:sz w:val="18"/>
                <w:szCs w:val="24"/>
              </w:rPr>
              <w:t>现阶段不纳入产品功能</w:t>
            </w:r>
          </w:p>
        </w:tc>
      </w:tr>
    </w:tbl>
    <w:p>
      <w:pPr>
        <w:numPr/>
        <w:pBdr>
          <w:bottom/>
        </w:pBdr>
        <w:spacing w:before="156" w:beforeLines="50"/>
        <w:ind/>
        <w:rPr>
          <w:rFonts w:hint="eastAsia" w:ascii="黑体" w:hAnsi="黑体" w:eastAsia="黑体"/>
          <w:b w:val="1"/>
          <w:bCs w:val="1"/>
          <w:sz w:val="28"/>
          <w:szCs w:val="28"/>
        </w:rPr>
      </w:pPr>
      <w:r>
        <w:rPr>
          <w:rFonts w:hint="eastAsia" w:ascii="黑体" w:hAnsi="黑体" w:eastAsia="黑体"/>
          <w:b w:val="1"/>
          <w:bCs w:val="1"/>
          <w:sz w:val="28"/>
          <w:szCs w:val="28"/>
        </w:rPr>
        <w:t>二、系统总体技术架构</w:t>
      </w:r>
    </w:p>
    <w:p>
      <w:pPr>
        <w:pBdr/>
        <w:spacing w:before="156" w:beforeLines="50"/>
        <w:ind w:firstLine="420"/>
        <w:rPr>
          <w:rFonts w:ascii="宋体" w:hAnsi="宋体" w:eastAsia="宋体"/>
          <w:sz w:val="24"/>
          <w:szCs w:val="24"/>
        </w:rPr>
      </w:pPr>
      <w:r>
        <w:rPr>
          <w:rFonts w:ascii="宋体" w:hAnsi="宋体" w:eastAsia="宋体"/>
          <w:sz w:val="24"/>
          <w:szCs w:val="24"/>
        </w:rPr>
        <w:t>项目总体采用“</w:t>
      </w:r>
      <w:r>
        <w:rPr>
          <w:rFonts w:ascii="宋体" w:hAnsi="宋体" w:eastAsia="宋体"/>
          <w:b w:val="1"/>
          <w:color w:val="1450B8"/>
          <w:sz w:val="24"/>
          <w:szCs w:val="24"/>
        </w:rPr>
        <w:t>车辆状态＋环境感知＋运动学预测＋风险决策＋报警输出</w:t>
      </w:r>
      <w:r>
        <w:rPr>
          <w:rFonts w:ascii="宋体" w:hAnsi="宋体" w:eastAsia="宋体"/>
          <w:sz w:val="24"/>
          <w:szCs w:val="24"/>
        </w:rPr>
        <w:t>”的分层技术架构，并预留北斗高精度时空信息作为增强层。</w:t>
      </w:r>
    </w:p>
    <w:p>
      <w:pPr>
        <w:numPr/>
        <w:pBdr>
          <w:bottom/>
        </w:pBdr>
        <w:ind w:firstLine="360" w:firstLineChars="200"/>
        <w:jc w:val="center"/>
        <w:rPr>
          <w:rFonts w:hint="eastAsia" w:ascii="黑体" w:hAnsi="黑体" w:eastAsia="黑体"/>
          <w:sz w:val="18"/>
          <w:szCs w:val="18"/>
        </w:rPr>
      </w:pPr>
      <w:r>
        <w:rPr>
          <w:rFonts w:hint="eastAsia" w:ascii="黑体" w:hAnsi="黑体" w:eastAsia="黑体"/>
          <w:sz w:val="18"/>
          <w:szCs w:val="18"/>
        </w:rPr>
        <w:t>表4-1-6</w:t>
      </w:r>
    </w:p>
    <w:tbl>
      <w:tblPr>
        <w:tblStyle w:val="0000a0"/>
        <w:jc w:val="center"/>
        <w:tblInd w:w="0"/>
        <w:tblLayout w:type="fixed"/>
      </w:tblPr>
      <w:tblGrid>
        <w:gridCol w:w="1706"/>
        <w:gridCol w:w="3233"/>
        <w:gridCol w:w="3352"/>
      </w:tblGrid>
      <w:tr>
        <w:trPr/>
        <w:tc>
          <w:tcPr>
            <w:tcW w:w="1706" w:type="dxa"/>
            <w:tcBorders>
              <w:top w:val="single" w:color="000000" w:sz="0" w:space="0"/>
              <w:left w:val="single" w:color="000000" w:sz="0" w:space="0"/>
              <w:bottom w:val="single" w:color="000000" w:sz="0" w:space="0"/>
              <w:right w:val="single" w:color="000000" w:sz="0" w:space="0"/>
            </w:tcBorders>
            <w:shd w:val="clear" w:color="auto" w:fill="E5EFFF"/>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层级</w:t>
            </w:r>
          </w:p>
        </w:tc>
        <w:tc>
          <w:tcPr>
            <w:tcW w:w="3233" w:type="dxa"/>
            <w:tcBorders>
              <w:top w:val="single" w:color="000000" w:sz="0" w:space="0"/>
              <w:left w:val="single" w:color="000000" w:sz="0" w:space="0"/>
              <w:bottom w:val="single" w:color="000000" w:sz="0" w:space="0"/>
              <w:right w:val="single" w:color="000000" w:sz="0" w:space="0"/>
            </w:tcBorders>
            <w:shd w:val="clear" w:color="auto" w:fill="E5EFFF"/>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主要信息/模块</w:t>
            </w:r>
          </w:p>
        </w:tc>
        <w:tc>
          <w:tcPr>
            <w:tcW w:w="3352" w:type="dxa"/>
            <w:tcBorders>
              <w:top w:val="single" w:color="000000" w:sz="0" w:space="0"/>
              <w:left w:val="single" w:color="000000" w:sz="0" w:space="0"/>
              <w:bottom w:val="single" w:color="000000" w:sz="0" w:space="0"/>
              <w:right w:val="single" w:color="000000" w:sz="0" w:space="0"/>
            </w:tcBorders>
            <w:shd w:val="clear" w:color="auto" w:fill="E5EFFF"/>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主要作用</w:t>
            </w:r>
          </w:p>
        </w:tc>
      </w:tr>
      <w:tr>
        <w:trPr/>
        <w:tc>
          <w:tcPr>
            <w:tcW w:w="1706"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0"/>
              <w:rPr>
                <w:rFonts w:ascii="仿宋-简" w:hAnsi="仿宋-简" w:eastAsia="仿宋-简" w:cs="仿宋-简"/>
                <w:sz w:val="18"/>
                <w:szCs w:val="24"/>
              </w:rPr>
            </w:pPr>
            <w:r>
              <w:rPr>
                <w:rFonts w:ascii="仿宋-简" w:hAnsi="仿宋-简" w:eastAsia="仿宋-简" w:cs="仿宋-简"/>
                <w:sz w:val="18"/>
                <w:szCs w:val="24"/>
              </w:rPr>
              <w:t>车辆状态感知层</w:t>
            </w:r>
          </w:p>
        </w:tc>
        <w:tc>
          <w:tcPr>
            <w:tcW w:w="3233"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车速、前轮转向角、铰接角</w:t>
            </w:r>
          </w:p>
        </w:tc>
        <w:tc>
          <w:tcPr>
            <w:tcW w:w="3352"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描述车辆当前运动状态</w:t>
            </w:r>
          </w:p>
        </w:tc>
      </w:tr>
      <w:tr>
        <w:trPr/>
        <w:tc>
          <w:tcPr>
            <w:tcW w:w="1706"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0"/>
              <w:rPr>
                <w:rFonts w:ascii="仿宋-简" w:hAnsi="仿宋-简" w:eastAsia="仿宋-简" w:cs="仿宋-简"/>
                <w:sz w:val="18"/>
                <w:szCs w:val="24"/>
              </w:rPr>
            </w:pPr>
            <w:r>
              <w:rPr>
                <w:rFonts w:ascii="仿宋-简" w:hAnsi="仿宋-简" w:eastAsia="仿宋-简" w:cs="仿宋-简"/>
                <w:sz w:val="18"/>
                <w:szCs w:val="24"/>
              </w:rPr>
              <w:t>北斗时空增强层</w:t>
            </w:r>
          </w:p>
        </w:tc>
        <w:tc>
          <w:tcPr>
            <w:tcW w:w="3233"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高精度位置、速度、航向</w:t>
            </w:r>
          </w:p>
        </w:tc>
        <w:tc>
          <w:tcPr>
            <w:tcW w:w="3352"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提供独立时空参考及事件定位</w:t>
            </w:r>
          </w:p>
        </w:tc>
      </w:tr>
      <w:tr>
        <w:trPr/>
        <w:tc>
          <w:tcPr>
            <w:tcW w:w="1706"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0"/>
              <w:rPr>
                <w:rFonts w:ascii="仿宋-简" w:hAnsi="仿宋-简" w:eastAsia="仿宋-简" w:cs="仿宋-简"/>
                <w:sz w:val="18"/>
                <w:szCs w:val="24"/>
              </w:rPr>
            </w:pPr>
            <w:r>
              <w:rPr>
                <w:rFonts w:ascii="仿宋-简" w:hAnsi="仿宋-简" w:eastAsia="仿宋-简" w:cs="仿宋-简"/>
                <w:sz w:val="18"/>
                <w:szCs w:val="24"/>
              </w:rPr>
              <w:t>环境感知层</w:t>
            </w:r>
          </w:p>
        </w:tc>
        <w:tc>
          <w:tcPr>
            <w:tcW w:w="3233"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毫米波雷达、视觉</w:t>
            </w:r>
          </w:p>
        </w:tc>
        <w:tc>
          <w:tcPr>
            <w:tcW w:w="3352"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获取周边目标位置、速度和类别</w:t>
            </w:r>
          </w:p>
        </w:tc>
      </w:tr>
      <w:tr>
        <w:trPr/>
        <w:tc>
          <w:tcPr>
            <w:tcW w:w="1706"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0"/>
              <w:rPr>
                <w:rFonts w:ascii="仿宋-简" w:hAnsi="仿宋-简" w:eastAsia="仿宋-简" w:cs="仿宋-简"/>
                <w:sz w:val="18"/>
                <w:szCs w:val="24"/>
              </w:rPr>
            </w:pPr>
            <w:r>
              <w:rPr>
                <w:rFonts w:ascii="仿宋-简" w:hAnsi="仿宋-简" w:eastAsia="仿宋-简" w:cs="仿宋-简"/>
                <w:sz w:val="18"/>
                <w:szCs w:val="24"/>
              </w:rPr>
              <w:t>运动学预测层</w:t>
            </w:r>
          </w:p>
        </w:tc>
        <w:tc>
          <w:tcPr>
            <w:tcW w:w="3233"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牵引车—挂车耦合模型</w:t>
            </w:r>
          </w:p>
        </w:tc>
        <w:tc>
          <w:tcPr>
            <w:tcW w:w="3352"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推演未来车辆姿态</w:t>
            </w:r>
          </w:p>
        </w:tc>
      </w:tr>
      <w:tr>
        <w:trPr/>
        <w:tc>
          <w:tcPr>
            <w:tcW w:w="1706"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0"/>
              <w:rPr>
                <w:rFonts w:ascii="仿宋-简" w:hAnsi="仿宋-简" w:eastAsia="仿宋-简" w:cs="仿宋-简"/>
                <w:sz w:val="18"/>
                <w:szCs w:val="24"/>
              </w:rPr>
            </w:pPr>
            <w:r>
              <w:rPr>
                <w:rFonts w:ascii="仿宋-简" w:hAnsi="仿宋-简" w:eastAsia="仿宋-简" w:cs="仿宋-简"/>
                <w:sz w:val="18"/>
                <w:szCs w:val="24"/>
              </w:rPr>
              <w:t>扫掠区生成层</w:t>
            </w:r>
          </w:p>
        </w:tc>
        <w:tc>
          <w:tcPr>
            <w:tcW w:w="3233"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车辆几何边界</w:t>
            </w:r>
          </w:p>
        </w:tc>
        <w:tc>
          <w:tcPr>
            <w:tcW w:w="3352"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生成未来动态危险区域</w:t>
            </w:r>
          </w:p>
        </w:tc>
      </w:tr>
      <w:tr>
        <w:trPr/>
        <w:tc>
          <w:tcPr>
            <w:tcW w:w="1706"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0"/>
              <w:rPr>
                <w:rFonts w:ascii="仿宋-简" w:hAnsi="仿宋-简" w:eastAsia="仿宋-简" w:cs="仿宋-简"/>
                <w:sz w:val="18"/>
                <w:szCs w:val="24"/>
              </w:rPr>
            </w:pPr>
            <w:r>
              <w:rPr>
                <w:rFonts w:ascii="仿宋-简" w:hAnsi="仿宋-简" w:eastAsia="仿宋-简" w:cs="仿宋-简"/>
                <w:sz w:val="18"/>
                <w:szCs w:val="24"/>
              </w:rPr>
              <w:t>风险决策层</w:t>
            </w:r>
          </w:p>
        </w:tc>
        <w:tc>
          <w:tcPr>
            <w:tcW w:w="3233"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空间判定、TTC、状态机</w:t>
            </w:r>
          </w:p>
        </w:tc>
        <w:tc>
          <w:tcPr>
            <w:tcW w:w="3352"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输出风险等级</w:t>
            </w:r>
          </w:p>
        </w:tc>
      </w:tr>
      <w:tr>
        <w:trPr/>
        <w:tc>
          <w:tcPr>
            <w:tcW w:w="1706"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0"/>
              <w:rPr>
                <w:rFonts w:ascii="仿宋-简" w:hAnsi="仿宋-简" w:eastAsia="仿宋-简" w:cs="仿宋-简"/>
                <w:sz w:val="18"/>
                <w:szCs w:val="24"/>
              </w:rPr>
            </w:pPr>
            <w:r>
              <w:rPr>
                <w:rFonts w:ascii="仿宋-简" w:hAnsi="仿宋-简" w:eastAsia="仿宋-简" w:cs="仿宋-简"/>
                <w:sz w:val="18"/>
                <w:szCs w:val="24"/>
              </w:rPr>
              <w:t>人机交互层</w:t>
            </w:r>
          </w:p>
        </w:tc>
        <w:tc>
          <w:tcPr>
            <w:tcW w:w="3233"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LED、蜂鸣器等</w:t>
            </w:r>
          </w:p>
        </w:tc>
        <w:tc>
          <w:tcPr>
            <w:tcW w:w="3352"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向驾驶员输出风险提示</w:t>
            </w:r>
          </w:p>
        </w:tc>
      </w:tr>
      <w:tr>
        <w:trPr/>
        <w:tc>
          <w:tcPr>
            <w:tcW w:w="1706"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0"/>
              <w:rPr>
                <w:rFonts w:ascii="仿宋-简" w:hAnsi="仿宋-简" w:eastAsia="仿宋-简" w:cs="仿宋-简"/>
                <w:sz w:val="18"/>
                <w:szCs w:val="24"/>
              </w:rPr>
            </w:pPr>
            <w:r>
              <w:rPr>
                <w:rFonts w:ascii="仿宋-简" w:hAnsi="仿宋-简" w:eastAsia="仿宋-简" w:cs="仿宋-简"/>
                <w:sz w:val="18"/>
                <w:szCs w:val="24"/>
              </w:rPr>
              <w:t>数据记录层</w:t>
            </w:r>
          </w:p>
        </w:tc>
        <w:tc>
          <w:tcPr>
            <w:tcW w:w="3233"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状态、报警、位置数据</w:t>
            </w:r>
          </w:p>
        </w:tc>
        <w:tc>
          <w:tcPr>
            <w:tcW w:w="3352" w:type="dxa"/>
            <w:tcBorders>
              <w:top w:val="single" w:color="000000" w:sz="0" w:space="0"/>
              <w:left w:val="single" w:color="000000" w:sz="0" w:space="0"/>
              <w:bottom w:val="single" w:color="000000" w:sz="0" w:space="0"/>
              <w:right w:val="single" w:color="000000" w:sz="0" w:space="0"/>
            </w:tcBorders>
            <w:vAlign w:val="center"/>
          </w:tcPr>
          <w:p>
            <w:pPr>
              <w:pBdr/>
              <w:spacing w:before="156" w:beforeLines="50"/>
              <w:ind w:firstLine="420"/>
              <w:rPr>
                <w:rFonts w:ascii="仿宋-简" w:hAnsi="仿宋-简" w:eastAsia="仿宋-简" w:cs="仿宋-简"/>
                <w:sz w:val="18"/>
                <w:szCs w:val="24"/>
              </w:rPr>
            </w:pPr>
            <w:r>
              <w:rPr>
                <w:rFonts w:ascii="仿宋-简" w:hAnsi="仿宋-简" w:eastAsia="仿宋-简" w:cs="仿宋-简"/>
                <w:sz w:val="18"/>
                <w:szCs w:val="24"/>
              </w:rPr>
              <w:t>支撑调试及后续风险分析</w:t>
            </w:r>
          </w:p>
        </w:tc>
      </w:tr>
    </w:tbl>
    <w:p>
      <w:pPr>
        <w:numPr/>
        <w:spacing w:before="156" w:beforeLines="50"/>
        <w:ind/>
        <w:rPr>
          <w:rFonts w:hint="eastAsia" w:ascii="宋体" w:hAnsi="宋体" w:eastAsia="宋体"/>
          <w:b w:val="1"/>
          <w:bCs w:val="1"/>
          <w:sz w:val="24"/>
          <w:szCs w:val="24"/>
        </w:rPr>
      </w:pPr>
      <w:r>
        <w:rPr>
          <w:rFonts w:hint="eastAsia" w:ascii="宋体" w:hAnsi="宋体" w:eastAsia="宋体"/>
          <w:b w:val="1"/>
          <w:bCs w:val="1"/>
          <w:sz w:val="24"/>
          <w:szCs w:val="24"/>
        </w:rPr>
        <w:t>（一）车辆状态感知层</w:t>
      </w:r>
    </w:p>
    <w:p>
      <w:pPr>
        <w:pBdr/>
        <w:spacing w:before="156" w:beforeLines="50"/>
        <w:ind w:firstLine="420"/>
        <w:rPr>
          <w:rFonts w:ascii="宋体" w:hAnsi="宋体" w:eastAsia="宋体"/>
          <w:sz w:val="24"/>
          <w:szCs w:val="24"/>
        </w:rPr>
      </w:pPr>
      <w:r>
        <w:rPr>
          <w:rFonts w:ascii="宋体" w:hAnsi="宋体" w:eastAsia="宋体"/>
          <w:sz w:val="24"/>
          <w:szCs w:val="24"/>
        </w:rPr>
        <w:t>车辆状态感知是整个预测链路的输入基础，主要获取车速、前轮转向角及牵引车—挂车铰接角。</w:t>
      </w:r>
    </w:p>
    <w:p>
      <w:pPr>
        <w:pBdr/>
        <w:spacing w:before="156" w:beforeLines="50"/>
        <w:ind w:firstLine="420"/>
        <w:rPr>
          <w:rFonts w:ascii="宋体" w:hAnsi="宋体" w:eastAsia="宋体"/>
          <w:b w:val="1"/>
          <w:sz w:val="24"/>
          <w:szCs w:val="24"/>
        </w:rPr>
      </w:pPr>
      <w:r>
        <w:rPr>
          <w:rFonts w:ascii="宋体" w:hAnsi="宋体" w:eastAsia="宋体"/>
          <w:b w:val="1"/>
          <w:sz w:val="24"/>
          <w:szCs w:val="24"/>
        </w:rPr>
        <w:t>1. 车辆速度采集</w:t>
      </w:r>
    </w:p>
    <w:p>
      <w:pPr>
        <w:pBdr/>
        <w:spacing w:before="156" w:beforeLines="50"/>
        <w:ind w:firstLine="420"/>
        <w:rPr>
          <w:rFonts w:ascii="宋体" w:hAnsi="宋体" w:eastAsia="宋体"/>
          <w:sz w:val="24"/>
          <w:szCs w:val="24"/>
        </w:rPr>
      </w:pPr>
      <w:r>
        <w:rPr>
          <w:rFonts w:ascii="宋体" w:hAnsi="宋体" w:eastAsia="宋体"/>
          <w:sz w:val="24"/>
          <w:szCs w:val="24"/>
        </w:rPr>
        <w:t>系统计划通过车辆CAN/OBD接口获取车辆速度信息，为短时运动学递推提供速度输入。</w:t>
      </w:r>
    </w:p>
    <w:p>
      <w:pPr>
        <w:pBdr/>
        <w:spacing w:before="156" w:beforeLines="50"/>
        <w:ind w:firstLine="420"/>
        <w:rPr>
          <w:rFonts w:ascii="宋体" w:hAnsi="宋体" w:eastAsia="宋体"/>
          <w:sz w:val="24"/>
          <w:szCs w:val="24"/>
          <w:shd w:val="clear" w:color="auto" w:fill="FFFF00"/>
        </w:rPr>
      </w:pPr>
      <w:r>
        <w:rPr>
          <w:rFonts w:ascii="宋体" w:hAnsi="宋体" w:eastAsia="宋体"/>
          <w:sz w:val="24"/>
          <w:szCs w:val="24"/>
          <w:shd w:val="clear" w:color="auto" w:fill="FFFF00"/>
        </w:rPr>
        <w:t>【技术组审核：最终商品版本是否能够直接读取不同目标车型CAN/OBD车速，以及不同车型协议适配方案。】</w:t>
      </w:r>
    </w:p>
    <w:p>
      <w:pPr>
        <w:pBdr/>
        <w:spacing w:before="156" w:beforeLines="50"/>
        <w:ind w:firstLine="420"/>
        <w:rPr>
          <w:rFonts w:ascii="宋体" w:hAnsi="宋体" w:eastAsia="宋体"/>
          <w:b w:val="1"/>
          <w:sz w:val="24"/>
          <w:szCs w:val="24"/>
        </w:rPr>
      </w:pPr>
      <w:r>
        <w:rPr>
          <w:rFonts w:ascii="宋体" w:hAnsi="宋体" w:eastAsia="宋体"/>
          <w:b w:val="1"/>
          <w:sz w:val="24"/>
          <w:szCs w:val="24"/>
        </w:rPr>
        <w:t>2. 前轮转向角采集</w:t>
      </w:r>
    </w:p>
    <w:p>
      <w:pPr>
        <w:pBdr/>
        <w:spacing w:before="156" w:beforeLines="50"/>
        <w:ind w:firstLine="420"/>
        <w:rPr>
          <w:rFonts w:ascii="宋体" w:hAnsi="宋体" w:eastAsia="宋体"/>
          <w:sz w:val="24"/>
          <w:szCs w:val="24"/>
        </w:rPr>
      </w:pPr>
      <w:r>
        <w:rPr>
          <w:rFonts w:ascii="宋体" w:hAnsi="宋体" w:eastAsia="宋体"/>
          <w:sz w:val="24"/>
          <w:szCs w:val="24"/>
        </w:rPr>
        <w:t>现有技术方案采用角度传感器获取前轮转向状态，立项方案中选用AS5600作为样机传感器之一。</w:t>
      </w:r>
    </w:p>
    <w:p>
      <w:pPr>
        <w:pBdr/>
        <w:spacing w:before="156" w:beforeLines="50"/>
        <w:ind w:firstLine="420"/>
        <w:rPr>
          <w:rFonts w:ascii="宋体" w:hAnsi="宋体" w:eastAsia="宋体"/>
          <w:sz w:val="24"/>
          <w:szCs w:val="24"/>
        </w:rPr>
      </w:pPr>
      <w:r>
        <w:rPr>
          <w:rFonts w:ascii="宋体" w:hAnsi="宋体" w:eastAsia="宋体"/>
          <w:sz w:val="24"/>
          <w:szCs w:val="24"/>
        </w:rPr>
        <w:t>前轮转向角与车速共同决定牵引车短时转弯状态，是运动学模型的重要输入。</w:t>
      </w:r>
    </w:p>
    <w:p>
      <w:pPr>
        <w:pBdr/>
        <w:spacing w:before="156" w:beforeLines="50"/>
        <w:ind w:firstLine="420"/>
        <w:rPr>
          <w:rFonts w:ascii="宋体" w:hAnsi="宋体" w:eastAsia="宋体"/>
          <w:sz w:val="24"/>
          <w:szCs w:val="24"/>
        </w:rPr>
      </w:pPr>
      <w:r>
        <w:rPr>
          <w:rFonts w:ascii="宋体" w:hAnsi="宋体" w:eastAsia="宋体"/>
          <w:sz w:val="24"/>
          <w:szCs w:val="24"/>
          <w:shd w:val="clear" w:color="auto" w:fill="FFFF00"/>
        </w:rPr>
        <w:t>【技术组审核：AS5600在最终实车方案中的安装位置、机械映射关系及标定方式。】</w:t>
      </w:r>
    </w:p>
    <w:p>
      <w:pPr>
        <w:pBdr/>
        <w:spacing w:before="156" w:beforeLines="50"/>
        <w:ind w:firstLine="420"/>
        <w:rPr>
          <w:rFonts w:ascii="宋体" w:hAnsi="宋体" w:eastAsia="宋体"/>
          <w:b w:val="1"/>
          <w:sz w:val="24"/>
          <w:szCs w:val="24"/>
        </w:rPr>
      </w:pPr>
      <w:r>
        <w:rPr>
          <w:rFonts w:ascii="宋体" w:hAnsi="宋体" w:eastAsia="宋体"/>
          <w:b w:val="1"/>
          <w:sz w:val="24"/>
          <w:szCs w:val="24"/>
        </w:rPr>
        <w:t>3. 牵引车—挂车铰接角采集</w:t>
      </w:r>
    </w:p>
    <w:p>
      <w:pPr>
        <w:pBdr/>
        <w:spacing w:before="156" w:beforeLines="50"/>
        <w:ind w:firstLine="420"/>
        <w:rPr>
          <w:rFonts w:ascii="宋体" w:hAnsi="宋体" w:eastAsia="宋体"/>
          <w:sz w:val="24"/>
          <w:szCs w:val="24"/>
        </w:rPr>
      </w:pPr>
      <w:r>
        <w:rPr>
          <w:rFonts w:ascii="宋体" w:hAnsi="宋体" w:eastAsia="宋体"/>
          <w:sz w:val="24"/>
          <w:szCs w:val="24"/>
        </w:rPr>
        <w:t>铰接角用于描述牵引车与挂车之间的相对航向关系，是区别于普通单体车辆的重要状态量。</w:t>
      </w:r>
    </w:p>
    <w:p>
      <w:pPr>
        <w:pBdr/>
        <w:spacing w:before="156" w:beforeLines="50"/>
        <w:ind w:firstLine="420"/>
        <w:rPr>
          <w:rFonts w:ascii="宋体" w:hAnsi="宋体" w:eastAsia="宋体"/>
          <w:sz w:val="24"/>
          <w:szCs w:val="24"/>
        </w:rPr>
      </w:pPr>
      <w:r>
        <w:rPr>
          <w:rFonts w:ascii="宋体" w:hAnsi="宋体" w:eastAsia="宋体"/>
          <w:sz w:val="24"/>
          <w:szCs w:val="24"/>
        </w:rPr>
        <w:t>项目现阶段方案采用角度电位器等方式获取铰接角。</w:t>
      </w:r>
    </w:p>
    <w:p>
      <w:pPr>
        <w:pBdr/>
        <w:spacing w:before="156" w:beforeLines="50"/>
        <w:ind w:firstLine="420"/>
        <w:rPr>
          <w:rFonts w:ascii="宋体" w:hAnsi="宋体" w:eastAsia="宋体"/>
          <w:sz w:val="24"/>
          <w:szCs w:val="24"/>
        </w:rPr>
      </w:pPr>
      <w:r>
        <w:rPr>
          <w:rFonts w:ascii="宋体" w:hAnsi="宋体" w:eastAsia="宋体"/>
          <w:sz w:val="24"/>
          <w:szCs w:val="24"/>
          <w:shd w:val="clear" w:color="auto" w:fill="FFFF00"/>
        </w:rPr>
        <w:t>【技术组审核：最终铰接角传感方案、安装结构、量程、精度及耐久性。】</w:t>
      </w:r>
    </w:p>
    <w:p>
      <w:pPr>
        <w:numPr/>
        <w:spacing w:before="156" w:beforeLines="50"/>
        <w:ind/>
        <w:rPr>
          <w:rFonts w:hint="eastAsia" w:ascii="宋体" w:hAnsi="宋体" w:eastAsia="宋体"/>
          <w:b w:val="1"/>
          <w:bCs w:val="1"/>
          <w:sz w:val="24"/>
          <w:szCs w:val="24"/>
        </w:rPr>
      </w:pPr>
      <w:r>
        <w:rPr>
          <w:rFonts w:hint="eastAsia" w:ascii="宋体" w:hAnsi="宋体" w:eastAsia="宋体"/>
          <w:b w:val="1"/>
          <w:bCs w:val="1"/>
          <w:sz w:val="24"/>
          <w:szCs w:val="24"/>
        </w:rPr>
        <w:t>（二）北斗高精度时空信息层</w:t>
      </w:r>
    </w:p>
    <w:p>
      <w:pPr>
        <w:pBdr/>
        <w:spacing w:before="156" w:beforeLines="50"/>
        <w:ind w:firstLine="420"/>
        <w:rPr>
          <w:rFonts w:ascii="宋体" w:hAnsi="宋体" w:eastAsia="宋体"/>
          <w:sz w:val="24"/>
          <w:szCs w:val="24"/>
        </w:rPr>
      </w:pPr>
      <w:r>
        <w:rPr>
          <w:rFonts w:ascii="宋体" w:hAnsi="宋体" w:eastAsia="宋体"/>
          <w:sz w:val="24"/>
          <w:szCs w:val="24"/>
        </w:rPr>
        <w:t>北斗高精度信息在项目中定位为增强层，而不是基础预警算法运行的唯一前提。</w:t>
      </w:r>
    </w:p>
    <w:p>
      <w:pPr>
        <w:pBdr/>
        <w:spacing w:before="156" w:beforeLines="50"/>
        <w:ind w:firstLine="420"/>
        <w:rPr>
          <w:rFonts w:ascii="宋体" w:hAnsi="宋体" w:eastAsia="宋体"/>
          <w:sz w:val="24"/>
          <w:szCs w:val="24"/>
        </w:rPr>
      </w:pPr>
      <w:r>
        <w:rPr>
          <w:rFonts w:ascii="宋体" w:hAnsi="宋体" w:eastAsia="宋体"/>
          <w:sz w:val="24"/>
          <w:szCs w:val="24"/>
        </w:rPr>
        <w:t>基础预警链路主要依靠车辆局部状态和右侧目标信息完成短时风险判断；北斗增强方案则进一步为车辆提供绝对位置、速度和航向参考，并将报警事件与具体道路位置进行关联。</w:t>
      </w:r>
    </w:p>
    <w:p>
      <w:pPr>
        <w:pBdr/>
        <w:spacing w:before="156" w:beforeLines="50"/>
        <w:ind w:firstLine="420"/>
        <w:rPr>
          <w:rFonts w:ascii="宋体" w:hAnsi="宋体" w:eastAsia="宋体"/>
          <w:sz w:val="24"/>
          <w:szCs w:val="24"/>
        </w:rPr>
      </w:pPr>
      <w:r>
        <w:rPr>
          <w:rFonts w:ascii="宋体" w:hAnsi="宋体" w:eastAsia="宋体"/>
          <w:sz w:val="24"/>
          <w:szCs w:val="24"/>
        </w:rPr>
        <w:t>项目现有更新方案提出采用北斗RTK及相关测向信息实现高精度时空参考，并进一步用于路口级风险数据沉淀。</w:t>
      </w:r>
    </w:p>
    <w:p>
      <w:pPr>
        <w:pBdr/>
        <w:spacing w:before="156" w:beforeLines="50"/>
        <w:ind w:firstLine="420"/>
        <w:rPr>
          <w:rFonts w:ascii="宋体" w:hAnsi="宋体" w:eastAsia="宋体"/>
          <w:sz w:val="24"/>
          <w:szCs w:val="24"/>
          <w:shd w:val="clear" w:color="auto" w:fill="FFFF00"/>
        </w:rPr>
      </w:pPr>
      <w:r>
        <w:rPr>
          <w:rFonts w:ascii="宋体" w:hAnsi="宋体" w:eastAsia="宋体"/>
          <w:sz w:val="24"/>
          <w:szCs w:val="24"/>
          <w:shd w:val="clear" w:color="auto" w:fill="FFFF00"/>
        </w:rPr>
        <w:t>【技术组审核：北斗RTK是否已经纳入当前样机，还是仅作为增强版本；最终采用单天线还是双天线、是否配置IMU。】</w:t>
      </w:r>
    </w:p>
    <w:p>
      <w:pPr>
        <w:pBdr/>
        <w:spacing w:before="156" w:beforeLines="50"/>
        <w:ind w:firstLine="420"/>
        <w:rPr>
          <w:rFonts w:ascii="宋体" w:hAnsi="宋体" w:eastAsia="宋体"/>
          <w:sz w:val="24"/>
          <w:szCs w:val="24"/>
        </w:rPr>
      </w:pPr>
      <w:r>
        <w:rPr>
          <w:rFonts w:ascii="宋体" w:hAnsi="宋体" w:eastAsia="宋体"/>
          <w:sz w:val="24"/>
          <w:szCs w:val="24"/>
        </w:rPr>
        <w:t>【技术组核定数据：在最终模块、天线、差分服务和测试完成前，不将“厘米级定位”“0.1°测向”等指标写成项目实测结果。】</w:t>
      </w:r>
    </w:p>
    <w:p>
      <w:pPr>
        <w:pBdr/>
        <w:spacing w:before="156" w:beforeLines="0" w:line="400" w:lineRule="exact"/>
        <w:ind w:firstLine="420"/>
        <w:rPr>
          <w:rFonts w:ascii="宋体" w:hAnsi="宋体" w:eastAsia="宋体"/>
          <w:sz w:val="24"/>
          <w:szCs w:val="24"/>
          <w:highlight w:val="yellow"/>
        </w:rPr>
      </w:pPr>
      <w:r>
        <w:rPr>
          <w:rFonts w:ascii="宋体" w:hAnsi="宋体" w:eastAsia="宋体"/>
          <w:sz w:val="24"/>
          <w:szCs w:val="24"/>
          <w:highlight w:val="yellow"/>
        </w:rPr>
        <w:t>（二）北斗高精度时空信息层</w:t>
      </w:r>
    </w:p>
    <w:p>
      <w:pPr>
        <w:pBdr/>
        <w:spacing w:before="156" w:beforeLines="0" w:line="400" w:lineRule="exact"/>
        <w:ind w:firstLine="420"/>
        <w:rPr>
          <w:rFonts w:ascii="宋体" w:hAnsi="宋体" w:eastAsia="宋体"/>
          <w:sz w:val="24"/>
          <w:szCs w:val="24"/>
          <w:highlight w:val="yellow"/>
        </w:rPr>
      </w:pPr>
      <w:r>
        <w:rPr>
          <w:rFonts w:ascii="宋体" w:hAnsi="宋体" w:eastAsia="宋体"/>
          <w:sz w:val="24"/>
          <w:szCs w:val="24"/>
          <w:highlight w:val="yellow"/>
        </w:rPr>
        <w:t>北斗增强版拟采用WTRTK-M20D双天线定向定位模块，为车辆状态提供绝对位置、对地速度和航向参考，并为预警事件增加统一时间与空间标记。当前可确认的是用户指定页面中的型号、10Hz标称选项及零售参考价；厘米级定位、双天线测向精度、差分服务方式、天线基线、接口协议和车载环境适应性仍须依据模块手册与实测确认。因此，北斗在当前版本中属于增强层，而不是基础版完成预警功能的必要前提。</w:t>
      </w:r>
    </w:p>
    <w:p>
      <w:pPr>
        <w:pBdr/>
        <w:spacing w:before="156" w:beforeLines="0" w:line="400" w:lineRule="exact"/>
        <w:ind w:firstLine="420"/>
        <w:rPr>
          <w:rFonts w:ascii="宋体" w:hAnsi="宋体" w:eastAsia="宋体"/>
          <w:sz w:val="24"/>
          <w:szCs w:val="24"/>
          <w:highlight w:val="yellow"/>
        </w:rPr>
      </w:pPr>
      <w:r>
        <w:rPr>
          <w:rFonts w:ascii="宋体" w:hAnsi="宋体" w:eastAsia="宋体"/>
          <w:sz w:val="24"/>
          <w:szCs w:val="24"/>
          <w:highlight w:val="yellow"/>
        </w:rPr>
        <w:t>【技术组黄色确认项：填写M20D实际输出字段、更新率、定位/测速/测向精度、差分数据来源、双天线基线和失锁降级策略。】</w:t>
      </w:r>
    </w:p>
    <w:p>
      <w:pPr>
        <w:pBdr/>
        <w:spacing w:before="156" w:beforeLines="0" w:line="400" w:lineRule="exact"/>
        <w:ind w:firstLine="420"/>
        <w:rPr>
          <w:rFonts w:ascii="宋体" w:hAnsi="宋体" w:eastAsia="宋体"/>
          <w:sz w:val="24"/>
          <w:szCs w:val="24"/>
          <w:highlight w:val="yellow"/>
        </w:rPr>
      </w:pPr>
      <w:r>
        <w:rPr>
          <w:rFonts w:ascii="宋体" w:hAnsi="宋体" w:eastAsia="宋体"/>
          <w:sz w:val="24"/>
          <w:szCs w:val="24"/>
          <w:highlight w:val="yellow"/>
        </w:rPr>
        <w:t>（三）毫米波雷达环境感知层</w:t>
      </w:r>
    </w:p>
    <w:p>
      <w:pPr>
        <w:pBdr/>
        <w:spacing w:before="156" w:beforeLines="0" w:line="400" w:lineRule="exact"/>
        <w:ind w:firstLine="420"/>
        <w:rPr>
          <w:rFonts w:ascii="宋体" w:hAnsi="宋体" w:eastAsia="宋体"/>
          <w:sz w:val="24"/>
          <w:szCs w:val="24"/>
          <w:highlight w:val="yellow"/>
        </w:rPr>
      </w:pPr>
      <w:r>
        <w:rPr>
          <w:rFonts w:ascii="宋体" w:hAnsi="宋体" w:eastAsia="宋体"/>
          <w:sz w:val="24"/>
          <w:szCs w:val="24"/>
          <w:highlight w:val="yellow"/>
        </w:rPr>
        <w:t>样机BOM暂采用HLK-LD2450 24GHz雷达，通过UART向主控提供目标相对位置和运动信息，用于右侧近场目标检测。内部技术资料暂按0—6m覆盖和多目标输出进行方案设计，但这些属于模块资料/设计口径，不是本项目整机实测性能。上车前需完成安装偏移、波束方向、金属车身遮挡、护栏和静止物干扰测试，并把雷达坐标转换至统一车体坐标系。</w:t>
      </w:r>
    </w:p>
    <w:p>
      <w:pPr>
        <w:pBdr/>
        <w:spacing w:before="156" w:beforeLines="0" w:line="400" w:lineRule="exact"/>
        <w:ind w:firstLine="420"/>
        <w:rPr>
          <w:rFonts w:ascii="宋体" w:hAnsi="宋体" w:eastAsia="宋体"/>
          <w:sz w:val="24"/>
          <w:szCs w:val="24"/>
          <w:highlight w:val="yellow"/>
        </w:rPr>
      </w:pPr>
      <w:r>
        <w:rPr>
          <w:rFonts w:ascii="宋体" w:hAnsi="宋体" w:eastAsia="宋体"/>
          <w:sz w:val="24"/>
          <w:szCs w:val="24"/>
          <w:highlight w:val="yellow"/>
        </w:rPr>
        <w:t>【技术组黄色确认项：填写雷达有效探测范围、目标数量、刷新率、静止/运动目标策略、雨雾与金属环境表现及原始测试记录。】</w:t>
      </w:r>
    </w:p>
    <w:p>
      <w:pPr>
        <w:pBdr/>
        <w:spacing w:before="156" w:beforeLines="0" w:line="400" w:lineRule="exact"/>
        <w:ind w:firstLine="420"/>
        <w:rPr>
          <w:rFonts w:ascii="宋体" w:hAnsi="宋体" w:eastAsia="宋体"/>
          <w:sz w:val="24"/>
          <w:szCs w:val="24"/>
          <w:highlight w:val="yellow"/>
        </w:rPr>
      </w:pPr>
      <w:r>
        <w:rPr>
          <w:rFonts w:ascii="宋体" w:hAnsi="宋体" w:eastAsia="宋体"/>
          <w:sz w:val="24"/>
          <w:szCs w:val="24"/>
          <w:highlight w:val="yellow"/>
        </w:rPr>
        <w:t>（四）视觉协处理感知层</w:t>
      </w:r>
    </w:p>
    <w:p>
      <w:pPr>
        <w:pBdr/>
        <w:spacing w:before="156" w:beforeLines="0" w:line="400" w:lineRule="exact"/>
        <w:ind w:firstLine="420"/>
        <w:rPr>
          <w:rFonts w:ascii="宋体" w:hAnsi="宋体" w:eastAsia="宋体"/>
          <w:sz w:val="24"/>
          <w:szCs w:val="24"/>
          <w:highlight w:val="yellow"/>
        </w:rPr>
      </w:pPr>
      <w:r>
        <w:rPr>
          <w:rFonts w:ascii="宋体" w:hAnsi="宋体" w:eastAsia="宋体"/>
          <w:sz w:val="24"/>
          <w:szCs w:val="24"/>
          <w:highlight w:val="yellow"/>
        </w:rPr>
        <w:t>融合基础版暂以OpenMV H7 Plus作为视觉协处理器，负责行人、非机动车等目标类别识别，并通过UART向ESP32-S3输出目标类别和图像坐标。视觉结果用于补足雷达类别信息，而不是单独决定危险等级。当前尚未形成统一数据集上的识别准确率、夜间性能、漏检率和处理帧率报告，因此正文仅表述为样机方案与设计目标，不把“≥10Hz”或识别准确率写成已经完成的整机指标。</w:t>
      </w:r>
    </w:p>
    <w:p>
      <w:pPr>
        <w:pBdr/>
        <w:spacing w:before="156" w:beforeLines="0" w:line="400" w:lineRule="exact"/>
        <w:ind w:firstLine="420"/>
        <w:rPr>
          <w:rFonts w:ascii="宋体" w:hAnsi="宋体" w:eastAsia="宋体"/>
          <w:sz w:val="24"/>
          <w:szCs w:val="24"/>
          <w:highlight w:val="yellow"/>
        </w:rPr>
      </w:pPr>
      <w:r>
        <w:rPr>
          <w:rFonts w:ascii="宋体" w:hAnsi="宋体" w:eastAsia="宋体"/>
          <w:sz w:val="24"/>
          <w:szCs w:val="24"/>
          <w:highlight w:val="yellow"/>
        </w:rPr>
        <w:t>【技术组黄色确认项：填写模型名称、训练/测试样本、输入分辨率、实际帧率、分类指标、夜间补光和与雷达目标关联方法。】</w:t>
      </w:r>
    </w:p>
    <w:p>
      <w:pPr>
        <w:pBdr/>
        <w:spacing w:before="156" w:beforeLines="0" w:line="400" w:lineRule="exact"/>
        <w:ind w:firstLine="420"/>
        <w:rPr>
          <w:rFonts w:ascii="宋体" w:hAnsi="宋体" w:eastAsia="宋体"/>
          <w:sz w:val="24"/>
          <w:szCs w:val="24"/>
          <w:highlight w:val="yellow"/>
        </w:rPr>
      </w:pPr>
      <w:r>
        <w:rPr>
          <w:rFonts w:ascii="宋体" w:hAnsi="宋体" w:eastAsia="宋体"/>
          <w:sz w:val="24"/>
          <w:szCs w:val="24"/>
          <w:highlight w:val="yellow"/>
        </w:rPr>
        <w:t>（五）嵌入式计算与风险决策层</w:t>
      </w:r>
    </w:p>
    <w:p>
      <w:pPr>
        <w:pBdr/>
        <w:spacing w:before="156" w:beforeLines="0" w:line="400" w:lineRule="exact"/>
        <w:ind w:firstLine="420"/>
        <w:rPr>
          <w:rFonts w:ascii="宋体" w:hAnsi="宋体" w:eastAsia="宋体"/>
          <w:sz w:val="24"/>
          <w:szCs w:val="24"/>
          <w:highlight w:val="yellow"/>
        </w:rPr>
      </w:pPr>
      <w:r>
        <w:rPr>
          <w:rFonts w:ascii="宋体" w:hAnsi="宋体" w:eastAsia="宋体"/>
          <w:sz w:val="24"/>
          <w:szCs w:val="24"/>
          <w:highlight w:val="yellow"/>
        </w:rPr>
        <w:t>系统以ESP32-S3为样机主控，计划按20ms周期读取车辆状态与目标信息，执行短时姿态递推、扫掠多边形生成、目标判内、风险分级和报警状态机。20ms/50Hz是当前设计与验证目标；在取得目标硬件上的计时日志、最坏执行时间、内存占用和异常工况记录前，不写成“已经通过实测的量产性能”。量产阶段还需评估从开发板转为定制PCB或模组后的电源、EMC、看门狗、故障诊断和通信可靠性。</w:t>
      </w:r>
    </w:p>
    <w:p>
      <w:pPr>
        <w:pBdr/>
        <w:spacing w:before="156" w:beforeLines="0" w:line="400" w:lineRule="exact"/>
        <w:ind w:firstLine="420"/>
        <w:rPr>
          <w:rFonts w:ascii="宋体" w:hAnsi="宋体" w:eastAsia="宋体"/>
          <w:sz w:val="24"/>
          <w:szCs w:val="24"/>
          <w:highlight w:val="yellow"/>
        </w:rPr>
      </w:pPr>
      <w:r>
        <w:rPr>
          <w:rFonts w:ascii="宋体" w:hAnsi="宋体" w:eastAsia="宋体"/>
          <w:sz w:val="24"/>
          <w:szCs w:val="24"/>
          <w:highlight w:val="yellow"/>
        </w:rPr>
        <w:t>（六）声光预警与数据记录层</w:t>
      </w:r>
    </w:p>
    <w:p>
      <w:pPr>
        <w:pBdr/>
        <w:spacing w:before="156" w:beforeLines="0" w:line="400" w:lineRule="exact"/>
        <w:ind w:firstLine="420"/>
        <w:rPr>
          <w:rFonts w:ascii="宋体" w:hAnsi="宋体" w:eastAsia="宋体"/>
          <w:sz w:val="24"/>
          <w:szCs w:val="24"/>
          <w:highlight w:val="yellow"/>
        </w:rPr>
      </w:pPr>
      <w:r>
        <w:rPr>
          <w:rFonts w:ascii="宋体" w:hAnsi="宋体" w:eastAsia="宋体"/>
          <w:sz w:val="24"/>
          <w:szCs w:val="24"/>
          <w:highlight w:val="yellow"/>
        </w:rPr>
        <w:t>风险输出暂划分为0—3级，通过黄/红指示灯和蜂鸣器向驾驶员提供分级提示；升级、降级采用连续帧确认和滞回逻辑，以降低瞬时抖动。MicroSD及本地日志是否作为基础版交付功能尚未确定：测试阶段建议保留车辆状态、目标、危险区和报警时间戳，用于复盘误报、漏报和提前量；商品版本的数据留存、上传频率、隐私权限和平台费用需由技术组与A共同确认。</w:t>
      </w:r>
    </w:p>
    <w:p>
      <w:pPr>
        <w:pBdr/>
        <w:spacing w:before="156" w:beforeLines="0" w:line="400" w:lineRule="exact"/>
        <w:ind w:firstLine="420"/>
        <w:rPr>
          <w:rFonts w:ascii="宋体" w:hAnsi="宋体" w:eastAsia="宋体"/>
          <w:sz w:val="24"/>
          <w:szCs w:val="24"/>
          <w:highlight w:val="yellow"/>
        </w:rPr>
      </w:pPr>
      <w:r>
        <w:rPr>
          <w:rFonts w:ascii="宋体" w:hAnsi="宋体" w:eastAsia="宋体"/>
          <w:sz w:val="24"/>
          <w:szCs w:val="24"/>
          <w:highlight w:val="yellow"/>
        </w:rPr>
        <w:t>三、半挂车辆短时耦合运动学预测</w:t>
      </w:r>
    </w:p>
    <w:p>
      <w:pPr>
        <w:pBdr/>
        <w:spacing w:before="156" w:beforeLines="0" w:line="400" w:lineRule="exact"/>
        <w:ind w:firstLine="420"/>
        <w:rPr>
          <w:rFonts w:ascii="宋体" w:hAnsi="宋体" w:eastAsia="宋体"/>
          <w:sz w:val="24"/>
          <w:szCs w:val="24"/>
          <w:highlight w:val="yellow"/>
        </w:rPr>
      </w:pPr>
      <w:r>
        <w:rPr>
          <w:rFonts w:ascii="宋体" w:hAnsi="宋体" w:eastAsia="宋体"/>
          <w:sz w:val="24"/>
          <w:szCs w:val="24"/>
          <w:highlight w:val="yellow"/>
        </w:rPr>
        <w:t>（一）车辆运动状态建模</w:t>
      </w:r>
    </w:p>
    <w:p>
      <w:pPr>
        <w:pBdr/>
        <w:spacing w:before="156" w:beforeLines="0" w:line="400" w:lineRule="exact"/>
        <w:ind w:firstLine="420"/>
        <w:rPr>
          <w:rFonts w:ascii="宋体" w:hAnsi="宋体" w:eastAsia="宋体"/>
          <w:sz w:val="24"/>
          <w:szCs w:val="24"/>
          <w:highlight w:val="yellow"/>
        </w:rPr>
      </w:pPr>
      <w:r>
        <w:rPr>
          <w:rFonts w:ascii="宋体" w:hAnsi="宋体" w:eastAsia="宋体"/>
          <w:sz w:val="24"/>
          <w:szCs w:val="24"/>
          <w:highlight w:val="yellow"/>
        </w:rPr>
        <w:t>模型状态至少包括牵引车后轴中心位置、牵引车航向和牵引车—挂车铰接角，输入包括车速与前轮转向角。每个计算周期按照低速运动学约束递推下一时刻状态；模型适用于低速右转短时预测，不延伸为高速轨迹规划或自动驾驶控制。</w:t>
      </w:r>
    </w:p>
    <w:p>
      <w:pPr>
        <w:pBdr/>
        <w:spacing w:before="156" w:beforeLines="0" w:line="400" w:lineRule="exact"/>
        <w:ind w:firstLine="420"/>
        <w:rPr>
          <w:rFonts w:ascii="宋体" w:hAnsi="宋体" w:eastAsia="宋体"/>
          <w:sz w:val="24"/>
          <w:szCs w:val="24"/>
          <w:highlight w:val="yellow"/>
        </w:rPr>
      </w:pPr>
      <w:r>
        <w:rPr>
          <w:rFonts w:ascii="宋体" w:hAnsi="宋体" w:eastAsia="宋体"/>
          <w:sz w:val="24"/>
          <w:szCs w:val="24"/>
          <w:highlight w:val="yellow"/>
        </w:rPr>
        <w:t>（二）牵引车—挂车耦合关系</w:t>
      </w:r>
    </w:p>
    <w:p>
      <w:pPr>
        <w:pBdr/>
        <w:spacing w:before="156" w:beforeLines="0" w:line="400" w:lineRule="exact"/>
        <w:ind w:firstLine="420"/>
        <w:rPr>
          <w:rFonts w:ascii="宋体" w:hAnsi="宋体" w:eastAsia="宋体"/>
          <w:sz w:val="24"/>
          <w:szCs w:val="24"/>
          <w:highlight w:val="yellow"/>
        </w:rPr>
      </w:pPr>
      <w:r>
        <w:rPr>
          <w:rFonts w:ascii="宋体" w:hAnsi="宋体" w:eastAsia="宋体"/>
          <w:sz w:val="24"/>
          <w:szCs w:val="24"/>
          <w:highlight w:val="yellow"/>
        </w:rPr>
        <w:t>挂车姿态不仅受牵引车平移影响，还受牵引车后轴至牵引销距离产生的附加速度影响。项目模型显式保留牵引销后悬耦合项，以避免把铰接车辆等效为单刚体。该模型已在MATLAB与网页仿真中建立同源方程；真正的实车有效性仍需通过铰接角真值和车身轨迹测量验证。</w:t>
      </w:r>
    </w:p>
    <w:p>
      <w:pPr>
        <w:pBdr/>
        <w:spacing w:before="156" w:beforeLines="0" w:line="400" w:lineRule="exact"/>
        <w:ind w:firstLine="420"/>
        <w:rPr>
          <w:rFonts w:ascii="宋体" w:hAnsi="宋体" w:eastAsia="宋体"/>
          <w:sz w:val="24"/>
          <w:szCs w:val="24"/>
          <w:highlight w:val="yellow"/>
        </w:rPr>
      </w:pPr>
      <w:r>
        <w:rPr>
          <w:rFonts w:ascii="宋体" w:hAnsi="宋体" w:eastAsia="宋体"/>
          <w:sz w:val="24"/>
          <w:szCs w:val="24"/>
          <w:highlight w:val="yellow"/>
        </w:rPr>
        <w:t>（三）牵引销偏置与挂车内切特征</w:t>
      </w:r>
    </w:p>
    <w:p>
      <w:pPr>
        <w:pBdr/>
        <w:spacing w:before="156" w:beforeLines="0" w:line="400" w:lineRule="exact"/>
        <w:ind w:firstLine="420"/>
        <w:rPr>
          <w:rFonts w:ascii="宋体" w:hAnsi="宋体" w:eastAsia="宋体"/>
          <w:sz w:val="24"/>
          <w:szCs w:val="24"/>
          <w:highlight w:val="yellow"/>
        </w:rPr>
      </w:pPr>
      <w:r>
        <w:rPr>
          <w:rFonts w:ascii="宋体" w:hAnsi="宋体" w:eastAsia="宋体"/>
          <w:sz w:val="24"/>
          <w:szCs w:val="24"/>
          <w:highlight w:val="yellow"/>
        </w:rPr>
        <w:t>右转过程中，牵引销、挂车后轴及挂车右侧边界的运动不同步，形成挂车向弯心内切和尾部外甩。危险区不能只依据前轮轨迹或固定侧向距离生成，应同时考虑车身宽度、轴距、牵引销偏置、挂车长度和铰接角。不同车型必须录入或标定这些几何参数，因此现阶段不能宣称完全“免车型配置”。</w:t>
      </w:r>
    </w:p>
    <w:p>
      <w:pPr>
        <w:pBdr/>
        <w:spacing w:before="156" w:beforeLines="0" w:line="400" w:lineRule="exact"/>
        <w:ind w:firstLine="420"/>
        <w:rPr>
          <w:rFonts w:ascii="宋体" w:hAnsi="宋体" w:eastAsia="宋体"/>
          <w:sz w:val="24"/>
          <w:szCs w:val="24"/>
          <w:highlight w:val="yellow"/>
        </w:rPr>
      </w:pPr>
      <w:r>
        <w:rPr>
          <w:rFonts w:ascii="宋体" w:hAnsi="宋体" w:eastAsia="宋体"/>
          <w:sz w:val="24"/>
          <w:szCs w:val="24"/>
          <w:highlight w:val="yellow"/>
        </w:rPr>
        <w:t>（四）车辆未来短时姿态递推</w:t>
      </w:r>
    </w:p>
    <w:p>
      <w:pPr>
        <w:pBdr/>
        <w:spacing w:before="156" w:beforeLines="0" w:line="400" w:lineRule="exact"/>
        <w:ind w:firstLine="420"/>
        <w:rPr>
          <w:rFonts w:ascii="宋体" w:hAnsi="宋体" w:eastAsia="宋体"/>
          <w:sz w:val="24"/>
          <w:szCs w:val="24"/>
          <w:highlight w:val="yellow"/>
        </w:rPr>
      </w:pPr>
      <w:r>
        <w:rPr>
          <w:rFonts w:ascii="宋体" w:hAnsi="宋体" w:eastAsia="宋体"/>
          <w:sz w:val="24"/>
          <w:szCs w:val="24"/>
          <w:highlight w:val="yellow"/>
        </w:rPr>
        <w:t>系统从当前状态出发，以离散小步长预测未来0.3s、1.0s和2.0s等时间窗内牵引车与挂车姿态。三个时间窗分别服务于紧急、报警和预警层级；具体窗口、步长和阈值属于可配置参数，需要在封闭场地和真实低速工况中依据提前量与误报警权衡进行整定。</w:t>
      </w:r>
    </w:p>
    <w:p>
      <w:pPr>
        <w:pBdr/>
        <w:spacing w:before="156" w:beforeLines="0" w:line="400" w:lineRule="exact"/>
        <w:ind w:firstLine="420"/>
        <w:rPr>
          <w:rFonts w:ascii="宋体" w:hAnsi="宋体" w:eastAsia="宋体"/>
          <w:sz w:val="24"/>
          <w:szCs w:val="24"/>
          <w:highlight w:val="yellow"/>
        </w:rPr>
      </w:pPr>
      <w:r>
        <w:rPr>
          <w:rFonts w:ascii="宋体" w:hAnsi="宋体" w:eastAsia="宋体"/>
          <w:sz w:val="24"/>
          <w:szCs w:val="24"/>
          <w:highlight w:val="yellow"/>
        </w:rPr>
        <w:t>四、多时间尺度动态扫掠危险区</w:t>
      </w:r>
    </w:p>
    <w:p>
      <w:pPr>
        <w:pBdr/>
        <w:spacing w:before="156" w:beforeLines="0" w:line="400" w:lineRule="exact"/>
        <w:ind w:firstLine="420"/>
        <w:rPr>
          <w:rFonts w:ascii="宋体" w:hAnsi="宋体" w:eastAsia="宋体"/>
          <w:sz w:val="24"/>
          <w:szCs w:val="24"/>
          <w:highlight w:val="yellow"/>
        </w:rPr>
      </w:pPr>
      <w:r>
        <w:rPr>
          <w:rFonts w:ascii="宋体" w:hAnsi="宋体" w:eastAsia="宋体"/>
          <w:sz w:val="24"/>
          <w:szCs w:val="24"/>
          <w:highlight w:val="yellow"/>
        </w:rPr>
        <w:t>（一）关键车辆几何点定义</w:t>
      </w:r>
    </w:p>
    <w:p>
      <w:pPr>
        <w:pBdr/>
        <w:spacing w:before="156" w:beforeLines="0" w:line="400" w:lineRule="exact"/>
        <w:ind w:firstLine="420"/>
        <w:rPr>
          <w:rFonts w:ascii="宋体" w:hAnsi="宋体" w:eastAsia="宋体"/>
          <w:sz w:val="24"/>
          <w:szCs w:val="24"/>
          <w:highlight w:val="yellow"/>
        </w:rPr>
      </w:pPr>
      <w:r>
        <w:rPr>
          <w:rFonts w:ascii="宋体" w:hAnsi="宋体" w:eastAsia="宋体"/>
          <w:sz w:val="24"/>
          <w:szCs w:val="24"/>
          <w:highlight w:val="yellow"/>
        </w:rPr>
        <w:t>模型以牵引车前轴中心A、牵引车后轴中心B、牵引销H和挂车后轴中心T描述铰接结构，并结合牵引车/挂车宽度构造当前车身边界。所有雷达、视觉和北斗信息必须经过外参标定后转换至同一车体或局部世界坐标系。</w:t>
      </w:r>
    </w:p>
    <w:p>
      <w:pPr>
        <w:pBdr/>
        <w:spacing w:before="156" w:beforeLines="0" w:line="400" w:lineRule="exact"/>
        <w:ind w:firstLine="420"/>
        <w:rPr>
          <w:rFonts w:ascii="宋体" w:hAnsi="宋体" w:eastAsia="宋体"/>
          <w:sz w:val="24"/>
          <w:szCs w:val="24"/>
          <w:highlight w:val="yellow"/>
        </w:rPr>
      </w:pPr>
      <w:r>
        <w:rPr>
          <w:rFonts w:ascii="宋体" w:hAnsi="宋体" w:eastAsia="宋体"/>
          <w:sz w:val="24"/>
          <w:szCs w:val="24"/>
          <w:highlight w:val="yellow"/>
        </w:rPr>
        <w:t>（二）右侧车身边界扫掠构造</w:t>
      </w:r>
    </w:p>
    <w:p>
      <w:pPr>
        <w:pBdr/>
        <w:spacing w:before="156" w:beforeLines="0" w:line="400" w:lineRule="exact"/>
        <w:ind w:firstLine="420"/>
        <w:rPr>
          <w:rFonts w:ascii="宋体" w:hAnsi="宋体" w:eastAsia="宋体"/>
          <w:sz w:val="24"/>
          <w:szCs w:val="24"/>
          <w:highlight w:val="yellow"/>
        </w:rPr>
      </w:pPr>
      <w:r>
        <w:rPr>
          <w:rFonts w:ascii="宋体" w:hAnsi="宋体" w:eastAsia="宋体"/>
          <w:sz w:val="24"/>
          <w:szCs w:val="24"/>
          <w:highlight w:val="yellow"/>
        </w:rPr>
        <w:t>在每个预测时刻计算牵引车与挂车右侧边界点，按时间顺序连接形成未来短时扫掠多边形。对可能出现的自相交或外甩区域，需要按明确的多边形规则处理，并保留与实际车身运动一致的危险侧区域。该几何结果可逐点回溯到车辆尺寸、输入状态和预测时间，便于复盘。</w:t>
      </w:r>
    </w:p>
    <w:p>
      <w:pPr>
        <w:pBdr/>
        <w:spacing w:before="156" w:beforeLines="0" w:line="400" w:lineRule="exact"/>
        <w:ind w:firstLine="420"/>
        <w:rPr>
          <w:rFonts w:ascii="宋体" w:hAnsi="宋体" w:eastAsia="宋体"/>
          <w:sz w:val="24"/>
          <w:szCs w:val="24"/>
          <w:highlight w:val="yellow"/>
        </w:rPr>
      </w:pPr>
      <w:r>
        <w:rPr>
          <w:rFonts w:ascii="宋体" w:hAnsi="宋体" w:eastAsia="宋体"/>
          <w:sz w:val="24"/>
          <w:szCs w:val="24"/>
          <w:highlight w:val="yellow"/>
        </w:rPr>
        <w:t>（三）近—中—远多时域风险层</w:t>
      </w:r>
    </w:p>
    <w:p>
      <w:pPr>
        <w:pBdr/>
        <w:spacing w:before="156" w:beforeLines="0" w:line="400" w:lineRule="exact"/>
        <w:ind w:firstLine="420"/>
        <w:rPr>
          <w:rFonts w:ascii="宋体" w:hAnsi="宋体" w:eastAsia="宋体"/>
          <w:sz w:val="24"/>
          <w:szCs w:val="24"/>
          <w:highlight w:val="yellow"/>
        </w:rPr>
      </w:pPr>
      <w:r>
        <w:rPr>
          <w:rFonts w:ascii="宋体" w:hAnsi="宋体" w:eastAsia="宋体"/>
          <w:sz w:val="24"/>
          <w:szCs w:val="24"/>
          <w:highlight w:val="yellow"/>
        </w:rPr>
        <w:t>内部技术路线将0.3s、1.0s和2.0s作为近、中、远三层初始窗口，对应紧急区、报警区和预警区。窗口数值目前属于算法配置，不是国家标准规定值，也不是已经完成实车验证的最佳值；后续需记录各窗口下的首次报警时间、覆盖范围、误报警和漏报警。</w:t>
      </w:r>
    </w:p>
    <w:p>
      <w:pPr>
        <w:pBdr/>
        <w:spacing w:before="156" w:beforeLines="0" w:line="400" w:lineRule="exact"/>
        <w:ind w:firstLine="420"/>
        <w:rPr>
          <w:rFonts w:ascii="宋体" w:hAnsi="宋体" w:eastAsia="宋体"/>
          <w:sz w:val="24"/>
          <w:szCs w:val="24"/>
          <w:highlight w:val="yellow"/>
        </w:rPr>
      </w:pPr>
      <w:r>
        <w:rPr>
          <w:rFonts w:ascii="宋体" w:hAnsi="宋体" w:eastAsia="宋体"/>
          <w:sz w:val="24"/>
          <w:szCs w:val="24"/>
          <w:highlight w:val="yellow"/>
        </w:rPr>
        <w:t>（四）目标判内、当前车身兜底与报警滞回</w:t>
      </w:r>
    </w:p>
    <w:p>
      <w:pPr>
        <w:pBdr/>
        <w:spacing w:before="156" w:beforeLines="0" w:line="400" w:lineRule="exact"/>
        <w:ind w:firstLine="420"/>
        <w:rPr>
          <w:rFonts w:ascii="宋体" w:hAnsi="宋体" w:eastAsia="宋体"/>
          <w:sz w:val="24"/>
          <w:szCs w:val="24"/>
          <w:highlight w:val="yellow"/>
        </w:rPr>
      </w:pPr>
      <w:r>
        <w:rPr>
          <w:rFonts w:ascii="宋体" w:hAnsi="宋体" w:eastAsia="宋体"/>
          <w:sz w:val="24"/>
          <w:szCs w:val="24"/>
          <w:highlight w:val="yellow"/>
        </w:rPr>
        <w:t>目标进入不同时间窗危险区时输出相应风险等级；若目标已位于当前车身占用区，则直接进入最高风险兜底。报警升级与降级采用连续帧和滞回策略，避免目标噪声导致等级频繁跳变。正式验证应对照GB/T 39265—2020相关BSD试验思路，并覆盖深圳盲区风险防控榜单提出的路口右转、前方盲区起步、特殊环境和复杂干扰场景。</w:t>
      </w:r>
    </w:p>
    <w:p>
      <w:pPr>
        <w:pBdr/>
        <w:spacing w:before="156" w:beforeLines="0" w:line="400" w:lineRule="exact"/>
        <w:ind w:firstLine="420"/>
        <w:rPr>
          <w:rFonts w:ascii="宋体" w:hAnsi="宋体" w:eastAsia="宋体"/>
          <w:sz w:val="24"/>
          <w:szCs w:val="24"/>
          <w:highlight w:val="yellow"/>
        </w:rPr>
      </w:pPr>
      <w:r>
        <w:rPr>
          <w:rFonts w:ascii="宋体" w:hAnsi="宋体" w:eastAsia="宋体"/>
          <w:sz w:val="24"/>
          <w:szCs w:val="24"/>
          <w:highlight w:val="yellow"/>
        </w:rPr>
        <w:t>验证依据：GB/T 39265—2020《道路车辆 盲区监测（BSD）系统性能要求及试验方法》；深圳市交通运输局2026年城市工程运输车辆盲区风险防控“揭榜挂帅”需求榜单。以上标准和榜单用于形成测试边界，不代表项目已经通过认证或入围试点。</w:t>
      </w:r>
    </w:p>
    <w:p>
      <w:pPr>
        <w:pBdr/>
        <w:spacing w:before="156" w:beforeLines="0" w:line="400" w:lineRule="exact"/>
        <w:ind w:firstLine="420"/>
        <w:rPr>
          <w:rFonts w:ascii="宋体" w:hAnsi="宋体" w:eastAsia="宋体"/>
          <w:sz w:val="24"/>
          <w:szCs w:val="24"/>
          <w:highlight w:val="yellow"/>
        </w:rPr>
      </w:pPr>
      <w:r>
        <w:rPr>
          <w:rFonts w:ascii="宋体" w:hAnsi="宋体" w:eastAsia="宋体"/>
          <w:sz w:val="24"/>
          <w:szCs w:val="24"/>
          <w:highlight w:val="yellow"/>
        </w:rPr>
        <w:t>五、与市场主流产品的对比</w:t>
      </w:r>
    </w:p>
    <w:p>
      <w:pPr>
        <w:pBdr/>
        <w:snapToGrid w:val="1"/>
        <w:spacing w:before="156" w:after="0" w:line="240"/>
        <w:ind w:left="0" w:right="0" w:firstLine="420"/>
        <w:jc w:val="both"/>
        <w:rPr>
          <w:rFonts w:ascii="宋体" w:hAnsi="宋体" w:eastAsia="宋体" w:cs="宋体"/>
          <w:i w:val="0"/>
          <w:strike w:val="0"/>
          <w:color w:val="000000"/>
          <w:sz w:val="24"/>
          <w:u w:val="none"/>
        </w:rPr>
      </w:pPr>
      <w:r>
        <w:rPr>
          <w:rFonts w:ascii="宋体" w:hAnsi="宋体" w:eastAsia="宋体" w:cs="宋体"/>
          <w:i w:val="0"/>
          <w:strike w:val="0"/>
          <w:color w:val="000000"/>
          <w:sz w:val="24"/>
          <w:u w:val="none"/>
        </w:rPr>
        <w:drawing>
          <wp:inline distT="0" distB="0" distL="0" distR="0">
            <wp:extent cx="5274310" cy="4483164"/>
            <wp:effectExtent l="0" t="0" r="0" b="0"/>
            <wp:docPr id="5" name="picture" descr="descript"/>
            <wp:cNvGraphicFramePr/>
            <a:graphic>
              <a:graphicData uri="http://schemas.openxmlformats.org/drawingml/2006/picture">
                <pic:pic>
                  <pic:nvPicPr>
                    <pic:cNvPr id="6" name="picture" descr="descript"/>
                    <pic:cNvPicPr/>
                  </pic:nvPicPr>
                  <pic:blipFill rotWithShape="1">
                    <a:blip r:embed="rId16"/>
                    <a:stretch/>
                  </pic:blipFill>
                  <pic:spPr>
                    <a:xfrm>
                      <a:off x="0" y="0"/>
                      <a:ext cx="5274310" cy="4483164"/>
                    </a:xfrm>
                    <a:prstGeom prst="rect">
                      <a:avLst/>
                    </a:prstGeom>
                  </pic:spPr>
                </pic:pic>
              </a:graphicData>
            </a:graphic>
          </wp:inline>
        </w:drawing>
      </w:r>
    </w:p>
    <w:p>
      <w:pPr>
        <w:snapToGrid w:val="1"/>
        <w:spacing w:before="156" w:after="0" w:line="240"/>
        <w:ind w:left="0" w:right="0" w:firstLine="420"/>
        <w:jc w:val="both"/>
        <w:rPr/>
      </w:pPr>
      <w:r>
        <w:rPr>
          <w:rFonts w:ascii="宋体" w:hAnsi="宋体" w:eastAsia="宋体" w:cs="宋体"/>
          <w:i w:val="0"/>
          <w:strike w:val="0"/>
          <w:color w:val="000000"/>
          <w:sz w:val="24"/>
          <w:u w:val="none"/>
        </w:rPr>
        <w:t>如图（雷达图）所示，本方案与视觉AI方案、多传感器融合方案在多维度上各有优劣。</w:t>
      </w:r>
    </w:p>
    <w:p>
      <w:pPr>
        <w:snapToGrid w:val="1"/>
        <w:spacing w:before="156" w:after="0" w:line="240"/>
        <w:ind w:left="0" w:right="0" w:firstLine="420"/>
        <w:jc w:val="center"/>
        <w:rPr/>
      </w:pPr>
      <w:r>
        <w:rPr>
          <w:rFonts w:ascii="黑体" w:hAnsi="黑体" w:eastAsia="黑体" w:cs="黑体"/>
          <w:i w:val="0"/>
          <w:strike w:val="0"/>
          <w:color w:val="000000"/>
          <w:sz w:val="18"/>
          <w:u w:val="none"/>
        </w:rPr>
        <w:t>图4-2-1</w:t>
      </w:r>
    </w:p>
    <w:p>
      <w:pPr>
        <w:pBdr>
          <w:bottom/>
        </w:pBdr>
        <w:snapToGrid w:val="1"/>
        <w:spacing w:before="156" w:after="0" w:line="240"/>
        <w:ind w:left="0" w:right="0" w:firstLine="420"/>
        <w:jc w:val="both"/>
        <w:rPr/>
      </w:pPr>
      <w:r>
        <w:rPr>
          <w:rFonts w:ascii="宋体" w:hAnsi="宋体" w:eastAsia="宋体" w:cs="宋体"/>
          <w:i w:val="0"/>
          <w:strike w:val="0"/>
          <w:color w:val="000000"/>
          <w:sz w:val="24"/>
          <w:u w:val="none"/>
        </w:rPr>
        <w:t>下表为详细对比： </w:t>
      </w:r>
    </w:p>
    <w:tbl>
      <w:tblPr>
        <w:tblStyle w:val="0000a0"/>
        <w:tblLayout w:type="fixed"/>
      </w:tblPr>
      <w:tblGrid>
        <w:gridCol w:w="930"/>
        <w:gridCol w:w="2280"/>
        <w:gridCol w:w="2700"/>
        <w:gridCol w:w="2550"/>
      </w:tblGrid>
      <w:tr>
        <w:trPr/>
        <w:tc>
          <w:tcPr>
            <w:tcW w:w="930" w:type="dxa"/>
            <w:tcBorders>
              <w:top w:val="single" w:color="000000" w:sz="8" w:space="0"/>
              <w:left w:val="single" w:color="000000" w:sz="8" w:space="0"/>
              <w:bottom w:val="single" w:color="000000" w:sz="8" w:space="0"/>
              <w:right w:val="single" w:color="000000" w:sz="8" w:space="0"/>
            </w:tcBorders>
            <w:shd w:val="clear" w:color="auto" w:fill="C1E4F5"/>
            <w:tcMar>
              <w:top w:w="150" w:type="dxa"/>
              <w:left w:w="0" w:type="dxa"/>
              <w:bottom w:w="150" w:type="dxa"/>
              <w:right w:w="240" w:type="dxa"/>
            </w:tcMar>
            <w:vAlign w:val="center"/>
          </w:tcPr>
          <w:p>
            <w:pPr>
              <w:snapToGrid w:val="1"/>
              <w:spacing w:before="156" w:after="0" w:line="240"/>
              <w:ind w:left="0" w:right="0"/>
              <w:jc w:val="both"/>
              <w:rPr/>
            </w:pPr>
            <w:r>
              <w:rPr>
                <w:rFonts w:ascii="楷体" w:hAnsi="楷体" w:eastAsia="楷体" w:cs="楷体"/>
                <w:i w:val="0"/>
                <w:strike w:val="0"/>
                <w:color w:val="000000"/>
                <w:spacing w:val="0"/>
                <w:sz w:val="20"/>
                <w:u w:val="none"/>
              </w:rPr>
              <w:t>对比维度</w:t>
            </w:r>
          </w:p>
        </w:tc>
        <w:tc>
          <w:tcPr>
            <w:tcW w:w="2280" w:type="dxa"/>
            <w:tcBorders>
              <w:top w:val="single" w:color="000000" w:sz="8" w:space="0"/>
              <w:left w:val="single" w:color="000000" w:sz="0" w:space="0"/>
              <w:bottom w:val="single" w:color="000000" w:sz="8" w:space="0"/>
              <w:right w:val="single" w:color="000000" w:sz="8" w:space="0"/>
            </w:tcBorders>
            <w:shd w:val="clear" w:color="auto" w:fill="C1E4F5"/>
            <w:tcMar>
              <w:top w:w="150" w:type="dxa"/>
              <w:left w:w="240" w:type="dxa"/>
              <w:bottom w:w="150" w:type="dxa"/>
              <w:right w:w="240" w:type="dxa"/>
            </w:tcMar>
            <w:vAlign w:val="center"/>
          </w:tcPr>
          <w:p>
            <w:pPr>
              <w:snapToGrid w:val="1"/>
              <w:spacing w:before="156" w:after="0" w:line="240"/>
              <w:ind w:left="0" w:right="0"/>
              <w:jc w:val="both"/>
              <w:rPr/>
            </w:pPr>
            <w:r>
              <w:rPr>
                <w:rFonts w:ascii="楷体" w:hAnsi="楷体" w:eastAsia="楷体" w:cs="楷体"/>
                <w:i w:val="0"/>
                <w:strike w:val="0"/>
                <w:color w:val="000000"/>
                <w:spacing w:val="0"/>
                <w:sz w:val="20"/>
                <w:u w:val="none"/>
              </w:rPr>
              <w:t>视觉AI方案（如锐明技术）</w:t>
            </w:r>
          </w:p>
        </w:tc>
        <w:tc>
          <w:tcPr>
            <w:tcW w:w="2700" w:type="dxa"/>
            <w:tcBorders>
              <w:top w:val="single" w:color="000000" w:sz="8" w:space="0"/>
              <w:left w:val="single" w:color="000000" w:sz="0" w:space="0"/>
              <w:bottom w:val="single" w:color="000000" w:sz="8" w:space="0"/>
              <w:right w:val="single" w:color="000000" w:sz="8" w:space="0"/>
            </w:tcBorders>
            <w:shd w:val="clear" w:color="auto" w:fill="C1E4F5"/>
            <w:tcMar>
              <w:top w:w="150" w:type="dxa"/>
              <w:left w:w="240" w:type="dxa"/>
              <w:bottom w:w="150" w:type="dxa"/>
              <w:right w:w="240" w:type="dxa"/>
            </w:tcMar>
            <w:vAlign w:val="center"/>
          </w:tcPr>
          <w:p>
            <w:pPr>
              <w:snapToGrid w:val="1"/>
              <w:spacing w:before="156" w:after="0" w:line="240"/>
              <w:ind w:left="0" w:right="0"/>
              <w:jc w:val="both"/>
              <w:rPr/>
            </w:pPr>
            <w:r>
              <w:rPr>
                <w:rFonts w:ascii="楷体" w:hAnsi="楷体" w:eastAsia="楷体" w:cs="楷体"/>
                <w:i w:val="0"/>
                <w:strike w:val="0"/>
                <w:color w:val="000000"/>
                <w:spacing w:val="0"/>
                <w:sz w:val="20"/>
                <w:u w:val="none"/>
              </w:rPr>
              <w:t>多传感器融合方案（如bitsensing）</w:t>
            </w:r>
          </w:p>
        </w:tc>
        <w:tc>
          <w:tcPr>
            <w:tcW w:w="2550" w:type="dxa"/>
            <w:tcBorders>
              <w:top w:val="single" w:color="000000" w:sz="8" w:space="0"/>
              <w:left w:val="single" w:color="000000" w:sz="0" w:space="0"/>
              <w:bottom w:val="single" w:color="000000" w:sz="8" w:space="0"/>
              <w:right w:val="single" w:color="000000" w:sz="8" w:space="0"/>
            </w:tcBorders>
            <w:shd w:val="clear" w:color="auto" w:fill="C1E4F5"/>
            <w:tcMar>
              <w:top w:w="150" w:type="dxa"/>
              <w:left w:w="240" w:type="dxa"/>
              <w:bottom w:w="150" w:type="dxa"/>
              <w:right w:w="240" w:type="dxa"/>
            </w:tcMar>
            <w:vAlign w:val="center"/>
          </w:tcPr>
          <w:p>
            <w:pPr>
              <w:snapToGrid w:val="1"/>
              <w:spacing w:before="156" w:after="0" w:line="240"/>
              <w:ind w:left="0" w:right="0"/>
              <w:jc w:val="both"/>
              <w:rPr/>
            </w:pPr>
            <w:r>
              <w:rPr>
                <w:rFonts w:ascii="楷体" w:hAnsi="楷体" w:eastAsia="楷体" w:cs="楷体"/>
                <w:i w:val="0"/>
                <w:strike w:val="0"/>
                <w:color w:val="000000"/>
                <w:spacing w:val="0"/>
                <w:sz w:val="20"/>
                <w:u w:val="none"/>
              </w:rPr>
              <w:t>本方案</w:t>
            </w:r>
          </w:p>
        </w:tc>
      </w:tr>
      <w:tr>
        <w:trPr/>
        <w:tc>
          <w:tcPr>
            <w:tcW w:w="930" w:type="dxa"/>
            <w:tcBorders>
              <w:top w:val="single" w:color="000000" w:sz="0" w:space="0"/>
              <w:left w:val="single" w:color="000000" w:sz="8" w:space="0"/>
              <w:bottom w:val="single" w:color="000000" w:sz="8" w:space="0"/>
              <w:right w:val="single" w:color="000000" w:sz="8" w:space="0"/>
            </w:tcBorders>
            <w:shd w:val="clear" w:color="auto" w:fill="C1E4F5"/>
            <w:tcMar>
              <w:top w:w="150" w:type="dxa"/>
              <w:left w:w="0" w:type="dxa"/>
              <w:bottom w:w="150" w:type="dxa"/>
              <w:right w:w="240" w:type="dxa"/>
            </w:tcMar>
            <w:vAlign w:val="center"/>
          </w:tcPr>
          <w:p>
            <w:pPr>
              <w:snapToGrid w:val="1"/>
              <w:spacing w:before="156" w:after="0" w:line="240"/>
              <w:ind w:left="0" w:right="0"/>
              <w:jc w:val="both"/>
              <w:rPr/>
            </w:pPr>
            <w:r>
              <w:rPr>
                <w:rFonts w:ascii="楷体" w:hAnsi="楷体" w:eastAsia="楷体" w:cs="楷体"/>
                <w:i w:val="0"/>
                <w:strike w:val="0"/>
                <w:color w:val="000000"/>
                <w:spacing w:val="0"/>
                <w:sz w:val="20"/>
                <w:u w:val="none"/>
              </w:rPr>
              <w:t>技术路线</w:t>
            </w:r>
          </w:p>
        </w:tc>
        <w:tc>
          <w:tcPr>
            <w:tcW w:w="2280" w:type="dxa"/>
            <w:tcBorders>
              <w:top w:val="single" w:color="000000" w:sz="0" w:space="0"/>
              <w:left w:val="single" w:color="000000" w:sz="0" w:space="0"/>
              <w:bottom w:val="single" w:color="000000" w:sz="8" w:space="0"/>
              <w:right w:val="single" w:color="000000" w:sz="8" w:space="0"/>
            </w:tcBorders>
            <w:tcMar>
              <w:top w:w="150" w:type="dxa"/>
              <w:left w:w="240" w:type="dxa"/>
              <w:bottom w:w="150" w:type="dxa"/>
              <w:right w:w="240" w:type="dxa"/>
            </w:tcMar>
            <w:vAlign w:val="center"/>
          </w:tcPr>
          <w:p>
            <w:pPr>
              <w:snapToGrid w:val="1"/>
              <w:spacing w:before="156" w:after="0" w:line="240"/>
              <w:ind w:left="0" w:right="0"/>
              <w:jc w:val="both"/>
              <w:rPr/>
            </w:pPr>
            <w:r>
              <w:rPr>
                <w:rFonts w:ascii="楷体" w:hAnsi="楷体" w:eastAsia="楷体" w:cs="楷体"/>
                <w:i w:val="0"/>
                <w:strike w:val="0"/>
                <w:color w:val="000000"/>
                <w:spacing w:val="0"/>
                <w:sz w:val="20"/>
                <w:u w:val="none"/>
              </w:rPr>
              <w:t>深度学习识别障碍物</w:t>
            </w:r>
          </w:p>
        </w:tc>
        <w:tc>
          <w:tcPr>
            <w:tcW w:w="2700" w:type="dxa"/>
            <w:tcBorders>
              <w:top w:val="single" w:color="000000" w:sz="0" w:space="0"/>
              <w:left w:val="single" w:color="000000" w:sz="0" w:space="0"/>
              <w:bottom w:val="single" w:color="000000" w:sz="8" w:space="0"/>
              <w:right w:val="single" w:color="000000" w:sz="8" w:space="0"/>
            </w:tcBorders>
            <w:tcMar>
              <w:top w:w="150" w:type="dxa"/>
              <w:left w:w="240" w:type="dxa"/>
              <w:bottom w:w="150" w:type="dxa"/>
              <w:right w:w="240" w:type="dxa"/>
            </w:tcMar>
            <w:vAlign w:val="center"/>
          </w:tcPr>
          <w:p>
            <w:pPr>
              <w:snapToGrid w:val="1"/>
              <w:spacing w:before="156" w:after="0" w:line="240"/>
              <w:ind w:left="0" w:right="0"/>
              <w:jc w:val="both"/>
              <w:rPr/>
            </w:pPr>
            <w:r>
              <w:rPr>
                <w:rFonts w:ascii="楷体" w:hAnsi="楷体" w:eastAsia="楷体" w:cs="楷体"/>
                <w:i w:val="0"/>
                <w:strike w:val="0"/>
                <w:color w:val="000000"/>
                <w:spacing w:val="0"/>
                <w:sz w:val="20"/>
                <w:u w:val="none"/>
              </w:rPr>
              <w:t>雷达+摄像头融合，符合UNECE法规</w:t>
            </w:r>
          </w:p>
        </w:tc>
        <w:tc>
          <w:tcPr>
            <w:tcW w:w="2550" w:type="dxa"/>
            <w:tcBorders>
              <w:top w:val="single" w:color="000000" w:sz="0" w:space="0"/>
              <w:left w:val="single" w:color="000000" w:sz="0" w:space="0"/>
              <w:bottom w:val="single" w:color="000000" w:sz="8" w:space="0"/>
              <w:right w:val="single" w:color="000000" w:sz="8" w:space="0"/>
            </w:tcBorders>
            <w:tcMar>
              <w:top w:w="150" w:type="dxa"/>
              <w:left w:w="240" w:type="dxa"/>
              <w:bottom w:w="150" w:type="dxa"/>
              <w:right w:w="0" w:type="dxa"/>
            </w:tcMar>
            <w:vAlign w:val="center"/>
          </w:tcPr>
          <w:p>
            <w:pPr>
              <w:snapToGrid w:val="1"/>
              <w:spacing w:before="156" w:after="0" w:line="240"/>
              <w:ind w:left="0" w:right="0"/>
              <w:jc w:val="left"/>
              <w:rPr/>
            </w:pPr>
            <w:r>
              <w:rPr>
                <w:rFonts w:ascii="楷体" w:hAnsi="楷体" w:eastAsia="楷体" w:cs="楷体"/>
                <w:i w:val="0"/>
                <w:strike w:val="0"/>
                <w:color w:val="000000"/>
                <w:spacing w:val="0"/>
                <w:sz w:val="20"/>
                <w:u w:val="none"/>
              </w:rPr>
              <w:t>物理几何模型+毫米波雷达</w:t>
            </w:r>
          </w:p>
        </w:tc>
      </w:tr>
      <w:tr>
        <w:trPr/>
        <w:tc>
          <w:tcPr>
            <w:tcW w:w="930" w:type="dxa"/>
            <w:tcBorders>
              <w:top w:val="single" w:color="000000" w:sz="0" w:space="0"/>
              <w:left w:val="single" w:color="000000" w:sz="8" w:space="0"/>
              <w:bottom w:val="single" w:color="000000" w:sz="8" w:space="0"/>
              <w:right w:val="single" w:color="000000" w:sz="8" w:space="0"/>
            </w:tcBorders>
            <w:shd w:val="clear" w:color="auto" w:fill="C1E4F5"/>
            <w:tcMar>
              <w:top w:w="150" w:type="dxa"/>
              <w:left w:w="0" w:type="dxa"/>
              <w:bottom w:w="150" w:type="dxa"/>
              <w:right w:w="240" w:type="dxa"/>
            </w:tcMar>
            <w:vAlign w:val="center"/>
          </w:tcPr>
          <w:p>
            <w:pPr>
              <w:snapToGrid w:val="1"/>
              <w:spacing w:before="156" w:after="0" w:line="240"/>
              <w:ind w:left="0" w:right="0"/>
              <w:jc w:val="both"/>
              <w:rPr/>
            </w:pPr>
            <w:r>
              <w:rPr>
                <w:rFonts w:ascii="楷体" w:hAnsi="楷体" w:eastAsia="楷体" w:cs="楷体"/>
                <w:i w:val="0"/>
                <w:strike w:val="0"/>
                <w:color w:val="000000"/>
                <w:spacing w:val="0"/>
                <w:sz w:val="20"/>
                <w:u w:val="none"/>
              </w:rPr>
              <w:t>工作方式</w:t>
            </w:r>
          </w:p>
        </w:tc>
        <w:tc>
          <w:tcPr>
            <w:tcW w:w="2280" w:type="dxa"/>
            <w:tcBorders>
              <w:top w:val="single" w:color="000000" w:sz="0" w:space="0"/>
              <w:left w:val="single" w:color="000000" w:sz="0" w:space="0"/>
              <w:bottom w:val="single" w:color="000000" w:sz="8" w:space="0"/>
              <w:right w:val="single" w:color="000000" w:sz="8" w:space="0"/>
            </w:tcBorders>
            <w:tcMar>
              <w:top w:w="150" w:type="dxa"/>
              <w:left w:w="240" w:type="dxa"/>
              <w:bottom w:w="150" w:type="dxa"/>
              <w:right w:w="240" w:type="dxa"/>
            </w:tcMar>
            <w:vAlign w:val="center"/>
          </w:tcPr>
          <w:p>
            <w:pPr>
              <w:snapToGrid w:val="1"/>
              <w:spacing w:before="156" w:after="0" w:line="240"/>
              <w:ind w:left="0" w:right="0"/>
              <w:jc w:val="both"/>
              <w:rPr/>
            </w:pPr>
            <w:r>
              <w:rPr>
                <w:rFonts w:ascii="楷体" w:hAnsi="楷体" w:eastAsia="楷体" w:cs="楷体"/>
                <w:i w:val="0"/>
                <w:strike w:val="0"/>
                <w:color w:val="000000"/>
                <w:spacing w:val="0"/>
                <w:sz w:val="20"/>
                <w:u w:val="none"/>
              </w:rPr>
              <w:t>识别当前时刻障碍物</w:t>
            </w:r>
          </w:p>
        </w:tc>
        <w:tc>
          <w:tcPr>
            <w:tcW w:w="2700" w:type="dxa"/>
            <w:tcBorders>
              <w:top w:val="single" w:color="000000" w:sz="0" w:space="0"/>
              <w:left w:val="single" w:color="000000" w:sz="0" w:space="0"/>
              <w:bottom w:val="single" w:color="000000" w:sz="8" w:space="0"/>
              <w:right w:val="single" w:color="000000" w:sz="8" w:space="0"/>
            </w:tcBorders>
            <w:tcMar>
              <w:top w:w="150" w:type="dxa"/>
              <w:left w:w="240" w:type="dxa"/>
              <w:bottom w:w="150" w:type="dxa"/>
              <w:right w:w="240" w:type="dxa"/>
            </w:tcMar>
            <w:vAlign w:val="center"/>
          </w:tcPr>
          <w:p>
            <w:pPr>
              <w:snapToGrid w:val="1"/>
              <w:spacing w:before="156" w:after="0" w:line="240"/>
              <w:ind w:left="0" w:right="0"/>
              <w:jc w:val="both"/>
              <w:rPr/>
            </w:pPr>
            <w:r>
              <w:rPr>
                <w:rFonts w:ascii="楷体" w:hAnsi="楷体" w:eastAsia="楷体" w:cs="楷体"/>
                <w:i w:val="0"/>
                <w:strike w:val="0"/>
                <w:color w:val="000000"/>
                <w:spacing w:val="0"/>
                <w:sz w:val="20"/>
                <w:u w:val="none"/>
              </w:rPr>
              <w:t>识别当前时刻障碍物</w:t>
            </w:r>
          </w:p>
        </w:tc>
        <w:tc>
          <w:tcPr>
            <w:tcW w:w="2550" w:type="dxa"/>
            <w:tcBorders>
              <w:top w:val="single" w:color="000000" w:sz="0" w:space="0"/>
              <w:left w:val="single" w:color="000000" w:sz="0" w:space="0"/>
              <w:bottom w:val="single" w:color="000000" w:sz="8" w:space="0"/>
              <w:right w:val="single" w:color="000000" w:sz="8" w:space="0"/>
            </w:tcBorders>
            <w:tcMar>
              <w:top w:w="150" w:type="dxa"/>
              <w:left w:w="240" w:type="dxa"/>
              <w:bottom w:w="150" w:type="dxa"/>
              <w:right w:w="0" w:type="dxa"/>
            </w:tcMar>
            <w:vAlign w:val="center"/>
          </w:tcPr>
          <w:p>
            <w:pPr>
              <w:snapToGrid w:val="1"/>
              <w:spacing w:before="156" w:after="0" w:line="240"/>
              <w:ind w:left="0" w:right="0"/>
              <w:jc w:val="left"/>
              <w:rPr/>
            </w:pPr>
            <w:r>
              <w:rPr>
                <w:rFonts w:ascii="楷体" w:hAnsi="楷体" w:eastAsia="楷体" w:cs="楷体"/>
                <w:i w:val="0"/>
                <w:strike w:val="0"/>
                <w:color w:val="000000"/>
                <w:spacing w:val="0"/>
                <w:sz w:val="20"/>
                <w:u w:val="none"/>
              </w:rPr>
              <w:t>预测未来1秒危险区域</w:t>
            </w:r>
          </w:p>
        </w:tc>
      </w:tr>
      <w:tr>
        <w:trPr/>
        <w:tc>
          <w:tcPr>
            <w:tcW w:w="930" w:type="dxa"/>
            <w:tcBorders>
              <w:top w:val="single" w:color="000000" w:sz="0" w:space="0"/>
              <w:left w:val="single" w:color="000000" w:sz="8" w:space="0"/>
              <w:bottom w:val="single" w:color="000000" w:sz="8" w:space="0"/>
              <w:right w:val="single" w:color="000000" w:sz="8" w:space="0"/>
            </w:tcBorders>
            <w:shd w:val="clear" w:color="auto" w:fill="C1E4F5"/>
            <w:tcMar>
              <w:top w:w="150" w:type="dxa"/>
              <w:left w:w="0" w:type="dxa"/>
              <w:bottom w:w="150" w:type="dxa"/>
              <w:right w:w="240" w:type="dxa"/>
            </w:tcMar>
            <w:vAlign w:val="center"/>
          </w:tcPr>
          <w:p>
            <w:pPr>
              <w:snapToGrid w:val="1"/>
              <w:spacing w:before="156" w:after="0" w:line="240"/>
              <w:ind w:left="0" w:right="0"/>
              <w:jc w:val="both"/>
              <w:rPr/>
            </w:pPr>
            <w:r>
              <w:rPr>
                <w:rFonts w:ascii="楷体" w:hAnsi="楷体" w:eastAsia="楷体" w:cs="楷体"/>
                <w:i w:val="0"/>
                <w:strike w:val="0"/>
                <w:color w:val="000000"/>
                <w:spacing w:val="0"/>
                <w:sz w:val="20"/>
                <w:u w:val="none"/>
              </w:rPr>
              <w:t>核心优势</w:t>
            </w:r>
          </w:p>
        </w:tc>
        <w:tc>
          <w:tcPr>
            <w:tcW w:w="2280" w:type="dxa"/>
            <w:tcBorders>
              <w:top w:val="single" w:color="000000" w:sz="0" w:space="0"/>
              <w:left w:val="single" w:color="000000" w:sz="0" w:space="0"/>
              <w:bottom w:val="single" w:color="000000" w:sz="8" w:space="0"/>
              <w:right w:val="single" w:color="000000" w:sz="8" w:space="0"/>
            </w:tcBorders>
            <w:tcMar>
              <w:top w:w="150" w:type="dxa"/>
              <w:left w:w="240" w:type="dxa"/>
              <w:bottom w:w="150" w:type="dxa"/>
              <w:right w:w="240" w:type="dxa"/>
            </w:tcMar>
            <w:vAlign w:val="center"/>
          </w:tcPr>
          <w:p>
            <w:pPr>
              <w:snapToGrid w:val="1"/>
              <w:spacing w:before="156" w:after="0" w:line="240"/>
              <w:ind w:left="0" w:right="0"/>
              <w:jc w:val="both"/>
              <w:rPr/>
            </w:pPr>
            <w:r>
              <w:rPr>
                <w:rFonts w:ascii="楷体" w:hAnsi="楷体" w:eastAsia="楷体" w:cs="楷体"/>
                <w:i w:val="0"/>
                <w:strike w:val="0"/>
                <w:color w:val="000000"/>
                <w:spacing w:val="0"/>
                <w:sz w:val="20"/>
                <w:u w:val="none"/>
              </w:rPr>
              <w:t>物体识别能力强，可区分行人与护栏</w:t>
            </w:r>
          </w:p>
        </w:tc>
        <w:tc>
          <w:tcPr>
            <w:tcW w:w="2700" w:type="dxa"/>
            <w:tcBorders>
              <w:top w:val="single" w:color="000000" w:sz="0" w:space="0"/>
              <w:left w:val="single" w:color="000000" w:sz="0" w:space="0"/>
              <w:bottom w:val="single" w:color="000000" w:sz="8" w:space="0"/>
              <w:right w:val="single" w:color="000000" w:sz="8" w:space="0"/>
            </w:tcBorders>
            <w:tcMar>
              <w:top w:w="150" w:type="dxa"/>
              <w:left w:w="240" w:type="dxa"/>
              <w:bottom w:w="150" w:type="dxa"/>
              <w:right w:w="240" w:type="dxa"/>
            </w:tcMar>
            <w:vAlign w:val="center"/>
          </w:tcPr>
          <w:p>
            <w:pPr>
              <w:snapToGrid w:val="1"/>
              <w:spacing w:before="156" w:after="0" w:line="240"/>
              <w:ind w:left="0" w:right="0"/>
              <w:jc w:val="both"/>
              <w:rPr/>
            </w:pPr>
            <w:r>
              <w:rPr>
                <w:rFonts w:ascii="楷体" w:hAnsi="楷体" w:eastAsia="楷体" w:cs="楷体"/>
                <w:i w:val="0"/>
                <w:strike w:val="0"/>
                <w:color w:val="000000"/>
                <w:spacing w:val="0"/>
                <w:sz w:val="20"/>
                <w:u w:val="none"/>
              </w:rPr>
              <w:t>全天候性能好，符合国际法规</w:t>
            </w:r>
          </w:p>
        </w:tc>
        <w:tc>
          <w:tcPr>
            <w:tcW w:w="2550" w:type="dxa"/>
            <w:tcBorders>
              <w:top w:val="single" w:color="000000" w:sz="0" w:space="0"/>
              <w:left w:val="single" w:color="000000" w:sz="0" w:space="0"/>
              <w:bottom w:val="single" w:color="000000" w:sz="8" w:space="0"/>
              <w:right w:val="single" w:color="000000" w:sz="8" w:space="0"/>
            </w:tcBorders>
            <w:tcMar>
              <w:top w:w="150" w:type="dxa"/>
              <w:left w:w="240" w:type="dxa"/>
              <w:bottom w:w="150" w:type="dxa"/>
              <w:right w:w="0" w:type="dxa"/>
            </w:tcMar>
            <w:vAlign w:val="center"/>
          </w:tcPr>
          <w:p>
            <w:pPr>
              <w:snapToGrid w:val="1"/>
              <w:spacing w:before="156" w:after="0" w:line="240"/>
              <w:ind w:left="0" w:right="0"/>
              <w:jc w:val="left"/>
              <w:rPr/>
            </w:pPr>
            <w:r>
              <w:rPr>
                <w:rFonts w:ascii="楷体" w:hAnsi="楷体" w:eastAsia="楷体" w:cs="楷体"/>
                <w:i w:val="0"/>
                <w:strike w:val="0"/>
                <w:color w:val="000000"/>
                <w:spacing w:val="0"/>
                <w:sz w:val="20"/>
                <w:u w:val="none"/>
              </w:rPr>
              <w:t>动态轨迹预测，物理模型可解释</w:t>
            </w:r>
          </w:p>
        </w:tc>
      </w:tr>
      <w:tr>
        <w:trPr/>
        <w:tc>
          <w:tcPr>
            <w:tcW w:w="930" w:type="dxa"/>
            <w:tcBorders>
              <w:top w:val="single" w:color="000000" w:sz="0" w:space="0"/>
              <w:left w:val="single" w:color="000000" w:sz="8" w:space="0"/>
              <w:bottom w:val="single" w:color="000000" w:sz="8" w:space="0"/>
              <w:right w:val="single" w:color="000000" w:sz="8" w:space="0"/>
            </w:tcBorders>
            <w:shd w:val="clear" w:color="auto" w:fill="C1E4F5"/>
            <w:tcMar>
              <w:top w:w="150" w:type="dxa"/>
              <w:left w:w="0" w:type="dxa"/>
              <w:bottom w:w="150" w:type="dxa"/>
              <w:right w:w="240" w:type="dxa"/>
            </w:tcMar>
            <w:vAlign w:val="center"/>
          </w:tcPr>
          <w:p>
            <w:pPr>
              <w:snapToGrid w:val="1"/>
              <w:spacing w:before="156" w:after="0" w:line="240"/>
              <w:ind w:left="0" w:right="0"/>
              <w:jc w:val="both"/>
              <w:rPr/>
            </w:pPr>
            <w:r>
              <w:rPr>
                <w:rFonts w:ascii="楷体" w:hAnsi="楷体" w:eastAsia="楷体" w:cs="楷体"/>
                <w:i w:val="0"/>
                <w:strike w:val="0"/>
                <w:color w:val="000000"/>
                <w:spacing w:val="0"/>
                <w:sz w:val="20"/>
                <w:u w:val="none"/>
              </w:rPr>
              <w:t>硬件成本</w:t>
            </w:r>
          </w:p>
        </w:tc>
        <w:tc>
          <w:tcPr>
            <w:tcW w:w="2280" w:type="dxa"/>
            <w:tcBorders>
              <w:top w:val="single" w:color="000000" w:sz="0" w:space="0"/>
              <w:left w:val="single" w:color="000000" w:sz="0" w:space="0"/>
              <w:bottom w:val="single" w:color="000000" w:sz="8" w:space="0"/>
              <w:right w:val="single" w:color="000000" w:sz="8" w:space="0"/>
            </w:tcBorders>
            <w:tcMar>
              <w:top w:w="150" w:type="dxa"/>
              <w:left w:w="240" w:type="dxa"/>
              <w:bottom w:w="150" w:type="dxa"/>
              <w:right w:w="240" w:type="dxa"/>
            </w:tcMar>
            <w:vAlign w:val="center"/>
          </w:tcPr>
          <w:p>
            <w:pPr>
              <w:snapToGrid w:val="1"/>
              <w:spacing w:before="156" w:after="0" w:line="240"/>
              <w:ind w:left="0" w:right="0"/>
              <w:jc w:val="both"/>
              <w:rPr/>
            </w:pPr>
            <w:r>
              <w:rPr>
                <w:rFonts w:ascii="楷体" w:hAnsi="楷体" w:eastAsia="楷体" w:cs="楷体"/>
                <w:i w:val="0"/>
                <w:strike w:val="0"/>
                <w:color w:val="000000"/>
                <w:spacing w:val="0"/>
                <w:sz w:val="20"/>
                <w:u w:val="none"/>
              </w:rPr>
              <w:t>高（需高算力AI芯片）</w:t>
            </w:r>
          </w:p>
        </w:tc>
        <w:tc>
          <w:tcPr>
            <w:tcW w:w="2700" w:type="dxa"/>
            <w:tcBorders>
              <w:top w:val="single" w:color="000000" w:sz="0" w:space="0"/>
              <w:left w:val="single" w:color="000000" w:sz="0" w:space="0"/>
              <w:bottom w:val="single" w:color="000000" w:sz="8" w:space="0"/>
              <w:right w:val="single" w:color="000000" w:sz="8" w:space="0"/>
            </w:tcBorders>
            <w:tcMar>
              <w:top w:w="150" w:type="dxa"/>
              <w:left w:w="240" w:type="dxa"/>
              <w:bottom w:w="150" w:type="dxa"/>
              <w:right w:w="240" w:type="dxa"/>
            </w:tcMar>
            <w:vAlign w:val="center"/>
          </w:tcPr>
          <w:p>
            <w:pPr>
              <w:snapToGrid w:val="1"/>
              <w:spacing w:before="156" w:after="0" w:line="240"/>
              <w:ind w:left="0" w:right="0"/>
              <w:jc w:val="both"/>
              <w:rPr/>
            </w:pPr>
            <w:r>
              <w:rPr>
                <w:rFonts w:ascii="楷体" w:hAnsi="楷体" w:eastAsia="楷体" w:cs="楷体"/>
                <w:i w:val="0"/>
                <w:strike w:val="0"/>
                <w:color w:val="000000"/>
                <w:spacing w:val="0"/>
                <w:sz w:val="20"/>
                <w:u w:val="none"/>
              </w:rPr>
              <w:t>中高（千元以上）</w:t>
            </w:r>
          </w:p>
        </w:tc>
        <w:tc>
          <w:tcPr>
            <w:tcW w:w="2550" w:type="dxa"/>
            <w:tcBorders>
              <w:top w:val="single" w:color="000000" w:sz="0" w:space="0"/>
              <w:left w:val="single" w:color="000000" w:sz="0" w:space="0"/>
              <w:bottom w:val="single" w:color="000000" w:sz="8" w:space="0"/>
              <w:right w:val="single" w:color="000000" w:sz="8" w:space="0"/>
            </w:tcBorders>
            <w:tcMar>
              <w:top w:w="150" w:type="dxa"/>
              <w:left w:w="240" w:type="dxa"/>
              <w:bottom w:w="150" w:type="dxa"/>
              <w:right w:w="0" w:type="dxa"/>
            </w:tcMar>
            <w:vAlign w:val="center"/>
          </w:tcPr>
          <w:p>
            <w:pPr>
              <w:snapToGrid w:val="1"/>
              <w:spacing w:before="156" w:after="0" w:line="240"/>
              <w:ind w:left="0" w:right="0"/>
              <w:jc w:val="left"/>
              <w:rPr/>
            </w:pPr>
            <w:r>
              <w:rPr>
                <w:rFonts w:ascii="楷体" w:hAnsi="楷体" w:eastAsia="楷体" w:cs="楷体"/>
                <w:i w:val="0"/>
                <w:strike w:val="0"/>
                <w:color w:val="000000"/>
                <w:spacing w:val="0"/>
                <w:sz w:val="20"/>
                <w:u w:val="none"/>
              </w:rPr>
              <w:t>低（BOM成本约228-285元）</w:t>
            </w:r>
          </w:p>
        </w:tc>
      </w:tr>
      <w:tr>
        <w:trPr/>
        <w:tc>
          <w:tcPr>
            <w:tcW w:w="930" w:type="dxa"/>
            <w:tcBorders>
              <w:top w:val="single" w:color="000000" w:sz="0" w:space="0"/>
              <w:left w:val="single" w:color="000000" w:sz="8" w:space="0"/>
              <w:bottom w:val="single" w:color="000000" w:sz="8" w:space="0"/>
              <w:right w:val="single" w:color="000000" w:sz="8" w:space="0"/>
            </w:tcBorders>
            <w:shd w:val="clear" w:color="auto" w:fill="C1E4F5"/>
            <w:tcMar>
              <w:top w:w="150" w:type="dxa"/>
              <w:left w:w="0" w:type="dxa"/>
              <w:bottom w:w="150" w:type="dxa"/>
              <w:right w:w="240" w:type="dxa"/>
            </w:tcMar>
            <w:vAlign w:val="center"/>
          </w:tcPr>
          <w:p>
            <w:pPr>
              <w:snapToGrid w:val="1"/>
              <w:spacing w:before="156" w:after="0" w:line="240"/>
              <w:ind w:left="0" w:right="0"/>
              <w:jc w:val="both"/>
              <w:rPr/>
            </w:pPr>
            <w:r>
              <w:rPr>
                <w:rFonts w:ascii="楷体" w:hAnsi="楷体" w:eastAsia="楷体" w:cs="楷体"/>
                <w:i w:val="0"/>
                <w:strike w:val="0"/>
                <w:color w:val="000000"/>
                <w:spacing w:val="0"/>
                <w:sz w:val="20"/>
                <w:u w:val="none"/>
              </w:rPr>
              <w:t>可解释性</w:t>
            </w:r>
          </w:p>
        </w:tc>
        <w:tc>
          <w:tcPr>
            <w:tcW w:w="2280" w:type="dxa"/>
            <w:tcBorders>
              <w:top w:val="single" w:color="000000" w:sz="0" w:space="0"/>
              <w:left w:val="single" w:color="000000" w:sz="0" w:space="0"/>
              <w:bottom w:val="single" w:color="000000" w:sz="8" w:space="0"/>
              <w:right w:val="single" w:color="000000" w:sz="8" w:space="0"/>
            </w:tcBorders>
            <w:tcMar>
              <w:top w:w="150" w:type="dxa"/>
              <w:left w:w="240" w:type="dxa"/>
              <w:bottom w:w="150" w:type="dxa"/>
              <w:right w:w="240" w:type="dxa"/>
            </w:tcMar>
            <w:vAlign w:val="center"/>
          </w:tcPr>
          <w:p>
            <w:pPr>
              <w:snapToGrid w:val="1"/>
              <w:spacing w:before="156" w:after="0" w:line="240"/>
              <w:ind w:left="0" w:right="0"/>
              <w:jc w:val="both"/>
              <w:rPr/>
            </w:pPr>
            <w:r>
              <w:rPr>
                <w:rFonts w:ascii="楷体" w:hAnsi="楷体" w:eastAsia="楷体" w:cs="楷体"/>
                <w:i w:val="0"/>
                <w:strike w:val="0"/>
                <w:color w:val="000000"/>
                <w:spacing w:val="0"/>
                <w:sz w:val="20"/>
                <w:u w:val="none"/>
              </w:rPr>
              <w:t>黑盒模型，决策逻辑不透明</w:t>
            </w:r>
          </w:p>
        </w:tc>
        <w:tc>
          <w:tcPr>
            <w:tcW w:w="2700" w:type="dxa"/>
            <w:tcBorders>
              <w:top w:val="single" w:color="000000" w:sz="0" w:space="0"/>
              <w:left w:val="single" w:color="000000" w:sz="0" w:space="0"/>
              <w:bottom w:val="single" w:color="000000" w:sz="8" w:space="0"/>
              <w:right w:val="single" w:color="000000" w:sz="8" w:space="0"/>
            </w:tcBorders>
            <w:tcMar>
              <w:top w:w="150" w:type="dxa"/>
              <w:left w:w="240" w:type="dxa"/>
              <w:bottom w:w="150" w:type="dxa"/>
              <w:right w:w="240" w:type="dxa"/>
            </w:tcMar>
            <w:vAlign w:val="center"/>
          </w:tcPr>
          <w:p>
            <w:pPr>
              <w:snapToGrid w:val="1"/>
              <w:spacing w:before="156" w:after="0" w:line="240"/>
              <w:ind w:left="0" w:right="0"/>
              <w:jc w:val="both"/>
              <w:rPr/>
            </w:pPr>
            <w:r>
              <w:rPr>
                <w:rFonts w:ascii="楷体" w:hAnsi="楷体" w:eastAsia="楷体" w:cs="楷体"/>
                <w:i w:val="0"/>
                <w:strike w:val="0"/>
                <w:color w:val="000000"/>
                <w:spacing w:val="0"/>
                <w:sz w:val="20"/>
                <w:u w:val="none"/>
              </w:rPr>
              <w:t>部分可解释</w:t>
            </w:r>
          </w:p>
        </w:tc>
        <w:tc>
          <w:tcPr>
            <w:tcW w:w="2550" w:type="dxa"/>
            <w:tcBorders>
              <w:top w:val="single" w:color="000000" w:sz="0" w:space="0"/>
              <w:left w:val="single" w:color="000000" w:sz="0" w:space="0"/>
              <w:bottom w:val="single" w:color="000000" w:sz="8" w:space="0"/>
              <w:right w:val="single" w:color="000000" w:sz="8" w:space="0"/>
            </w:tcBorders>
            <w:tcMar>
              <w:top w:w="150" w:type="dxa"/>
              <w:left w:w="240" w:type="dxa"/>
              <w:bottom w:w="150" w:type="dxa"/>
              <w:right w:w="0" w:type="dxa"/>
            </w:tcMar>
            <w:vAlign w:val="center"/>
          </w:tcPr>
          <w:p>
            <w:pPr>
              <w:snapToGrid w:val="1"/>
              <w:spacing w:before="156" w:after="0" w:line="240"/>
              <w:ind w:left="0" w:right="0"/>
              <w:jc w:val="left"/>
              <w:rPr/>
            </w:pPr>
            <w:r>
              <w:rPr>
                <w:rFonts w:ascii="楷体" w:hAnsi="楷体" w:eastAsia="楷体" w:cs="楷体"/>
                <w:i w:val="0"/>
                <w:strike w:val="0"/>
                <w:color w:val="000000"/>
                <w:spacing w:val="0"/>
                <w:sz w:val="20"/>
                <w:u w:val="none"/>
              </w:rPr>
              <w:t>白盒模型，基于经典力学原理</w:t>
            </w:r>
          </w:p>
        </w:tc>
      </w:tr>
      <w:tr>
        <w:trPr/>
        <w:tc>
          <w:tcPr>
            <w:tcW w:w="930" w:type="dxa"/>
            <w:tcBorders>
              <w:top w:val="single" w:color="000000" w:sz="0" w:space="0"/>
              <w:left w:val="single" w:color="000000" w:sz="8" w:space="0"/>
              <w:bottom w:val="single" w:color="000000" w:sz="8" w:space="0"/>
              <w:right w:val="single" w:color="000000" w:sz="8" w:space="0"/>
            </w:tcBorders>
            <w:shd w:val="clear" w:color="auto" w:fill="C1E4F5"/>
            <w:tcMar>
              <w:top w:w="150" w:type="dxa"/>
              <w:left w:w="0" w:type="dxa"/>
              <w:bottom w:w="150" w:type="dxa"/>
              <w:right w:w="240" w:type="dxa"/>
            </w:tcMar>
            <w:vAlign w:val="center"/>
          </w:tcPr>
          <w:p>
            <w:pPr>
              <w:snapToGrid w:val="1"/>
              <w:spacing w:before="156" w:after="0" w:line="240"/>
              <w:ind w:left="0" w:right="0"/>
              <w:jc w:val="both"/>
              <w:rPr/>
            </w:pPr>
            <w:r>
              <w:rPr>
                <w:rFonts w:ascii="楷体" w:hAnsi="楷体" w:eastAsia="楷体" w:cs="楷体"/>
                <w:i w:val="0"/>
                <w:strike w:val="0"/>
                <w:color w:val="000000"/>
                <w:spacing w:val="0"/>
                <w:sz w:val="20"/>
                <w:u w:val="none"/>
              </w:rPr>
              <w:t>自适应能力</w:t>
            </w:r>
          </w:p>
        </w:tc>
        <w:tc>
          <w:tcPr>
            <w:tcW w:w="2280" w:type="dxa"/>
            <w:tcBorders>
              <w:top w:val="single" w:color="000000" w:sz="0" w:space="0"/>
              <w:left w:val="single" w:color="000000" w:sz="0" w:space="0"/>
              <w:bottom w:val="single" w:color="000000" w:sz="8" w:space="0"/>
              <w:right w:val="single" w:color="000000" w:sz="8" w:space="0"/>
            </w:tcBorders>
            <w:tcMar>
              <w:top w:w="150" w:type="dxa"/>
              <w:left w:w="240" w:type="dxa"/>
              <w:bottom w:w="150" w:type="dxa"/>
              <w:right w:w="240" w:type="dxa"/>
            </w:tcMar>
            <w:vAlign w:val="center"/>
          </w:tcPr>
          <w:p>
            <w:pPr>
              <w:snapToGrid w:val="1"/>
              <w:spacing w:before="156" w:after="0" w:line="240"/>
              <w:ind w:left="0" w:right="0"/>
              <w:jc w:val="both"/>
              <w:rPr/>
            </w:pPr>
            <w:r>
              <w:rPr>
                <w:rFonts w:ascii="楷体" w:hAnsi="楷体" w:eastAsia="楷体" w:cs="楷体"/>
                <w:i w:val="0"/>
                <w:strike w:val="0"/>
                <w:color w:val="000000"/>
                <w:spacing w:val="0"/>
                <w:sz w:val="20"/>
                <w:u w:val="none"/>
              </w:rPr>
              <w:t>需大量场景训练数据</w:t>
            </w:r>
          </w:p>
        </w:tc>
        <w:tc>
          <w:tcPr>
            <w:tcW w:w="2700" w:type="dxa"/>
            <w:tcBorders>
              <w:top w:val="single" w:color="000000" w:sz="0" w:space="0"/>
              <w:left w:val="single" w:color="000000" w:sz="0" w:space="0"/>
              <w:bottom w:val="single" w:color="000000" w:sz="8" w:space="0"/>
              <w:right w:val="single" w:color="000000" w:sz="8" w:space="0"/>
            </w:tcBorders>
            <w:tcMar>
              <w:top w:w="150" w:type="dxa"/>
              <w:left w:w="240" w:type="dxa"/>
              <w:bottom w:w="150" w:type="dxa"/>
              <w:right w:w="240" w:type="dxa"/>
            </w:tcMar>
            <w:vAlign w:val="center"/>
          </w:tcPr>
          <w:p>
            <w:pPr>
              <w:snapToGrid w:val="1"/>
              <w:spacing w:before="156" w:after="0" w:line="240"/>
              <w:ind w:left="0" w:right="0"/>
              <w:jc w:val="both"/>
              <w:rPr/>
            </w:pPr>
            <w:r>
              <w:rPr>
                <w:rFonts w:ascii="楷体" w:hAnsi="楷体" w:eastAsia="楷体" w:cs="楷体"/>
                <w:i w:val="0"/>
                <w:strike w:val="0"/>
                <w:color w:val="000000"/>
                <w:spacing w:val="0"/>
                <w:sz w:val="20"/>
                <w:u w:val="none"/>
              </w:rPr>
              <w:t>部分需标定</w:t>
            </w:r>
          </w:p>
        </w:tc>
        <w:tc>
          <w:tcPr>
            <w:tcW w:w="2550" w:type="dxa"/>
            <w:tcBorders>
              <w:top w:val="single" w:color="000000" w:sz="0" w:space="0"/>
              <w:left w:val="single" w:color="000000" w:sz="0" w:space="0"/>
              <w:bottom w:val="single" w:color="000000" w:sz="8" w:space="0"/>
              <w:right w:val="single" w:color="000000" w:sz="8" w:space="0"/>
            </w:tcBorders>
            <w:tcMar>
              <w:top w:w="150" w:type="dxa"/>
              <w:left w:w="240" w:type="dxa"/>
              <w:bottom w:w="150" w:type="dxa"/>
              <w:right w:w="0" w:type="dxa"/>
            </w:tcMar>
            <w:vAlign w:val="center"/>
          </w:tcPr>
          <w:p>
            <w:pPr>
              <w:snapToGrid w:val="1"/>
              <w:spacing w:before="156" w:after="0" w:line="240"/>
              <w:ind w:left="0" w:right="0"/>
              <w:jc w:val="left"/>
              <w:rPr/>
            </w:pPr>
            <w:r>
              <w:rPr>
                <w:rFonts w:ascii="楷体" w:hAnsi="楷体" w:eastAsia="楷体" w:cs="楷体"/>
                <w:i w:val="0"/>
                <w:strike w:val="0"/>
                <w:color w:val="000000"/>
                <w:spacing w:val="0"/>
                <w:sz w:val="20"/>
                <w:u w:val="none"/>
              </w:rPr>
              <w:t>基于实时传感器输入，适应不同挂车长度</w:t>
            </w:r>
          </w:p>
        </w:tc>
      </w:tr>
      <w:tr>
        <w:trPr/>
        <w:tc>
          <w:tcPr>
            <w:tcW w:w="930" w:type="dxa"/>
            <w:tcBorders>
              <w:top w:val="single" w:color="000000" w:sz="0" w:space="0"/>
              <w:left w:val="single" w:color="000000" w:sz="8" w:space="0"/>
              <w:bottom w:val="single" w:color="000000" w:sz="8" w:space="0"/>
              <w:right w:val="single" w:color="000000" w:sz="8" w:space="0"/>
            </w:tcBorders>
            <w:shd w:val="clear" w:color="auto" w:fill="C1E4F5"/>
            <w:tcMar>
              <w:top w:w="150" w:type="dxa"/>
              <w:left w:w="0" w:type="dxa"/>
              <w:bottom w:w="150" w:type="dxa"/>
              <w:right w:w="240" w:type="dxa"/>
            </w:tcMar>
            <w:vAlign w:val="center"/>
          </w:tcPr>
          <w:p>
            <w:pPr>
              <w:snapToGrid w:val="1"/>
              <w:spacing w:before="156" w:after="0" w:line="240"/>
              <w:ind w:left="0" w:right="0"/>
              <w:jc w:val="both"/>
              <w:rPr/>
            </w:pPr>
            <w:r>
              <w:rPr>
                <w:rFonts w:ascii="楷体" w:hAnsi="楷体" w:eastAsia="楷体" w:cs="楷体"/>
                <w:i w:val="0"/>
                <w:strike w:val="0"/>
                <w:color w:val="000000"/>
                <w:spacing w:val="0"/>
                <w:sz w:val="20"/>
                <w:u w:val="none"/>
              </w:rPr>
              <w:t>目标识别能力</w:t>
            </w:r>
          </w:p>
        </w:tc>
        <w:tc>
          <w:tcPr>
            <w:tcW w:w="2280" w:type="dxa"/>
            <w:tcBorders>
              <w:top w:val="single" w:color="000000" w:sz="0" w:space="0"/>
              <w:left w:val="single" w:color="000000" w:sz="0" w:space="0"/>
              <w:bottom w:val="single" w:color="000000" w:sz="8" w:space="0"/>
              <w:right w:val="single" w:color="000000" w:sz="8" w:space="0"/>
            </w:tcBorders>
            <w:tcMar>
              <w:top w:w="150" w:type="dxa"/>
              <w:left w:w="240" w:type="dxa"/>
              <w:bottom w:w="150" w:type="dxa"/>
              <w:right w:w="240" w:type="dxa"/>
            </w:tcMar>
            <w:vAlign w:val="center"/>
          </w:tcPr>
          <w:p>
            <w:pPr>
              <w:snapToGrid w:val="1"/>
              <w:spacing w:before="156" w:after="0" w:line="240"/>
              <w:ind w:left="0" w:right="0"/>
              <w:jc w:val="both"/>
              <w:rPr/>
            </w:pPr>
            <w:r>
              <w:rPr>
                <w:rFonts w:ascii="楷体" w:hAnsi="楷体" w:eastAsia="楷体" w:cs="楷体"/>
                <w:i w:val="0"/>
                <w:strike w:val="0"/>
                <w:color w:val="000000"/>
                <w:spacing w:val="0"/>
                <w:sz w:val="20"/>
                <w:u w:val="none"/>
              </w:rPr>
              <w:t>强</w:t>
            </w:r>
          </w:p>
        </w:tc>
        <w:tc>
          <w:tcPr>
            <w:tcW w:w="2700" w:type="dxa"/>
            <w:tcBorders>
              <w:top w:val="single" w:color="000000" w:sz="0" w:space="0"/>
              <w:left w:val="single" w:color="000000" w:sz="0" w:space="0"/>
              <w:bottom w:val="single" w:color="000000" w:sz="8" w:space="0"/>
              <w:right w:val="single" w:color="000000" w:sz="8" w:space="0"/>
            </w:tcBorders>
            <w:tcMar>
              <w:top w:w="150" w:type="dxa"/>
              <w:left w:w="240" w:type="dxa"/>
              <w:bottom w:w="150" w:type="dxa"/>
              <w:right w:w="240" w:type="dxa"/>
            </w:tcMar>
            <w:vAlign w:val="center"/>
          </w:tcPr>
          <w:p>
            <w:pPr>
              <w:snapToGrid w:val="1"/>
              <w:spacing w:before="156" w:after="0" w:line="240"/>
              <w:ind w:left="0" w:right="0"/>
              <w:jc w:val="both"/>
              <w:rPr/>
            </w:pPr>
            <w:r>
              <w:rPr>
                <w:rFonts w:ascii="楷体" w:hAnsi="楷体" w:eastAsia="楷体" w:cs="楷体"/>
                <w:i w:val="0"/>
                <w:strike w:val="0"/>
                <w:color w:val="000000"/>
                <w:spacing w:val="0"/>
                <w:sz w:val="20"/>
                <w:u w:val="none"/>
              </w:rPr>
              <w:t>较强</w:t>
            </w:r>
          </w:p>
        </w:tc>
        <w:tc>
          <w:tcPr>
            <w:tcW w:w="2550" w:type="dxa"/>
            <w:tcBorders>
              <w:top w:val="single" w:color="000000" w:sz="0" w:space="0"/>
              <w:left w:val="single" w:color="000000" w:sz="0" w:space="0"/>
              <w:bottom w:val="single" w:color="000000" w:sz="8" w:space="0"/>
              <w:right w:val="single" w:color="000000" w:sz="8" w:space="0"/>
            </w:tcBorders>
            <w:tcMar>
              <w:top w:w="150" w:type="dxa"/>
              <w:left w:w="240" w:type="dxa"/>
              <w:bottom w:w="150" w:type="dxa"/>
              <w:right w:w="0" w:type="dxa"/>
            </w:tcMar>
            <w:vAlign w:val="center"/>
          </w:tcPr>
          <w:p>
            <w:pPr>
              <w:snapToGrid w:val="1"/>
              <w:spacing w:before="156" w:after="0" w:line="240"/>
              <w:ind w:left="0" w:right="0"/>
              <w:jc w:val="left"/>
              <w:rPr/>
            </w:pPr>
            <w:r>
              <w:rPr>
                <w:rFonts w:ascii="楷体" w:hAnsi="楷体" w:eastAsia="楷体" w:cs="楷体"/>
                <w:i w:val="0"/>
                <w:strike w:val="0"/>
                <w:color w:val="000000"/>
                <w:spacing w:val="0"/>
                <w:sz w:val="20"/>
                <w:u w:val="none"/>
              </w:rPr>
              <w:t>基础（依赖雷达原始点云）</w:t>
            </w:r>
          </w:p>
        </w:tc>
      </w:tr>
    </w:tbl>
    <w:p>
      <w:pPr>
        <w:snapToGrid w:val="1"/>
        <w:spacing w:before="156" w:after="0" w:line="240"/>
        <w:ind w:left="0" w:right="0" w:firstLine="420"/>
        <w:jc w:val="center"/>
        <w:rPr/>
      </w:pPr>
      <w:r>
        <w:rPr>
          <w:rFonts w:ascii="黑体" w:hAnsi="黑体" w:eastAsia="黑体" w:cs="黑体"/>
          <w:i w:val="0"/>
          <w:strike w:val="0"/>
          <w:color w:val="000000"/>
          <w:sz w:val="18"/>
          <w:u w:val="none"/>
        </w:rPr>
        <w:t>表4-2-1</w:t>
      </w:r>
    </w:p>
    <w:p>
      <w:pPr>
        <w:snapToGrid w:val="1"/>
        <w:spacing w:before="156" w:after="0" w:line="240"/>
        <w:ind w:left="0" w:right="0"/>
        <w:jc w:val="both"/>
        <w:rPr/>
      </w:pPr>
      <w:r>
        <w:rPr>
          <w:rFonts w:ascii="黑体" w:hAnsi="黑体" w:eastAsia="黑体" w:cs="黑体"/>
          <w:b w:val="1"/>
          <w:i w:val="0"/>
          <w:strike w:val="0"/>
          <w:color w:val="000000"/>
          <w:sz w:val="28"/>
          <w:u w:val="none"/>
        </w:rPr>
        <w:t> </w:t>
      </w:r>
    </w:p>
    <w:p>
      <w:pPr>
        <w:snapToGrid w:val="1"/>
        <w:spacing w:before="156" w:after="0" w:line="240"/>
        <w:ind w:left="0" w:right="0"/>
        <w:jc w:val="both"/>
        <w:rPr/>
      </w:pPr>
      <w:r>
        <w:rPr>
          <w:rFonts w:ascii="黑体" w:hAnsi="黑体" w:eastAsia="黑体" w:cs="黑体"/>
          <w:b w:val="1"/>
          <w:i w:val="0"/>
          <w:strike w:val="0"/>
          <w:color w:val="000000"/>
          <w:sz w:val="28"/>
          <w:u w:val="none"/>
        </w:rPr>
        <w:t> </w:t>
      </w:r>
    </w:p>
    <w:p>
      <w:pPr>
        <w:snapToGrid w:val="1"/>
        <w:spacing w:before="156" w:after="0" w:line="240"/>
        <w:ind w:left="0" w:right="0"/>
        <w:jc w:val="both"/>
        <w:rPr/>
      </w:pPr>
      <w:r>
        <w:rPr>
          <w:rFonts w:ascii="黑体" w:hAnsi="黑体" w:eastAsia="黑体" w:cs="黑体"/>
          <w:b w:val="1"/>
          <w:i w:val="0"/>
          <w:strike w:val="0"/>
          <w:color w:val="000000"/>
          <w:sz w:val="28"/>
          <w:u w:val="none"/>
        </w:rPr>
        <w:t> </w:t>
      </w:r>
    </w:p>
    <w:p>
      <w:pPr>
        <w:snapToGrid w:val="1"/>
        <w:spacing w:before="156" w:after="0" w:line="240"/>
        <w:ind w:left="0" w:right="0"/>
        <w:jc w:val="both"/>
        <w:rPr/>
      </w:pPr>
      <w:r>
        <w:rPr>
          <w:rFonts w:ascii="黑体" w:hAnsi="黑体" w:eastAsia="黑体" w:cs="黑体"/>
          <w:b w:val="1"/>
          <w:i w:val="0"/>
          <w:strike w:val="0"/>
          <w:color w:val="000000"/>
          <w:sz w:val="28"/>
          <w:u w:val="none"/>
        </w:rPr>
        <w:t> </w:t>
      </w:r>
    </w:p>
    <w:p>
      <w:pPr>
        <w:snapToGrid w:val="1"/>
        <w:spacing w:before="156" w:after="0" w:line="240"/>
        <w:ind w:left="0" w:right="0"/>
        <w:jc w:val="both"/>
        <w:rPr/>
      </w:pPr>
      <w:r>
        <w:rPr>
          <w:rFonts w:ascii="黑体" w:hAnsi="黑体" w:eastAsia="黑体" w:cs="黑体"/>
          <w:b w:val="1"/>
          <w:i w:val="0"/>
          <w:strike w:val="0"/>
          <w:color w:val="000000"/>
          <w:sz w:val="28"/>
          <w:u w:val="none"/>
        </w:rPr>
        <w:t> </w:t>
      </w:r>
    </w:p>
    <w:p>
      <w:pPr>
        <w:snapToGrid w:val="1"/>
        <w:spacing w:before="156" w:after="0" w:line="240"/>
        <w:ind w:left="0" w:right="0"/>
        <w:jc w:val="both"/>
        <w:rPr/>
      </w:pPr>
      <w:r>
        <w:rPr>
          <w:rFonts w:ascii="黑体" w:hAnsi="黑体" w:eastAsia="黑体" w:cs="黑体"/>
          <w:b w:val="1"/>
          <w:i w:val="0"/>
          <w:strike w:val="0"/>
          <w:color w:val="000000"/>
          <w:sz w:val="28"/>
          <w:u w:val="none"/>
        </w:rPr>
        <w:t> </w:t>
      </w:r>
    </w:p>
    <w:p>
      <w:pPr>
        <w:pBdr/>
        <w:spacing w:before="156" w:beforeLines="50"/>
        <w:ind w:firstLine="420"/>
        <w:rPr>
          <w:rFonts w:ascii="宋体" w:hAnsi="宋体" w:eastAsia="宋体"/>
          <w:sz w:val="24"/>
          <w:szCs w:val="24"/>
        </w:rPr>
      </w:pPr>
      <w:r>
        <w:rPr>
          <w:rFonts w:ascii="宋体" w:hAnsi="宋体" w:eastAsia="宋体"/>
          <w:sz w:val="24"/>
          <w:szCs w:val="24"/>
        </w:rPr>
        <w:t>六、核心优势</w:t>
      </w:r>
    </w:p>
    <w:p>
      <w:pPr>
        <w:pBdr/>
        <w:spacing w:before="156" w:beforeLines="50"/>
        <w:ind w:firstLine="420"/>
        <w:rPr>
          <w:rFonts w:ascii="宋体" w:hAnsi="宋体" w:eastAsia="宋体"/>
          <w:sz w:val="24"/>
          <w:szCs w:val="24"/>
        </w:rPr>
      </w:pPr>
      <w:r>
        <w:rPr>
          <w:rFonts w:ascii="宋体" w:hAnsi="宋体" w:eastAsia="宋体"/>
          <w:sz w:val="24"/>
          <w:szCs w:val="24"/>
        </w:rPr>
        <w:t>本产品核心竞争力源于对车辆运动学本质的深刻理解，以及算法与硬件的协同优化。以下四大优势共同构成了项目的技术壁垒与市场护城河。</w:t>
      </w:r>
    </w:p>
    <w:p>
      <w:pPr>
        <w:pBdr/>
        <w:spacing w:before="156" w:beforeLines="50"/>
        <w:ind w:firstLine="420"/>
        <w:rPr>
          <w:rFonts w:ascii="宋体" w:hAnsi="宋体" w:eastAsia="宋体"/>
          <w:sz w:val="24"/>
          <w:szCs w:val="24"/>
        </w:rPr>
      </w:pPr>
      <w:r>
        <w:rPr>
          <w:rFonts w:ascii="宋体" w:hAnsi="宋体" w:eastAsia="宋体"/>
          <w:sz w:val="24"/>
          <w:szCs w:val="24"/>
        </w:rPr>
        <w:t>（一）以铰接车辆短时扫掠区作为重点研究方向。</w:t>
      </w:r>
    </w:p>
    <w:p>
      <w:pPr>
        <w:pBdr/>
        <w:spacing w:before="156" w:beforeLines="50"/>
        <w:ind w:firstLine="420"/>
        <w:rPr>
          <w:rFonts w:ascii="宋体" w:hAnsi="宋体" w:eastAsia="宋体"/>
          <w:sz w:val="24"/>
          <w:szCs w:val="24"/>
        </w:rPr>
      </w:pPr>
      <w:r>
        <w:rPr>
          <w:rFonts w:ascii="宋体" w:hAnsi="宋体" w:eastAsia="宋体"/>
          <w:sz w:val="24"/>
          <w:szCs w:val="24"/>
        </w:rPr>
        <w:t>本项目的计划差异点是显式输入车速、转向角和铰接角，预测牵引车与挂车未来短时占用空间。但不能再表述为“所有竞品都只做静态区域识别”：锐明CA24S官网已经披露结合车辆运动状态分析并预测碰撞危险，Mobileye等方案也使用路径或时间到碰撞信息。项目是否具有更完整的铰接耦合和车身扫掠表达，需要通过技术资料和统一实验验证。</w:t>
      </w:r>
    </w:p>
    <w:p>
      <w:pPr>
        <w:pBdr/>
        <w:spacing w:before="156" w:beforeLines="50"/>
        <w:ind w:firstLine="420"/>
        <w:rPr>
          <w:rFonts w:ascii="宋体" w:hAnsi="宋体" w:eastAsia="宋体"/>
          <w:sz w:val="24"/>
          <w:szCs w:val="24"/>
        </w:rPr>
      </w:pPr>
      <w:r>
        <w:rPr>
          <w:rFonts w:ascii="宋体" w:hAnsi="宋体" w:eastAsia="宋体"/>
          <w:sz w:val="24"/>
          <w:szCs w:val="24"/>
        </w:rPr>
        <w:t>（二）轻量化样机与成本可拆解。</w:t>
      </w:r>
    </w:p>
    <w:p>
      <w:pPr>
        <w:pBdr/>
        <w:spacing w:before="156" w:beforeLines="50"/>
        <w:ind w:firstLine="420"/>
        <w:rPr>
          <w:rFonts w:ascii="宋体" w:hAnsi="宋体" w:eastAsia="宋体"/>
          <w:sz w:val="24"/>
          <w:szCs w:val="24"/>
        </w:rPr>
      </w:pPr>
      <w:r>
        <w:rPr>
          <w:rFonts w:ascii="宋体" w:hAnsi="宋体" w:eastAsia="宋体"/>
          <w:sz w:val="24"/>
          <w:szCs w:val="24"/>
        </w:rPr>
        <w:t>当前方案以ESP32-S3和模块化传感器构成研发样机，基础版样机物料估算约807.8元，北斗增强物料增量约1148元；计入制造、安装、物流、售后和首年服务后，北斗增强版不含渠道完整成本的基准测算约3099.864元。以上均为零售参考与B岗假设，不是量产报价。20ms/50Hz属于设计目标，须由目标硬件日志确认。</w:t>
      </w:r>
    </w:p>
    <w:p>
      <w:pPr>
        <w:pBdr/>
        <w:spacing w:before="156" w:beforeLines="50"/>
        <w:ind w:firstLine="420"/>
        <w:rPr>
          <w:rFonts w:ascii="宋体" w:hAnsi="宋体" w:eastAsia="宋体"/>
          <w:sz w:val="24"/>
          <w:szCs w:val="24"/>
        </w:rPr>
      </w:pPr>
      <w:r>
        <w:rPr>
          <w:rFonts w:ascii="宋体" w:hAnsi="宋体" w:eastAsia="宋体"/>
          <w:sz w:val="24"/>
          <w:szCs w:val="24"/>
        </w:rPr>
        <w:t>（三）物理模型可追溯，有利于验证但不等同于认证。</w:t>
      </w:r>
    </w:p>
    <w:p>
      <w:pPr>
        <w:pBdr/>
        <w:spacing w:before="156" w:beforeLines="50"/>
        <w:ind w:firstLine="420"/>
        <w:rPr>
          <w:rFonts w:ascii="宋体" w:hAnsi="宋体" w:eastAsia="宋体"/>
          <w:sz w:val="24"/>
          <w:szCs w:val="24"/>
        </w:rPr>
      </w:pPr>
      <w:r>
        <w:rPr>
          <w:rFonts w:ascii="宋体" w:hAnsi="宋体" w:eastAsia="宋体"/>
          <w:sz w:val="24"/>
          <w:szCs w:val="24"/>
        </w:rPr>
        <w:t>运动学递推和扫掠区结果可以回溯到车辆尺寸、车速、转角、铰接角与时间窗，便于定位报警原因和复现实验。这种可解释性有助于测试、整改和安全论证，但项目尚未完成ISO 26262、EMC、温振、防护等级或其他车载认证，不能把模型可解释直接写成“已具备认证基础”或“可进入强制采购目录”。</w:t>
      </w:r>
    </w:p>
    <w:p>
      <w:pPr>
        <w:pBdr/>
        <w:spacing w:before="156" w:beforeLines="50"/>
        <w:ind w:firstLine="420"/>
        <w:rPr>
          <w:rFonts w:ascii="宋体" w:hAnsi="宋体" w:eastAsia="宋体"/>
          <w:sz w:val="24"/>
          <w:szCs w:val="24"/>
        </w:rPr>
      </w:pPr>
      <w:r>
        <w:rPr>
          <w:rFonts w:ascii="宋体" w:hAnsi="宋体" w:eastAsia="宋体"/>
          <w:sz w:val="24"/>
          <w:szCs w:val="24"/>
        </w:rPr>
        <w:t>（四）通过参数化适配降低车型迁移工作量。</w:t>
      </w:r>
    </w:p>
    <w:p>
      <w:pPr>
        <w:pBdr/>
        <w:spacing w:before="156" w:beforeLines="50"/>
        <w:ind w:firstLine="420"/>
        <w:rPr>
          <w:rFonts w:ascii="宋体" w:hAnsi="宋体" w:eastAsia="宋体"/>
          <w:sz w:val="24"/>
          <w:szCs w:val="24"/>
        </w:rPr>
      </w:pPr>
      <w:r>
        <w:rPr>
          <w:rFonts w:ascii="宋体" w:hAnsi="宋体" w:eastAsia="宋体"/>
          <w:sz w:val="24"/>
          <w:szCs w:val="24"/>
        </w:rPr>
        <w:t>模型能够通过车辆轴距、牵引销偏置、挂车长度和宽度等参数适配不同车辆，但传感器安装位置、转角零点、铰接角映射、雷达/视觉外参和CAN协议仍需车型配置与标定。因此现阶段不使用“即插即用、无需每车调试”的表述，工程目标应是形成标准安装包、车型参数模板和可复核的标定流程。</w:t>
      </w:r>
    </w:p>
    <w:p>
      <w:pPr>
        <w:pBdr/>
        <w:spacing w:before="156" w:beforeLines="50"/>
        <w:ind w:firstLine="420"/>
        <w:rPr>
          <w:rFonts w:ascii="宋体" w:hAnsi="宋体" w:eastAsia="宋体"/>
          <w:sz w:val="24"/>
          <w:szCs w:val="24"/>
        </w:rPr>
      </w:pPr>
      <w:r>
        <w:rPr>
          <w:rFonts w:ascii="宋体" w:hAnsi="宋体" w:eastAsia="宋体"/>
          <w:sz w:val="24"/>
          <w:szCs w:val="24"/>
        </w:rPr>
        <w:t>上述四点是当前研发方向，而不是已经全部完成的商业壁垒。短期应优先完成目标硬件实时性、扫掠区边界误差、报警提前量、误报警/漏报警、安装标定工时和环境可靠性验证；只有在形成原始日志、对标实验与正式报价后，才能将其转化为可量化竞争优势。</w:t>
      </w:r>
    </w:p>
    <w:p>
      <w:pPr>
        <w:pBdr/>
        <w:spacing w:before="156" w:beforeLines="50"/>
        <w:ind w:firstLine="420"/>
        <w:rPr>
          <w:rFonts w:ascii="宋体" w:hAnsi="宋体" w:eastAsia="宋体"/>
          <w:sz w:val="24"/>
          <w:szCs w:val="24"/>
        </w:rPr>
      </w:pPr>
      <w:r>
        <w:rPr>
          <w:rFonts w:ascii="宋体" w:hAnsi="宋体" w:eastAsia="宋体"/>
          <w:sz w:val="24"/>
          <w:szCs w:val="24"/>
        </w:rPr>
        <w:t>图4-3-1</w:t>
      </w:r>
    </w:p>
    <w:p>
      <w:pPr>
        <w:pBdr/>
        <w:spacing w:before="156" w:beforeLines="50"/>
        <w:ind w:firstLine="420"/>
        <w:rPr>
          <w:rFonts w:ascii="宋体" w:hAnsi="宋体" w:eastAsia="宋体"/>
          <w:sz w:val="24"/>
          <w:szCs w:val="24"/>
        </w:rPr>
      </w:pPr>
      <w:r>
        <w:rPr>
          <w:rFonts w:ascii="宋体" w:hAnsi="宋体" w:eastAsia="宋体"/>
          <w:sz w:val="24"/>
          <w:szCs w:val="24"/>
        </w:rPr>
        <w:t>七、迭代与更新</w:t>
      </w:r>
    </w:p>
    <w:tbl>
      <w:tblPr>
        <w:tblStyle w:val="0000a0"/>
        <w:tblLayout w:type="fixed"/>
      </w:tblPr>
      <w:tblGrid>
        <w:gridCol w:w="1275"/>
        <w:gridCol w:w="3495"/>
        <w:gridCol w:w="3495"/>
      </w:tblGrid>
      <w:tr>
        <w:trPr/>
        <w:tc>
          <w:tcPr>
            <w:tcW w:w="1275" w:type="dxa"/>
            <w:tcBorders>
              <w:top w:val="single" w:color="000000" w:sz="8" w:space="0"/>
              <w:left w:val="single" w:color="000000" w:sz="8" w:space="0"/>
              <w:bottom w:val="single" w:color="000000" w:sz="8" w:space="0"/>
              <w:right w:val="single" w:color="000000" w:sz="8" w:space="0"/>
            </w:tcBorders>
            <w:shd w:val="clear" w:color="auto" w:fill="C1E4F5"/>
            <w:tcMar>
              <w:top w:w="150" w:type="dxa"/>
              <w:left w:w="0" w:type="dxa"/>
              <w:bottom w:w="150" w:type="dxa"/>
              <w:right w:w="240" w:type="dxa"/>
            </w:tcMar>
            <w:vAlign w:val="center"/>
          </w:tcPr>
          <w:p>
            <w:pPr>
              <w:snapToGrid w:val="1"/>
              <w:spacing w:before="156" w:after="0" w:line="240"/>
              <w:ind w:left="0" w:right="0"/>
              <w:jc w:val="both"/>
              <w:rPr/>
            </w:pPr>
            <w:r>
              <w:rPr>
                <w:rFonts w:ascii="楷体" w:hAnsi="楷体" w:eastAsia="楷体" w:cs="楷体"/>
                <w:i w:val="0"/>
                <w:strike w:val="0"/>
                <w:color w:val="000000"/>
                <w:spacing w:val="0"/>
                <w:sz w:val="20"/>
                <w:u w:val="none"/>
              </w:rPr>
              <w:t>当前局限</w:t>
            </w:r>
          </w:p>
        </w:tc>
        <w:tc>
          <w:tcPr>
            <w:tcW w:w="3495" w:type="dxa"/>
            <w:tcBorders>
              <w:top w:val="single" w:color="000000" w:sz="8" w:space="0"/>
              <w:left w:val="single" w:color="000000" w:sz="0" w:space="0"/>
              <w:bottom w:val="single" w:color="000000" w:sz="8" w:space="0"/>
              <w:right w:val="single" w:color="000000" w:sz="8" w:space="0"/>
            </w:tcBorders>
            <w:shd w:val="clear" w:color="auto" w:fill="C1E4F5"/>
            <w:tcMar>
              <w:top w:w="150" w:type="dxa"/>
              <w:left w:w="240" w:type="dxa"/>
              <w:bottom w:w="150" w:type="dxa"/>
              <w:right w:w="240" w:type="dxa"/>
            </w:tcMar>
            <w:vAlign w:val="center"/>
          </w:tcPr>
          <w:p>
            <w:pPr>
              <w:snapToGrid w:val="1"/>
              <w:spacing w:before="156" w:after="0" w:line="240"/>
              <w:ind w:left="0" w:right="0"/>
              <w:jc w:val="both"/>
              <w:rPr/>
            </w:pPr>
            <w:r>
              <w:rPr>
                <w:rFonts w:ascii="楷体" w:hAnsi="楷体" w:eastAsia="楷体" w:cs="楷体"/>
                <w:i w:val="0"/>
                <w:strike w:val="0"/>
                <w:color w:val="000000"/>
                <w:spacing w:val="0"/>
                <w:sz w:val="20"/>
                <w:u w:val="none"/>
              </w:rPr>
              <w:t>说明</w:t>
            </w:r>
          </w:p>
        </w:tc>
        <w:tc>
          <w:tcPr>
            <w:tcW w:w="3495" w:type="dxa"/>
            <w:tcBorders>
              <w:top w:val="single" w:color="000000" w:sz="8" w:space="0"/>
              <w:left w:val="single" w:color="000000" w:sz="0" w:space="0"/>
              <w:bottom w:val="single" w:color="000000" w:sz="8" w:space="0"/>
              <w:right w:val="single" w:color="000000" w:sz="8" w:space="0"/>
            </w:tcBorders>
            <w:shd w:val="clear" w:color="auto" w:fill="C1E4F5"/>
            <w:tcMar>
              <w:top w:w="150" w:type="dxa"/>
              <w:left w:w="240" w:type="dxa"/>
              <w:bottom w:w="150" w:type="dxa"/>
              <w:right w:w="240" w:type="dxa"/>
            </w:tcMar>
            <w:vAlign w:val="center"/>
          </w:tcPr>
          <w:p>
            <w:pPr>
              <w:snapToGrid w:val="1"/>
              <w:spacing w:before="156" w:after="0" w:line="240"/>
              <w:ind w:left="0" w:right="0"/>
              <w:jc w:val="both"/>
              <w:rPr/>
            </w:pPr>
            <w:r>
              <w:rPr>
                <w:rFonts w:ascii="楷体" w:hAnsi="楷体" w:eastAsia="楷体" w:cs="楷体"/>
                <w:i w:val="0"/>
                <w:strike w:val="0"/>
                <w:color w:val="000000"/>
                <w:spacing w:val="0"/>
                <w:sz w:val="20"/>
                <w:u w:val="none"/>
              </w:rPr>
              <w:t>应对策略</w:t>
            </w:r>
          </w:p>
        </w:tc>
      </w:tr>
      <w:tr>
        <w:trPr/>
        <w:tc>
          <w:tcPr>
            <w:tcW w:w="1275" w:type="dxa"/>
            <w:tcBorders>
              <w:top w:val="single" w:color="000000" w:sz="0" w:space="0"/>
              <w:left w:val="single" w:color="000000" w:sz="8" w:space="0"/>
              <w:bottom w:val="single" w:color="000000" w:sz="8" w:space="0"/>
              <w:right w:val="single" w:color="000000" w:sz="8" w:space="0"/>
            </w:tcBorders>
            <w:shd w:val="clear" w:color="auto" w:fill="C1E4F5"/>
            <w:tcMar>
              <w:top w:w="150" w:type="dxa"/>
              <w:left w:w="0" w:type="dxa"/>
              <w:bottom w:w="150" w:type="dxa"/>
              <w:right w:w="240" w:type="dxa"/>
            </w:tcMar>
            <w:vAlign w:val="center"/>
          </w:tcPr>
          <w:p>
            <w:pPr>
              <w:snapToGrid w:val="1"/>
              <w:spacing w:before="156" w:after="0" w:line="240"/>
              <w:ind w:left="0" w:right="0"/>
              <w:jc w:val="both"/>
              <w:rPr/>
            </w:pPr>
            <w:r>
              <w:rPr>
                <w:rFonts w:ascii="楷体" w:hAnsi="楷体" w:eastAsia="楷体" w:cs="楷体"/>
                <w:i w:val="0"/>
                <w:strike w:val="0"/>
                <w:color w:val="000000"/>
                <w:spacing w:val="0"/>
                <w:sz w:val="20"/>
                <w:u w:val="none"/>
              </w:rPr>
              <w:t>目标识别能力有限</w:t>
            </w:r>
          </w:p>
        </w:tc>
        <w:tc>
          <w:tcPr>
            <w:tcW w:w="3495" w:type="dxa"/>
            <w:tcBorders>
              <w:top w:val="single" w:color="000000" w:sz="0" w:space="0"/>
              <w:left w:val="single" w:color="000000" w:sz="0" w:space="0"/>
              <w:bottom w:val="single" w:color="000000" w:sz="8" w:space="0"/>
              <w:right w:val="single" w:color="000000" w:sz="8" w:space="0"/>
            </w:tcBorders>
            <w:tcMar>
              <w:top w:w="150" w:type="dxa"/>
              <w:left w:w="240" w:type="dxa"/>
              <w:bottom w:w="150" w:type="dxa"/>
              <w:right w:w="240" w:type="dxa"/>
            </w:tcMar>
            <w:vAlign w:val="center"/>
          </w:tcPr>
          <w:p>
            <w:pPr>
              <w:snapToGrid w:val="1"/>
              <w:spacing w:before="156" w:after="0" w:line="240"/>
              <w:ind w:left="0" w:right="0"/>
              <w:jc w:val="both"/>
              <w:rPr/>
            </w:pPr>
            <w:r>
              <w:rPr>
                <w:rFonts w:ascii="楷体" w:hAnsi="楷体" w:eastAsia="楷体" w:cs="楷体"/>
                <w:i w:val="0"/>
                <w:strike w:val="0"/>
                <w:color w:val="000000"/>
                <w:spacing w:val="0"/>
                <w:sz w:val="20"/>
                <w:u w:val="none"/>
              </w:rPr>
              <w:t>纯雷达方案难以精准区分行人与护栏等障碍物类型</w:t>
            </w:r>
          </w:p>
        </w:tc>
        <w:tc>
          <w:tcPr>
            <w:tcW w:w="3495" w:type="dxa"/>
            <w:tcBorders>
              <w:top w:val="single" w:color="000000" w:sz="0" w:space="0"/>
              <w:left w:val="single" w:color="000000" w:sz="0" w:space="0"/>
              <w:bottom w:val="single" w:color="000000" w:sz="8" w:space="0"/>
              <w:right w:val="single" w:color="000000" w:sz="8" w:space="0"/>
            </w:tcBorders>
            <w:tcMar>
              <w:top w:w="150" w:type="dxa"/>
              <w:left w:w="240" w:type="dxa"/>
              <w:bottom w:w="150" w:type="dxa"/>
              <w:right w:w="0" w:type="dxa"/>
            </w:tcMar>
            <w:vAlign w:val="center"/>
          </w:tcPr>
          <w:p>
            <w:pPr>
              <w:snapToGrid w:val="1"/>
              <w:spacing w:before="156" w:after="0" w:line="240"/>
              <w:ind w:left="0" w:right="0"/>
              <w:jc w:val="left"/>
              <w:rPr/>
            </w:pPr>
            <w:r>
              <w:rPr>
                <w:rFonts w:ascii="楷体" w:hAnsi="楷体" w:eastAsia="楷体" w:cs="楷体"/>
                <w:i w:val="0"/>
                <w:strike w:val="0"/>
                <w:color w:val="000000"/>
                <w:spacing w:val="0"/>
                <w:sz w:val="20"/>
                <w:u w:val="none"/>
              </w:rPr>
              <w:t>初期聚焦对成本敏感场景；未来规划增加视觉融合模块</w:t>
            </w:r>
          </w:p>
        </w:tc>
      </w:tr>
      <w:tr>
        <w:trPr/>
        <w:tc>
          <w:tcPr>
            <w:tcW w:w="1275" w:type="dxa"/>
            <w:tcBorders>
              <w:top w:val="single" w:color="000000" w:sz="0" w:space="0"/>
              <w:left w:val="single" w:color="000000" w:sz="8" w:space="0"/>
              <w:bottom w:val="single" w:color="000000" w:sz="8" w:space="0"/>
              <w:right w:val="single" w:color="000000" w:sz="8" w:space="0"/>
            </w:tcBorders>
            <w:shd w:val="clear" w:color="auto" w:fill="C1E4F5"/>
            <w:tcMar>
              <w:top w:w="150" w:type="dxa"/>
              <w:left w:w="0" w:type="dxa"/>
              <w:bottom w:w="150" w:type="dxa"/>
              <w:right w:w="240" w:type="dxa"/>
            </w:tcMar>
            <w:vAlign w:val="center"/>
          </w:tcPr>
          <w:p>
            <w:pPr>
              <w:snapToGrid w:val="1"/>
              <w:spacing w:before="156" w:after="0" w:line="240"/>
              <w:ind w:left="0" w:right="0"/>
              <w:jc w:val="both"/>
              <w:rPr/>
            </w:pPr>
            <w:r>
              <w:rPr>
                <w:rFonts w:ascii="楷体" w:hAnsi="楷体" w:eastAsia="楷体" w:cs="楷体"/>
                <w:i w:val="0"/>
                <w:strike w:val="0"/>
                <w:color w:val="000000"/>
                <w:spacing w:val="0"/>
                <w:sz w:val="20"/>
                <w:u w:val="none"/>
              </w:rPr>
              <w:t>功能完整性不足</w:t>
            </w:r>
          </w:p>
        </w:tc>
        <w:tc>
          <w:tcPr>
            <w:tcW w:w="3495" w:type="dxa"/>
            <w:tcBorders>
              <w:top w:val="single" w:color="000000" w:sz="0" w:space="0"/>
              <w:left w:val="single" w:color="000000" w:sz="0" w:space="0"/>
              <w:bottom w:val="single" w:color="000000" w:sz="8" w:space="0"/>
              <w:right w:val="single" w:color="000000" w:sz="8" w:space="0"/>
            </w:tcBorders>
            <w:tcMar>
              <w:top w:w="150" w:type="dxa"/>
              <w:left w:w="240" w:type="dxa"/>
              <w:bottom w:w="150" w:type="dxa"/>
              <w:right w:w="240" w:type="dxa"/>
            </w:tcMar>
            <w:vAlign w:val="center"/>
          </w:tcPr>
          <w:p>
            <w:pPr>
              <w:snapToGrid w:val="1"/>
              <w:spacing w:before="156" w:after="0" w:line="240"/>
              <w:ind w:left="0" w:right="0"/>
              <w:jc w:val="both"/>
              <w:rPr/>
            </w:pPr>
            <w:r>
              <w:rPr>
                <w:rFonts w:ascii="楷体" w:hAnsi="楷体" w:eastAsia="楷体" w:cs="楷体"/>
                <w:i w:val="0"/>
                <w:strike w:val="0"/>
                <w:color w:val="000000"/>
                <w:spacing w:val="0"/>
                <w:sz w:val="20"/>
                <w:u w:val="none"/>
              </w:rPr>
              <w:t>尚未配套云端管理平台</w:t>
            </w:r>
          </w:p>
        </w:tc>
        <w:tc>
          <w:tcPr>
            <w:tcW w:w="3495" w:type="dxa"/>
            <w:tcBorders>
              <w:top w:val="single" w:color="000000" w:sz="0" w:space="0"/>
              <w:left w:val="single" w:color="000000" w:sz="0" w:space="0"/>
              <w:bottom w:val="single" w:color="000000" w:sz="8" w:space="0"/>
              <w:right w:val="single" w:color="000000" w:sz="8" w:space="0"/>
            </w:tcBorders>
            <w:tcMar>
              <w:top w:w="150" w:type="dxa"/>
              <w:left w:w="240" w:type="dxa"/>
              <w:bottom w:w="150" w:type="dxa"/>
              <w:right w:w="0" w:type="dxa"/>
            </w:tcMar>
            <w:vAlign w:val="center"/>
          </w:tcPr>
          <w:p>
            <w:pPr>
              <w:snapToGrid w:val="1"/>
              <w:spacing w:before="156" w:after="0" w:line="240"/>
              <w:ind w:left="0" w:right="0"/>
              <w:jc w:val="left"/>
              <w:rPr/>
            </w:pPr>
            <w:r>
              <w:rPr>
                <w:rFonts w:ascii="楷体" w:hAnsi="楷体" w:eastAsia="楷体" w:cs="楷体"/>
                <w:i w:val="0"/>
                <w:strike w:val="0"/>
                <w:color w:val="000000"/>
                <w:spacing w:val="0"/>
                <w:sz w:val="20"/>
                <w:u w:val="none"/>
              </w:rPr>
              <w:t>规划轻量级数据平台，支持事故数据记录与上传</w:t>
            </w:r>
          </w:p>
        </w:tc>
      </w:tr>
      <w:tr>
        <w:trPr/>
        <w:tc>
          <w:tcPr>
            <w:tcW w:w="1275" w:type="dxa"/>
            <w:tcBorders>
              <w:top w:val="single" w:color="000000" w:sz="0" w:space="0"/>
              <w:left w:val="single" w:color="000000" w:sz="8" w:space="0"/>
              <w:bottom w:val="single" w:color="000000" w:sz="8" w:space="0"/>
              <w:right w:val="single" w:color="000000" w:sz="8" w:space="0"/>
            </w:tcBorders>
            <w:shd w:val="clear" w:color="auto" w:fill="C1E4F5"/>
            <w:tcMar>
              <w:top w:w="150" w:type="dxa"/>
              <w:left w:w="0" w:type="dxa"/>
              <w:bottom w:w="150" w:type="dxa"/>
              <w:right w:w="240" w:type="dxa"/>
            </w:tcMar>
            <w:vAlign w:val="center"/>
          </w:tcPr>
          <w:p>
            <w:pPr>
              <w:snapToGrid w:val="1"/>
              <w:spacing w:before="156" w:after="0" w:line="240"/>
              <w:ind w:left="0" w:right="0"/>
              <w:jc w:val="both"/>
              <w:rPr/>
            </w:pPr>
            <w:r>
              <w:rPr>
                <w:rFonts w:ascii="楷体" w:hAnsi="楷体" w:eastAsia="楷体" w:cs="楷体"/>
                <w:i w:val="0"/>
                <w:strike w:val="0"/>
                <w:color w:val="000000"/>
                <w:spacing w:val="0"/>
                <w:sz w:val="20"/>
                <w:u w:val="none"/>
              </w:rPr>
              <w:t>法规认证尚未完成</w:t>
            </w:r>
          </w:p>
        </w:tc>
        <w:tc>
          <w:tcPr>
            <w:tcW w:w="3495" w:type="dxa"/>
            <w:tcBorders>
              <w:top w:val="single" w:color="000000" w:sz="0" w:space="0"/>
              <w:left w:val="single" w:color="000000" w:sz="0" w:space="0"/>
              <w:bottom w:val="single" w:color="000000" w:sz="8" w:space="0"/>
              <w:right w:val="single" w:color="000000" w:sz="8" w:space="0"/>
            </w:tcBorders>
            <w:tcMar>
              <w:top w:w="150" w:type="dxa"/>
              <w:left w:w="240" w:type="dxa"/>
              <w:bottom w:w="150" w:type="dxa"/>
              <w:right w:w="240" w:type="dxa"/>
            </w:tcMar>
            <w:vAlign w:val="center"/>
          </w:tcPr>
          <w:p>
            <w:pPr>
              <w:snapToGrid w:val="1"/>
              <w:spacing w:before="156" w:after="0" w:line="240"/>
              <w:ind w:left="0" w:right="0"/>
              <w:jc w:val="both"/>
              <w:rPr/>
            </w:pPr>
            <w:r>
              <w:rPr>
                <w:rFonts w:ascii="楷体" w:hAnsi="楷体" w:eastAsia="楷体" w:cs="楷体"/>
                <w:i w:val="0"/>
                <w:strike w:val="0"/>
                <w:color w:val="000000"/>
                <w:spacing w:val="0"/>
                <w:sz w:val="20"/>
                <w:u w:val="none"/>
              </w:rPr>
              <w:t>未通过UNECE R151/R159等国际法规认证</w:t>
            </w:r>
          </w:p>
        </w:tc>
        <w:tc>
          <w:tcPr>
            <w:tcW w:w="3495" w:type="dxa"/>
            <w:tcBorders>
              <w:top w:val="single" w:color="000000" w:sz="0" w:space="0"/>
              <w:left w:val="single" w:color="000000" w:sz="0" w:space="0"/>
              <w:bottom w:val="single" w:color="000000" w:sz="8" w:space="0"/>
              <w:right w:val="single" w:color="000000" w:sz="8" w:space="0"/>
            </w:tcBorders>
            <w:tcMar>
              <w:top w:w="150" w:type="dxa"/>
              <w:left w:w="240" w:type="dxa"/>
              <w:bottom w:w="150" w:type="dxa"/>
              <w:right w:w="0" w:type="dxa"/>
            </w:tcMar>
            <w:vAlign w:val="center"/>
          </w:tcPr>
          <w:p>
            <w:pPr>
              <w:snapToGrid w:val="1"/>
              <w:spacing w:before="156" w:after="0" w:line="240"/>
              <w:ind w:left="0" w:right="0"/>
              <w:jc w:val="left"/>
              <w:rPr/>
            </w:pPr>
            <w:r>
              <w:rPr>
                <w:rFonts w:ascii="楷体" w:hAnsi="楷体" w:eastAsia="楷体" w:cs="楷体"/>
                <w:i w:val="0"/>
                <w:strike w:val="0"/>
                <w:color w:val="000000"/>
                <w:spacing w:val="0"/>
                <w:sz w:val="20"/>
                <w:u w:val="none"/>
              </w:rPr>
              <w:t>已启动认证流程调研，计划逐步完成国内法规符合性验证</w:t>
            </w:r>
          </w:p>
        </w:tc>
      </w:tr>
      <w:tr>
        <w:trPr/>
        <w:tc>
          <w:tcPr>
            <w:tcW w:w="1275" w:type="dxa"/>
            <w:tcBorders>
              <w:top w:val="single" w:color="000000" w:sz="0" w:space="0"/>
              <w:left w:val="single" w:color="000000" w:sz="8" w:space="0"/>
              <w:bottom w:val="single" w:color="000000" w:sz="8" w:space="0"/>
              <w:right w:val="single" w:color="000000" w:sz="8" w:space="0"/>
            </w:tcBorders>
            <w:shd w:val="clear" w:color="auto" w:fill="C1E4F5"/>
            <w:tcMar>
              <w:top w:w="150" w:type="dxa"/>
              <w:left w:w="0" w:type="dxa"/>
              <w:bottom w:w="150" w:type="dxa"/>
              <w:right w:w="240" w:type="dxa"/>
            </w:tcMar>
            <w:vAlign w:val="center"/>
          </w:tcPr>
          <w:p>
            <w:pPr>
              <w:snapToGrid w:val="1"/>
              <w:spacing w:before="156" w:after="0" w:line="240"/>
              <w:ind w:left="0" w:right="0"/>
              <w:jc w:val="both"/>
              <w:rPr/>
            </w:pPr>
            <w:r>
              <w:rPr>
                <w:rFonts w:ascii="楷体" w:hAnsi="楷体" w:eastAsia="楷体" w:cs="楷体"/>
                <w:i w:val="0"/>
                <w:strike w:val="0"/>
                <w:color w:val="000000"/>
                <w:spacing w:val="0"/>
                <w:sz w:val="20"/>
                <w:u w:val="none"/>
              </w:rPr>
              <w:t>芯片算力边界</w:t>
            </w:r>
          </w:p>
        </w:tc>
        <w:tc>
          <w:tcPr>
            <w:tcW w:w="3495" w:type="dxa"/>
            <w:tcBorders>
              <w:top w:val="single" w:color="000000" w:sz="0" w:space="0"/>
              <w:left w:val="single" w:color="000000" w:sz="0" w:space="0"/>
              <w:bottom w:val="single" w:color="000000" w:sz="8" w:space="0"/>
              <w:right w:val="single" w:color="000000" w:sz="8" w:space="0"/>
            </w:tcBorders>
            <w:tcMar>
              <w:top w:w="150" w:type="dxa"/>
              <w:left w:w="240" w:type="dxa"/>
              <w:bottom w:w="150" w:type="dxa"/>
              <w:right w:w="240" w:type="dxa"/>
            </w:tcMar>
            <w:vAlign w:val="center"/>
          </w:tcPr>
          <w:p>
            <w:pPr>
              <w:snapToGrid w:val="1"/>
              <w:spacing w:before="156" w:after="0" w:line="240"/>
              <w:ind w:left="0" w:right="0"/>
              <w:jc w:val="both"/>
              <w:rPr/>
            </w:pPr>
            <w:r>
              <w:rPr>
                <w:rFonts w:ascii="楷体" w:hAnsi="楷体" w:eastAsia="楷体" w:cs="楷体"/>
                <w:i w:val="0"/>
                <w:strike w:val="0"/>
                <w:color w:val="000000"/>
                <w:spacing w:val="0"/>
                <w:sz w:val="20"/>
                <w:u w:val="none"/>
              </w:rPr>
              <w:t>ESP32-S3在复杂场景下的算力可能成为瓶颈</w:t>
            </w:r>
          </w:p>
        </w:tc>
        <w:tc>
          <w:tcPr>
            <w:tcW w:w="3495" w:type="dxa"/>
            <w:tcBorders>
              <w:top w:val="single" w:color="000000" w:sz="0" w:space="0"/>
              <w:left w:val="single" w:color="000000" w:sz="0" w:space="0"/>
              <w:bottom w:val="single" w:color="000000" w:sz="8" w:space="0"/>
              <w:right w:val="single" w:color="000000" w:sz="8" w:space="0"/>
            </w:tcBorders>
            <w:tcMar>
              <w:top w:w="150" w:type="dxa"/>
              <w:left w:w="240" w:type="dxa"/>
              <w:bottom w:w="150" w:type="dxa"/>
              <w:right w:w="0" w:type="dxa"/>
            </w:tcMar>
            <w:vAlign w:val="center"/>
          </w:tcPr>
          <w:p>
            <w:pPr>
              <w:snapToGrid w:val="1"/>
              <w:spacing w:before="156" w:after="0" w:line="240"/>
              <w:ind w:left="0" w:right="0"/>
              <w:jc w:val="left"/>
              <w:rPr/>
            </w:pPr>
            <w:r>
              <w:rPr>
                <w:rFonts w:ascii="楷体" w:hAnsi="楷体" w:eastAsia="楷体" w:cs="楷体"/>
                <w:i w:val="0"/>
                <w:strike w:val="0"/>
                <w:color w:val="000000"/>
                <w:spacing w:val="0"/>
                <w:sz w:val="20"/>
                <w:u w:val="none"/>
              </w:rPr>
              <w:t>产品迭代路径：ESP32-S3→中端芯片→高端芯片</w:t>
            </w:r>
          </w:p>
        </w:tc>
      </w:tr>
    </w:tbl>
    <w:p>
      <w:pPr>
        <w:snapToGrid w:val="1"/>
        <w:spacing w:before="156" w:after="0" w:line="240"/>
        <w:ind w:left="0" w:right="0" w:firstLine="420"/>
        <w:jc w:val="center"/>
        <w:rPr/>
      </w:pPr>
      <w:r>
        <w:rPr>
          <w:rFonts w:ascii="黑体" w:hAnsi="黑体" w:eastAsia="黑体" w:cs="黑体"/>
          <w:i w:val="0"/>
          <w:strike w:val="0"/>
          <w:color w:val="000000"/>
          <w:sz w:val="18"/>
          <w:u w:val="none"/>
        </w:rPr>
        <w:t>表4-4-1</w:t>
      </w:r>
    </w:p>
    <w:p>
      <w:pPr>
        <w:pBdr/>
        <w:spacing w:before="156" w:beforeLines="50"/>
        <w:ind w:firstLine="420"/>
        <w:rPr>
          <w:rFonts w:ascii="宋体" w:hAnsi="宋体" w:eastAsia="宋体"/>
          <w:sz w:val="24"/>
          <w:szCs w:val="24"/>
        </w:rPr>
      </w:pPr>
    </w:p>
    <w:p>
      <w:pPr>
        <w:pBdr/>
        <w:spacing w:before="156" w:beforeLines="50"/>
        <w:ind w:firstLine="420"/>
        <w:rPr>
          <w:rFonts w:ascii="宋体" w:hAnsi="宋体" w:eastAsia="宋体"/>
          <w:sz w:val="24"/>
          <w:szCs w:val="24"/>
        </w:rPr>
      </w:pPr>
    </w:p>
    <w:p>
      <w:pPr>
        <w:pBdr/>
        <w:spacing w:before="156" w:beforeLines="50"/>
        <w:ind w:firstLine="420"/>
        <w:rPr>
          <w:rFonts w:ascii="宋体" w:hAnsi="宋体" w:eastAsia="宋体"/>
          <w:sz w:val="24"/>
          <w:szCs w:val="24"/>
        </w:rPr>
      </w:pPr>
    </w:p>
    <w:p>
      <w:pPr>
        <w:pBdr/>
        <w:spacing w:before="156" w:beforeLines="50"/>
        <w:ind w:firstLine="420"/>
        <w:rPr>
          <w:rFonts w:ascii="宋体" w:hAnsi="宋体" w:eastAsia="宋体"/>
          <w:sz w:val="24"/>
          <w:szCs w:val="24"/>
        </w:rPr>
      </w:pPr>
    </w:p>
    <w:p>
      <w:pPr>
        <w:spacing w:before="156" w:beforeLines="50"/>
        <w:ind w:firstLine="420"/>
        <w:rPr>
          <w:rFonts w:hint="eastAsia" w:ascii="宋体" w:hAnsi="宋体" w:eastAsia="宋体"/>
          <w:sz w:val="24"/>
          <w:szCs w:val="24"/>
        </w:rPr>
      </w:pPr>
    </w:p>
    <w:p>
      <w:pPr>
        <w:spacing w:before="156" w:beforeLines="50"/>
        <w:ind w:firstLine="420"/>
        <w:rPr>
          <w:rFonts w:hint="eastAsia" w:ascii="宋体" w:hAnsi="宋体" w:eastAsia="宋体"/>
          <w:sz w:val="24"/>
          <w:szCs w:val="24"/>
        </w:rPr>
      </w:pPr>
    </w:p>
    <w:p>
      <w:pPr>
        <w:spacing w:before="156" w:beforeLines="50"/>
        <w:ind w:firstLine="420"/>
        <w:rPr>
          <w:rFonts w:hint="eastAsia" w:ascii="宋体" w:hAnsi="宋体" w:eastAsia="宋体"/>
          <w:sz w:val="24"/>
          <w:szCs w:val="24"/>
        </w:rPr>
      </w:pPr>
    </w:p>
    <w:p>
      <w:pPr>
        <w:spacing w:before="156" w:beforeLines="50"/>
        <w:ind w:firstLine="420"/>
        <w:rPr>
          <w:rFonts w:hint="eastAsia" w:ascii="宋体" w:hAnsi="宋体" w:eastAsia="宋体"/>
          <w:sz w:val="24"/>
          <w:szCs w:val="24"/>
        </w:rPr>
      </w:pPr>
    </w:p>
    <w:p>
      <w:pPr>
        <w:spacing w:before="156" w:beforeLines="50"/>
        <w:ind w:firstLine="420"/>
        <w:rPr>
          <w:rFonts w:hint="eastAsia" w:ascii="宋体" w:hAnsi="宋体" w:eastAsia="宋体"/>
          <w:sz w:val="24"/>
          <w:szCs w:val="24"/>
        </w:rPr>
      </w:pPr>
    </w:p>
    <w:p>
      <w:pPr>
        <w:spacing w:before="156" w:beforeLines="50"/>
        <w:ind w:firstLine="420"/>
        <w:rPr>
          <w:rFonts w:hint="eastAsia" w:ascii="宋体" w:hAnsi="宋体" w:eastAsia="宋体"/>
          <w:sz w:val="24"/>
          <w:szCs w:val="24"/>
        </w:rPr>
      </w:pPr>
    </w:p>
    <w:p>
      <w:pPr>
        <w:spacing w:before="156" w:beforeLines="50"/>
        <w:ind w:firstLine="420"/>
        <w:rPr>
          <w:rFonts w:hint="eastAsia" w:ascii="宋体" w:hAnsi="宋体" w:eastAsia="宋体"/>
          <w:sz w:val="24"/>
          <w:szCs w:val="24"/>
        </w:rPr>
      </w:pPr>
    </w:p>
    <w:p>
      <w:pPr>
        <w:spacing w:before="156" w:beforeLines="50"/>
        <w:ind w:firstLine="420"/>
        <w:rPr>
          <w:rFonts w:hint="eastAsia" w:ascii="宋体" w:hAnsi="宋体" w:eastAsia="宋体"/>
          <w:sz w:val="24"/>
          <w:szCs w:val="24"/>
        </w:rPr>
      </w:pPr>
    </w:p>
    <w:p>
      <w:pPr>
        <w:spacing w:before="156" w:beforeLines="50"/>
        <w:rPr>
          <w:rFonts w:hint="eastAsia" w:ascii="黑体" w:hAnsi="黑体" w:eastAsia="黑体"/>
          <w:b w:val="1"/>
          <w:bCs w:val="1"/>
          <w:sz w:val="28"/>
          <w:szCs w:val="28"/>
        </w:rPr>
      </w:pPr>
    </w:p>
    <w:p>
      <w:pPr>
        <w:spacing w:before="156" w:beforeLines="50"/>
        <w:rPr>
          <w:rFonts w:hint="eastAsia" w:ascii="黑体" w:hAnsi="黑体" w:eastAsia="黑体"/>
          <w:b w:val="1"/>
          <w:bCs w:val="1"/>
          <w:sz w:val="28"/>
          <w:szCs w:val="28"/>
        </w:rPr>
      </w:pPr>
    </w:p>
    <w:p>
      <w:pPr>
        <w:spacing w:before="156" w:beforeLines="50"/>
        <w:rPr>
          <w:rFonts w:hint="eastAsia" w:ascii="黑体" w:hAnsi="黑体" w:eastAsia="黑体"/>
          <w:b w:val="1"/>
          <w:bCs w:val="1"/>
          <w:sz w:val="28"/>
          <w:szCs w:val="28"/>
        </w:rPr>
      </w:pPr>
    </w:p>
    <w:p>
      <w:pPr>
        <w:spacing w:before="156" w:beforeLines="50"/>
        <w:rPr>
          <w:rFonts w:hint="eastAsia" w:ascii="黑体" w:hAnsi="黑体" w:eastAsia="黑体"/>
          <w:b w:val="1"/>
          <w:bCs w:val="1"/>
          <w:sz w:val="28"/>
          <w:szCs w:val="28"/>
        </w:rPr>
      </w:pPr>
    </w:p>
    <w:p>
      <w:pPr>
        <w:spacing w:before="156" w:beforeLines="50"/>
        <w:rPr>
          <w:rFonts w:hint="eastAsia" w:ascii="黑体" w:hAnsi="黑体" w:eastAsia="黑体"/>
          <w:b w:val="1"/>
          <w:bCs w:val="1"/>
          <w:sz w:val="28"/>
          <w:szCs w:val="28"/>
        </w:rPr>
      </w:pPr>
    </w:p>
    <w:p>
      <w:pPr>
        <w:jc w:val="center"/>
        <w:rPr>
          <w:rFonts w:hint="eastAsia" w:ascii="黑体" w:hAnsi="黑体" w:eastAsia="黑体"/>
          <w:b w:val="1"/>
          <w:bCs w:val="1"/>
          <w:sz w:val="36"/>
          <w:szCs w:val="36"/>
        </w:rPr>
      </w:pPr>
    </w:p>
    <w:p>
      <w:pPr>
        <w:pBdr/>
        <w:ind/>
        <w:jc w:val="center"/>
        <w:rPr>
          <w:rFonts w:hint="eastAsia" w:ascii="黑体" w:hAnsi="黑体" w:eastAsia="黑体"/>
          <w:b w:val="1"/>
          <w:bCs w:val="1"/>
          <w:color w:val="215E99" w:themeColor="text2" w:themeTint="BF"/>
          <w:sz w:val="36"/>
          <w:szCs w:val="36"/>
        </w:rPr>
      </w:pPr>
    </w:p>
    <w:p>
      <w:pPr>
        <w:pBdr/>
        <w:ind/>
        <w:jc w:val="center"/>
        <w:rPr>
          <w:rFonts w:hint="eastAsia" w:ascii="黑体" w:hAnsi="黑体" w:eastAsia="黑体"/>
          <w:b w:val="1"/>
          <w:bCs w:val="1"/>
          <w:color w:val="215E99" w:themeColor="text2" w:themeTint="BF"/>
          <w:sz w:val="36"/>
          <w:szCs w:val="36"/>
        </w:rPr>
      </w:pPr>
    </w:p>
    <w:p>
      <w:pPr>
        <w:pBdr/>
        <w:ind/>
        <w:jc w:val="center"/>
        <w:rPr>
          <w:rFonts w:hint="eastAsia" w:ascii="黑体" w:hAnsi="黑体" w:eastAsia="黑体"/>
          <w:b w:val="1"/>
          <w:bCs w:val="1"/>
          <w:color w:val="215E99" w:themeColor="text2" w:themeTint="BF"/>
          <w:sz w:val="36"/>
          <w:szCs w:val="36"/>
        </w:rPr>
      </w:pPr>
    </w:p>
    <w:p>
      <w:pPr>
        <w:ind/>
        <w:jc w:val="center"/>
        <w:rPr>
          <w:rFonts w:hint="eastAsia" w:ascii="黑体" w:hAnsi="黑体" w:eastAsia="黑体"/>
          <w:b w:val="1"/>
          <w:bCs w:val="1"/>
          <w:color w:val="215E99" w:themeColor="text2" w:themeTint="BF"/>
          <w:sz w:val="36"/>
          <w:szCs w:val="36"/>
        </w:rPr>
      </w:pPr>
      <w:r>
        <w:rPr>
          <w:rFonts w:hint="eastAsia" w:ascii="黑体" w:hAnsi="黑体" w:eastAsia="黑体"/>
          <w:b w:val="1"/>
          <w:bCs w:val="1"/>
          <w:color w:val="215E99" w:themeColor="text2" w:themeTint="BF"/>
          <w:sz w:val="36"/>
          <w:szCs w:val="36"/>
          <w14:shadow w14:blurRad="50800" w14:dist="38100" w14:dir="2700000" w14:sx="100000" w14:sy="100000" w14:kx="0" w14:ky="0" w14:algn="tl">
            <w14:srgbClr w14:val="000000">
              <w14:alpha w14:val="60000"/>
            </w14:srgbClr>
          </w14:shadow>
        </w:rPr>
        <w:t>第五部分</w:t>
      </w:r>
      <w:r>
        <w:rPr>
          <w:rFonts w:hint="eastAsia" w:ascii="黑体" w:hAnsi="黑体" w:eastAsia="黑体"/>
          <w:b w:val="1"/>
          <w:bCs w:val="1"/>
          <w:color w:val="215E99" w:themeColor="text2" w:themeTint="BF"/>
          <w:sz w:val="36"/>
          <w:szCs w:val="36"/>
          <w14:shadow w14:blurRad="50800" w14:dist="38100" w14:dir="2700000" w14:sx="100000" w14:sy="100000" w14:kx="0" w14:ky="0" w14:algn="tl">
            <w14:srgbClr w14:val="000000">
              <w14:alpha w14:val="60000"/>
            </w14:srgbClr>
          </w14:shadow>
        </w:rPr>
        <w:t>：</w:t>
      </w:r>
      <w:r>
        <w:rPr>
          <w:rFonts w:hint="eastAsia" w:ascii="黑体" w:hAnsi="黑体" w:eastAsia="黑体"/>
          <w:b w:val="1"/>
          <w:bCs w:val="1"/>
          <w:color w:val="215E99" w:themeColor="text2" w:themeTint="BF"/>
          <w:sz w:val="36"/>
          <w:szCs w:val="36"/>
          <w14:shadow w14:blurRad="50800" w14:dist="38100" w14:dir="2700000" w14:sx="100000" w14:sy="100000" w14:kx="0" w14:ky="0" w14:algn="tl">
            <w14:srgbClr w14:val="000000">
              <w14:alpha w14:val="60000"/>
            </w14:srgbClr>
          </w14:shadow>
        </w:rPr>
        <w:t>竞争优势与技术壁垒</w:t>
      </w:r>
    </w:p>
    <w:p>
      <w:pPr>
        <w:pBdr/>
        <w:spacing w:before="156" w:beforeLines="50"/>
        <w:ind w:firstLine="420"/>
        <w:rPr>
          <w:rFonts w:ascii="宋体" w:hAnsi="宋体" w:eastAsia="宋体"/>
          <w:sz w:val="24"/>
          <w:szCs w:val="24"/>
          <w:u w:val="single"/>
        </w:rPr>
      </w:pPr>
      <w:r>
        <w:rPr>
          <w:rFonts w:ascii="宋体" w:hAnsi="宋体" w:eastAsia="宋体"/>
          <w:sz w:val="24"/>
          <w:szCs w:val="24"/>
        </w:rPr>
        <w:t>“盲区驭智”并非进入一个缺乏成熟产品的市场。Continental、Bosch、Mobileye、Brigade、ZF等厂商已经形成雷达、视觉及多传感器商用车主动安全产品，其中部分产品具备路径关联、目标运动趋势判断、挂车识别以及车队数据服务能力。</w:t>
      </w:r>
      <w:r>
        <w:rPr>
          <w:rFonts w:ascii="宋体" w:hAnsi="宋体" w:eastAsia="宋体"/>
          <w:sz w:val="24"/>
          <w:szCs w:val="24"/>
          <w:u w:val="single"/>
        </w:rPr>
        <w:t>Bosch的转弯碰撞预警会将车辆预测路径与检测到的道路使用者进行关联；Brigade Radar Predict能够分析车辆与道路使用者的速度和方向，并明确支持铰接车辆和自动挂车识别；Mobileye Shield+则已经能够将报警数据用于风险热点分析。</w:t>
      </w:r>
    </w:p>
    <w:p>
      <w:pPr>
        <w:pBdr/>
        <w:spacing w:before="156" w:beforeLines="50"/>
        <w:ind w:firstLine="420"/>
        <w:rPr>
          <w:rFonts w:ascii="宋体" w:hAnsi="宋体" w:eastAsia="宋体"/>
          <w:sz w:val="24"/>
          <w:szCs w:val="24"/>
        </w:rPr>
      </w:pPr>
      <w:r>
        <w:rPr>
          <w:rFonts w:ascii="宋体" w:hAnsi="宋体" w:eastAsia="宋体"/>
          <w:sz w:val="24"/>
          <w:szCs w:val="24"/>
        </w:rPr>
        <w:t>因此，本项目竞争优势不能建立在“市场没有预测产品”这一假设上，而应集中于针对</w:t>
      </w:r>
      <w:r>
        <w:rPr>
          <w:rFonts w:ascii="宋体" w:hAnsi="宋体" w:eastAsia="宋体"/>
          <w:b w:val="1"/>
          <w:color w:val="1450B8"/>
          <w:sz w:val="24"/>
          <w:szCs w:val="24"/>
        </w:rPr>
        <w:t>半挂车辆结构的运动学表达、完整车身扫掠风险计算、多时间尺度风险分层以及轻量化工程部署</w:t>
      </w:r>
      <w:r>
        <w:rPr>
          <w:rFonts w:ascii="宋体" w:hAnsi="宋体" w:eastAsia="宋体"/>
          <w:sz w:val="24"/>
          <w:szCs w:val="24"/>
        </w:rPr>
        <w:t>等更具体的能力，并通过后续实验逐步验证其实际价值。</w:t>
      </w:r>
    </w:p>
    <w:p>
      <w:pPr>
        <w:numPr/>
        <w:spacing w:before="156" w:beforeLines="50"/>
        <w:ind/>
        <w:rPr>
          <w:rFonts w:hint="eastAsia" w:ascii="宋体" w:hAnsi="宋体" w:eastAsia="宋体"/>
          <w:b w:val="1"/>
          <w:bCs w:val="1"/>
          <w:sz w:val="24"/>
          <w:szCs w:val="24"/>
        </w:rPr>
      </w:pPr>
      <w:r>
        <w:rPr>
          <w:rFonts w:hint="eastAsia" w:ascii="宋体" w:hAnsi="宋体" w:eastAsia="宋体"/>
          <w:b w:val="1"/>
          <w:bCs w:val="1"/>
          <w:sz w:val="24"/>
          <w:szCs w:val="24"/>
        </w:rPr>
        <w:t>（一）传统内轮差几何分析</w:t>
      </w:r>
    </w:p>
    <w:p>
      <w:pPr>
        <w:pBdr/>
        <w:spacing w:before="156" w:beforeLines="50"/>
        <w:ind w:firstLine="420"/>
        <w:rPr>
          <w:rFonts w:ascii="宋体" w:hAnsi="宋体" w:eastAsia="宋体"/>
          <w:sz w:val="24"/>
          <w:szCs w:val="24"/>
        </w:rPr>
      </w:pPr>
      <w:r>
        <w:rPr>
          <w:rFonts w:ascii="宋体" w:hAnsi="宋体" w:eastAsia="宋体"/>
          <w:sz w:val="24"/>
          <w:szCs w:val="24"/>
        </w:rPr>
        <w:t>传统内轮差研究通常从车辆轴距、转弯半径、车宽等几何参数出发，描述前后轮在转弯过程中的轨迹差异。这类方法结构清晰、计算量较低，能够解释大型车辆右转时危险区域形成的基本机理。</w:t>
      </w:r>
    </w:p>
    <w:p>
      <w:pPr>
        <w:pBdr/>
        <w:spacing w:before="156" w:beforeLines="50"/>
        <w:ind w:firstLine="420"/>
        <w:rPr>
          <w:rFonts w:ascii="宋体" w:hAnsi="宋体" w:eastAsia="宋体"/>
          <w:sz w:val="24"/>
          <w:szCs w:val="24"/>
        </w:rPr>
      </w:pPr>
      <w:r>
        <w:rPr>
          <w:rFonts w:ascii="宋体" w:hAnsi="宋体" w:eastAsia="宋体"/>
          <w:sz w:val="24"/>
          <w:szCs w:val="24"/>
        </w:rPr>
        <w:t>但对于半挂车辆，牵引车和挂车之间存在铰接关系，车辆姿态会随着转向过程不断变化。仅以某一时刻的几何尺寸或固定危险带描述风险，难以完整表达挂车后部未来短时间内的实际空间占用变化。</w:t>
      </w:r>
    </w:p>
    <w:p>
      <w:pPr>
        <w:pBdr/>
        <w:spacing w:before="156" w:beforeLines="50"/>
        <w:ind w:firstLine="420"/>
        <w:rPr>
          <w:rFonts w:ascii="宋体" w:hAnsi="宋体" w:eastAsia="宋体"/>
          <w:sz w:val="24"/>
          <w:szCs w:val="24"/>
        </w:rPr>
      </w:pPr>
      <w:r>
        <w:rPr>
          <w:rFonts w:ascii="宋体" w:hAnsi="宋体" w:eastAsia="宋体"/>
          <w:sz w:val="24"/>
          <w:szCs w:val="24"/>
        </w:rPr>
        <w:t>因此，传统几何分析更适合作为</w:t>
      </w:r>
      <w:r>
        <w:rPr>
          <w:rFonts w:ascii="宋体" w:hAnsi="宋体" w:eastAsia="宋体"/>
          <w:b w:val="1"/>
          <w:color w:val="1450B8"/>
          <w:sz w:val="24"/>
          <w:szCs w:val="24"/>
        </w:rPr>
        <w:t>内轮差风险</w:t>
      </w:r>
      <w:r>
        <w:rPr>
          <w:rFonts w:ascii="宋体" w:hAnsi="宋体" w:eastAsia="宋体"/>
          <w:sz w:val="24"/>
          <w:szCs w:val="24"/>
        </w:rPr>
        <w:t>的理论基础，而实时预警还需要进一步结合车辆当前运动状态。</w:t>
      </w:r>
    </w:p>
    <w:p>
      <w:pPr>
        <w:numPr/>
        <w:spacing w:before="156" w:beforeLines="50"/>
        <w:ind/>
        <w:rPr>
          <w:rFonts w:hint="eastAsia" w:ascii="宋体" w:hAnsi="宋体" w:eastAsia="宋体"/>
          <w:b w:val="1"/>
          <w:bCs w:val="1"/>
          <w:sz w:val="24"/>
          <w:szCs w:val="24"/>
        </w:rPr>
      </w:pPr>
      <w:r>
        <w:rPr>
          <w:rFonts w:hint="eastAsia" w:ascii="宋体" w:hAnsi="宋体" w:eastAsia="宋体"/>
          <w:b w:val="1"/>
          <w:bCs w:val="1"/>
          <w:sz w:val="24"/>
          <w:szCs w:val="24"/>
        </w:rPr>
        <w:t>（二）铰接车辆运动学研究</w:t>
      </w:r>
    </w:p>
    <w:p>
      <w:pPr>
        <w:pBdr/>
        <w:spacing w:before="156" w:beforeLines="50"/>
        <w:ind w:firstLine="420"/>
        <w:rPr>
          <w:rFonts w:ascii="宋体" w:hAnsi="宋体" w:eastAsia="宋体"/>
          <w:sz w:val="24"/>
          <w:szCs w:val="24"/>
        </w:rPr>
      </w:pPr>
      <w:r>
        <w:rPr>
          <w:rFonts w:ascii="宋体" w:hAnsi="宋体" w:eastAsia="宋体"/>
          <w:sz w:val="24"/>
          <w:szCs w:val="24"/>
        </w:rPr>
        <w:t>铰接车辆运动学进一步将牵引车与挂车作为相互耦合的运动系统，考虑车速、转向角、铰接角以及牵引销等结构参数对车辆姿态变化的影响。</w:t>
      </w:r>
    </w:p>
    <w:p>
      <w:pPr>
        <w:pBdr/>
        <w:spacing w:before="156" w:beforeLines="50"/>
        <w:ind w:firstLine="420"/>
        <w:rPr>
          <w:rFonts w:ascii="宋体" w:hAnsi="宋体" w:eastAsia="宋体"/>
          <w:sz w:val="24"/>
          <w:szCs w:val="24"/>
        </w:rPr>
      </w:pPr>
      <w:r>
        <w:rPr>
          <w:rFonts w:ascii="宋体" w:hAnsi="宋体" w:eastAsia="宋体"/>
          <w:sz w:val="24"/>
          <w:szCs w:val="24"/>
        </w:rPr>
        <w:t>本项目现有研究方案以牵引车后轴中心为参考，建立包含车速、前轮转向角、牵引车航向和铰接角的短时运动学递推模型，并保留牵引车后轴至牵引销距离对挂车运动的影响。</w:t>
      </w:r>
    </w:p>
    <w:p>
      <w:pPr>
        <w:pBdr/>
        <w:spacing w:before="156" w:beforeLines="50"/>
        <w:ind w:firstLine="420"/>
        <w:rPr>
          <w:rFonts w:ascii="宋体" w:hAnsi="宋体" w:eastAsia="宋体"/>
          <w:sz w:val="24"/>
          <w:szCs w:val="24"/>
        </w:rPr>
      </w:pPr>
      <w:r>
        <w:rPr>
          <w:rFonts w:ascii="宋体" w:hAnsi="宋体" w:eastAsia="宋体"/>
          <w:sz w:val="24"/>
          <w:szCs w:val="24"/>
        </w:rPr>
        <w:t>这一技术路线本身并不意味着项目创造了铰接车辆运动学理论，其价值更多体现在：</w:t>
      </w:r>
      <w:r>
        <w:rPr>
          <w:rFonts w:ascii="宋体" w:hAnsi="宋体" w:eastAsia="宋体"/>
          <w:b w:val="1"/>
          <w:color w:val="1450B8"/>
          <w:sz w:val="24"/>
          <w:szCs w:val="24"/>
        </w:rPr>
        <w:t>将已有运动学思想针对半挂车右转主动预警场景进行具体化和工程化应用</w:t>
      </w:r>
      <w:r>
        <w:rPr>
          <w:rFonts w:ascii="宋体" w:hAnsi="宋体" w:eastAsia="宋体"/>
          <w:sz w:val="24"/>
          <w:szCs w:val="24"/>
        </w:rPr>
        <w:t>。</w:t>
      </w:r>
    </w:p>
    <w:p>
      <w:pPr>
        <w:pBdr/>
        <w:spacing w:before="156" w:beforeLines="50"/>
        <w:ind w:firstLine="420"/>
        <w:rPr>
          <w:rFonts w:ascii="宋体" w:hAnsi="宋体" w:eastAsia="宋体"/>
          <w:sz w:val="24"/>
          <w:szCs w:val="24"/>
        </w:rPr>
      </w:pPr>
    </w:p>
    <w:p>
      <w:pPr>
        <w:pBdr/>
        <w:spacing w:before="156" w:beforeLines="50"/>
        <w:ind w:firstLine="420"/>
        <w:rPr>
          <w:rFonts w:ascii="宋体" w:hAnsi="宋体" w:eastAsia="宋体"/>
          <w:sz w:val="24"/>
          <w:szCs w:val="24"/>
        </w:rPr>
      </w:pPr>
    </w:p>
    <w:p>
      <w:pPr>
        <w:numPr/>
        <w:pBdr>
          <w:bottom/>
        </w:pBdr>
        <w:spacing w:before="156" w:beforeLines="50"/>
        <w:ind/>
        <w:rPr>
          <w:rFonts w:hint="eastAsia" w:ascii="黑体" w:hAnsi="黑体" w:eastAsia="黑体"/>
          <w:b w:val="1"/>
          <w:bCs w:val="1"/>
          <w:sz w:val="28"/>
          <w:szCs w:val="28"/>
        </w:rPr>
      </w:pPr>
      <w:r>
        <w:rPr>
          <w:rFonts w:hint="eastAsia" w:ascii="黑体" w:hAnsi="黑体" w:eastAsia="黑体"/>
          <w:b w:val="1"/>
          <w:bCs w:val="1"/>
          <w:sz w:val="28"/>
          <w:szCs w:val="28"/>
        </w:rPr>
        <w:t>一、</w:t>
      </w:r>
      <w:r>
        <w:rPr>
          <w:rFonts w:ascii="黑体" w:hAnsi="黑体" w:eastAsia="黑体"/>
          <w:b w:val="1"/>
          <w:bCs w:val="1"/>
          <w:sz w:val="28"/>
          <w:szCs w:val="28"/>
        </w:rPr>
        <w:t xml:space="preserve"> 目标市场分层</w:t>
      </w:r>
    </w:p>
    <w:p>
      <w:pPr>
        <w:spacing w:before="156" w:beforeLines="50"/>
        <w:ind w:firstLine="420"/>
        <w:rPr>
          <w:rFonts w:hint="eastAsia" w:ascii="宋体" w:hAnsi="宋体" w:eastAsia="宋体"/>
          <w:sz w:val="24"/>
          <w:szCs w:val="24"/>
        </w:rPr>
      </w:pPr>
      <w:r>
        <w:rPr>
          <w:rFonts w:ascii="宋体" w:hAnsi="宋体" w:eastAsia="宋体"/>
          <w:sz w:val="24"/>
          <w:szCs w:val="24"/>
        </w:rPr>
        <w:t>本方案的市场切入遵循</w:t>
      </w:r>
      <w:r>
        <w:rPr>
          <w:rFonts w:ascii="宋体" w:hAnsi="宋体" w:eastAsia="宋体"/>
          <w:b w:val="1"/>
          <w:bCs w:val="1"/>
          <w:color w:val="215E99" w:themeColor="text2" w:themeTint="BF"/>
          <w:sz w:val="24"/>
          <w:szCs w:val="24"/>
        </w:rPr>
        <w:t>“由点及面、由存量到增量”的策略</w:t>
      </w:r>
      <w:r>
        <w:rPr>
          <w:rFonts w:ascii="宋体" w:hAnsi="宋体" w:eastAsia="宋体"/>
          <w:sz w:val="24"/>
          <w:szCs w:val="24"/>
        </w:rPr>
        <w:t>，将目标市场划分为三个层级，分别对应不同的客户群体、需求痛点及商业化路径。如图</w:t>
      </w:r>
      <w:r>
        <w:rPr>
          <w:rFonts w:hint="eastAsia" w:ascii="宋体" w:hAnsi="宋体" w:eastAsia="宋体"/>
          <w:sz w:val="24"/>
          <w:szCs w:val="24"/>
        </w:rPr>
        <w:t>5-1-1</w:t>
      </w:r>
      <w:r>
        <w:rPr>
          <w:rFonts w:ascii="宋体" w:hAnsi="宋体" w:eastAsia="宋体"/>
          <w:sz w:val="24"/>
          <w:szCs w:val="24"/>
        </w:rPr>
        <w:t>（市场容量柱形图）所示，三个层级的市场容量依次为200万辆、500万辆和100</w:t>
      </w:r>
      <w:r>
        <w:rPr>
          <w:rFonts w:ascii="宋体" w:hAnsi="宋体" w:eastAsia="宋体"/>
          <w:noProof w:val="1"/>
          <w:sz w:val="24"/>
          <w:szCs w:val="24"/>
        </w:rPr>
        <w:drawing>
          <wp:anchor distT="0" distB="0" distL="114300" distR="114300" simplePos="0" relativeHeight="251660288" behindDoc="0" locked="0" layoutInCell="1" allowOverlap="1">
            <wp:simplePos x="0" y="0"/>
            <wp:positionH relativeFrom="column">
              <wp:posOffset>265602</wp:posOffset>
            </wp:positionH>
            <wp:positionV relativeFrom="paragraph">
              <wp:posOffset>377126</wp:posOffset>
            </wp:positionV>
            <wp:extent cx="4605020" cy="3573780"/>
            <wp:effectExtent l="0" t="0" r="5080" b="7620"/>
            <wp:wrapTopAndBottom/>
            <wp:docPr id="8" name="图片 3"/>
            <wp:cNvGraphicFramePr>
              <a:graphicFrameLocks noChangeAspect="1"/>
            </wp:cNvGraphicFramePr>
            <a:graphic>
              <a:graphicData uri="http://schemas.openxmlformats.org/drawingml/2006/picture">
                <pic:pic>
                  <pic:nvPicPr>
                    <pic:cNvPr id="9" name="Picture 3"/>
                    <pic:cNvPicPr>
                      <a:picLocks noChangeAspect="1" noChangeArrowheads="1"/>
                    </pic:cNvPicPr>
                  </pic:nvPicPr>
                  <pic:blipFill>
                    <a:blip r:embed="rId17" cstate="print">
                      <a:extLst>
                        <a:ext uri="{28A0092B-C50C-407E-A947-70E740481C1C}"/>
                      </a:extLst>
                    </a:blip>
                    <a:srcRect/>
                    <a:stretch>
                      <a:fillRect/>
                    </a:stretch>
                  </pic:blipFill>
                  <pic:spPr bwMode="auto">
                    <a:xfrm>
                      <a:off x="0" y="0"/>
                      <a:ext cx="4605020" cy="35737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宋体" w:hAnsi="宋体" w:eastAsia="宋体"/>
          <w:sz w:val="24"/>
          <w:szCs w:val="24"/>
        </w:rPr>
        <w:t>万辆（年新增），构成了项目未来五年的核心增长空间。</w:t>
      </w:r>
    </w:p>
    <w:p>
      <w:pPr>
        <w:spacing w:before="156" w:beforeLines="50"/>
        <w:ind w:firstLine="420"/>
        <w:jc w:val="center"/>
        <w:rPr>
          <w:rFonts w:hint="eastAsia" w:ascii="黑体" w:hAnsi="黑体" w:eastAsia="黑体"/>
          <w:sz w:val="18"/>
          <w:szCs w:val="18"/>
        </w:rPr>
      </w:pPr>
      <w:r>
        <w:rPr>
          <w:rFonts w:hint="eastAsia" w:ascii="黑体" w:hAnsi="黑体" w:eastAsia="黑体"/>
          <w:sz w:val="18"/>
          <w:szCs w:val="18"/>
        </w:rPr>
        <w:t>图5-1-1</w:t>
      </w:r>
    </w:p>
    <w:p>
      <w:pPr>
        <w:spacing w:before="156" w:beforeLines="50"/>
        <w:ind w:firstLine="420"/>
        <w:rPr>
          <w:rFonts w:hint="eastAsia" w:ascii="宋体" w:hAnsi="宋体" w:eastAsia="宋体"/>
          <w:sz w:val="24"/>
          <w:szCs w:val="24"/>
        </w:rPr>
      </w:pPr>
      <w:r>
        <w:rPr>
          <w:rFonts w:ascii="宋体" w:hAnsi="宋体" w:eastAsia="宋体"/>
          <w:b w:val="1"/>
          <w:bCs w:val="1"/>
          <w:color w:val="215E99" w:themeColor="text2" w:themeTint="BF"/>
          <w:sz w:val="24"/>
          <w:szCs w:val="24"/>
        </w:rPr>
        <w:t>第一梯队：渣土车、搅拌车等高事故率存量市场</w:t>
      </w:r>
      <w:r>
        <w:rPr>
          <w:rFonts w:ascii="宋体" w:hAnsi="宋体" w:eastAsia="宋体"/>
          <w:color w:val="215E99" w:themeColor="text2" w:themeTint="BF"/>
          <w:sz w:val="24"/>
          <w:szCs w:val="24"/>
        </w:rPr>
        <w:br w:type="textWrapping"/>
      </w:r>
      <w:r>
        <w:rPr>
          <w:rFonts w:ascii="宋体" w:hAnsi="宋体" w:eastAsia="宋体"/>
          <w:sz w:val="24"/>
          <w:szCs w:val="24"/>
        </w:rPr>
        <w:t>这一层级是本方案初期的核心突破口。渣土车、搅拌车等工程车辆具有鲜明的特点：车辆体积大、盲区严重、右转频繁，且多在城区复杂路况下运行。多地交管部门数据显示，此类车辆右转内轮差事故占当地货车死亡事故的60%以上，社会关注度极高，监管压力巨大。目前，北京、上海、深圳等城市已试点“右转必停”等强制措施，但行政手段以牺牲通行效率为代价，司机抵触情绪严重。</w:t>
      </w:r>
      <w:r>
        <w:rPr>
          <w:rFonts w:ascii="宋体" w:hAnsi="宋体" w:eastAsia="宋体"/>
          <w:b w:val="1"/>
          <w:bCs w:val="1"/>
          <w:color w:val="215E99" w:themeColor="text2" w:themeTint="BF"/>
          <w:sz w:val="24"/>
          <w:szCs w:val="24"/>
        </w:rPr>
        <w:t>本方案以极低的成本（仅为竞品1/3）提供真正的动态预警，既契合监管部门“科技兴安”的政策导向，又能切实降低事故率，是替代行政强制的最优解。</w:t>
      </w:r>
      <w:r>
        <w:rPr>
          <w:rFonts w:ascii="宋体" w:hAnsi="宋体" w:eastAsia="宋体"/>
          <w:sz w:val="24"/>
          <w:szCs w:val="24"/>
        </w:rPr>
        <w:t>据交通运输部数据及行业调研，全国渣土车、搅拌车等右转高发车型保有量约200万辆，且更新周期短，对成本敏感，本方案的低价优势将快速打开这一市场。</w:t>
      </w:r>
    </w:p>
    <w:p>
      <w:pPr>
        <w:spacing w:before="156" w:beforeLines="50"/>
        <w:ind w:firstLine="420"/>
        <w:rPr>
          <w:rFonts w:hint="eastAsia" w:ascii="宋体" w:hAnsi="宋体" w:eastAsia="宋体"/>
          <w:sz w:val="24"/>
          <w:szCs w:val="24"/>
        </w:rPr>
      </w:pPr>
      <w:r>
        <w:rPr>
          <w:rFonts w:ascii="宋体" w:hAnsi="宋体" w:eastAsia="宋体"/>
          <w:b w:val="1"/>
          <w:bCs w:val="1"/>
          <w:color w:val="215E99" w:themeColor="text2" w:themeTint="BF"/>
          <w:sz w:val="24"/>
          <w:szCs w:val="24"/>
        </w:rPr>
        <w:t>第二梯队：物流车队（干线/城配）存量市场</w:t>
      </w:r>
      <w:r>
        <w:rPr>
          <w:rFonts w:ascii="宋体" w:hAnsi="宋体" w:eastAsia="宋体"/>
          <w:sz w:val="24"/>
          <w:szCs w:val="24"/>
        </w:rPr>
        <w:br w:type="textWrapping"/>
      </w:r>
      <w:r>
        <w:rPr>
          <w:rFonts w:ascii="宋体" w:hAnsi="宋体" w:eastAsia="宋体"/>
          <w:sz w:val="24"/>
          <w:szCs w:val="24"/>
        </w:rPr>
        <w:t>随着电商物流和冷链运输的快速发展，干线物流及城市配送车队对安全管理的重视程度逐年提升。这类客户的核心痛点在于：事故带来的直接经济损失（赔偿、停运）和间接成本（保费上浮、驾驶员流失）已成为显著的经营负担。前文调研显示，64%的车队管理者近三年内曾因右转事故产生赔偿，单起死亡事故综合损失超过150万元。</w:t>
      </w:r>
      <w:r>
        <w:rPr>
          <w:rFonts w:ascii="宋体" w:hAnsi="宋体" w:eastAsia="宋体"/>
          <w:b w:val="1"/>
          <w:bCs w:val="1"/>
          <w:color w:val="215E99" w:themeColor="text2" w:themeTint="BF"/>
          <w:sz w:val="24"/>
          <w:szCs w:val="24"/>
        </w:rPr>
        <w:t>本方案不仅提供实时预警，未来还将通过云端平台输出驾驶行为分析、事故数据记录等增值服务，帮助车队建立安全档案、优化保险方案。</w:t>
      </w:r>
      <w:r>
        <w:rPr>
          <w:rFonts w:ascii="宋体" w:hAnsi="宋体" w:eastAsia="宋体"/>
          <w:sz w:val="24"/>
          <w:szCs w:val="24"/>
        </w:rPr>
        <w:t>全国物流车队（包括干线运输和城配）保有量约500万辆，虽然事故率低于渣土车，但车辆基数大、安全意识逐步提升，是本方案中长期放量的主力市场。</w:t>
      </w:r>
    </w:p>
    <w:p>
      <w:pPr>
        <w:spacing w:before="156" w:beforeLines="50"/>
        <w:ind w:firstLine="420"/>
        <w:rPr>
          <w:rFonts w:hint="eastAsia" w:ascii="宋体" w:hAnsi="宋体" w:eastAsia="宋体"/>
          <w:sz w:val="24"/>
          <w:szCs w:val="24"/>
        </w:rPr>
      </w:pPr>
      <w:r>
        <w:rPr>
          <w:rFonts w:ascii="宋体" w:hAnsi="宋体" w:eastAsia="宋体"/>
          <w:b w:val="1"/>
          <w:bCs w:val="1"/>
          <w:color w:val="215E99" w:themeColor="text2" w:themeTint="BF"/>
          <w:sz w:val="24"/>
          <w:szCs w:val="24"/>
        </w:rPr>
        <w:t>第三梯队：挂车厂、主机厂前装市场</w:t>
      </w:r>
      <w:r>
        <w:rPr>
          <w:rFonts w:ascii="宋体" w:hAnsi="宋体" w:eastAsia="宋体"/>
          <w:sz w:val="24"/>
          <w:szCs w:val="24"/>
        </w:rPr>
        <w:br w:type="textWrapping"/>
      </w:r>
      <w:r>
        <w:rPr>
          <w:rFonts w:ascii="宋体" w:hAnsi="宋体" w:eastAsia="宋体"/>
          <w:sz w:val="24"/>
          <w:szCs w:val="24"/>
        </w:rPr>
        <w:t>前装市场是项目实现规模化、标准化的终极目标。2026年1月，国家标准《商用车弱势道路交通参与者移动监测系统技术要求》正式立项，预示着商用车盲区监测将从“可选配置”逐步走向“强制标配”。国际法规UN R159已覆盖欧美日主要市场，国内法规跟进势在必行。</w:t>
      </w:r>
      <w:r>
        <w:rPr>
          <w:rFonts w:ascii="宋体" w:hAnsi="宋体" w:eastAsia="宋体"/>
          <w:b w:val="1"/>
          <w:bCs w:val="1"/>
          <w:color w:val="215E99" w:themeColor="text2" w:themeTint="BF"/>
          <w:sz w:val="24"/>
          <w:szCs w:val="24"/>
        </w:rPr>
        <w:t>本方案的白盒物理模型在功能安全认证（ISO 26262）上具有天然优势，可为主机厂提供易于集成的算法SDK，避免黑盒AI带来的认证风险。</w:t>
      </w:r>
      <w:r>
        <w:rPr>
          <w:rFonts w:ascii="宋体" w:hAnsi="宋体" w:eastAsia="宋体"/>
          <w:sz w:val="24"/>
          <w:szCs w:val="24"/>
        </w:rPr>
        <w:t>目前，国内每年新增重型货车约100万辆，随着法规落地，这一市场将迎来爆发式增长。</w:t>
      </w:r>
    </w:p>
    <w:p>
      <w:pPr>
        <w:spacing w:before="156" w:beforeLines="50"/>
        <w:ind w:firstLine="420"/>
        <w:rPr>
          <w:rFonts w:hint="eastAsia" w:ascii="宋体" w:hAnsi="宋体" w:eastAsia="宋体"/>
          <w:sz w:val="24"/>
          <w:szCs w:val="24"/>
        </w:rPr>
      </w:pPr>
      <w:r>
        <w:rPr>
          <w:rFonts w:ascii="宋体" w:hAnsi="宋体" w:eastAsia="宋体"/>
          <w:sz w:val="24"/>
          <w:szCs w:val="24"/>
        </w:rPr>
        <w:t>三个市场层级层层递进：第一梯队以极致性价比快速切入，积累案例数据与口碑；第二梯队通过增值服务提升客户粘性，拓展收入来源；第三梯队以前装合作为终极目标，享受法规红利</w:t>
      </w:r>
      <w:r>
        <w:rPr>
          <w:rFonts w:hint="eastAsia" w:ascii="宋体" w:hAnsi="宋体" w:eastAsia="宋体"/>
          <w:sz w:val="24"/>
          <w:szCs w:val="24"/>
        </w:rPr>
        <w:t>。</w:t>
      </w:r>
    </w:p>
    <w:p>
      <w:pPr>
        <w:spacing w:before="156" w:beforeLines="50"/>
        <w:ind w:firstLine="420"/>
        <w:rPr>
          <w:rFonts w:hint="eastAsia" w:ascii="宋体" w:hAnsi="宋体" w:eastAsia="宋体"/>
          <w:sz w:val="24"/>
          <w:szCs w:val="24"/>
        </w:rPr>
      </w:pPr>
    </w:p>
    <w:p>
      <w:pPr>
        <w:spacing w:before="156" w:beforeLines="50"/>
        <w:ind w:firstLine="420"/>
        <w:rPr>
          <w:rFonts w:hint="eastAsia" w:ascii="宋体" w:hAnsi="宋体" w:eastAsia="宋体"/>
          <w:sz w:val="24"/>
          <w:szCs w:val="24"/>
        </w:rPr>
      </w:pPr>
    </w:p>
    <w:p>
      <w:pPr>
        <w:spacing w:before="156" w:beforeLines="50"/>
        <w:rPr>
          <w:rFonts w:hint="eastAsia" w:ascii="黑体" w:hAnsi="黑体" w:eastAsia="黑体"/>
          <w:b w:val="1"/>
          <w:bCs w:val="1"/>
          <w:sz w:val="28"/>
          <w:szCs w:val="28"/>
        </w:rPr>
      </w:pPr>
    </w:p>
    <w:p>
      <w:pPr>
        <w:spacing w:before="156" w:beforeLines="50"/>
        <w:rPr>
          <w:rFonts w:hint="eastAsia" w:ascii="黑体" w:hAnsi="黑体" w:eastAsia="黑体"/>
          <w:b w:val="1"/>
          <w:bCs w:val="1"/>
          <w:sz w:val="28"/>
          <w:szCs w:val="28"/>
        </w:rPr>
      </w:pPr>
    </w:p>
    <w:p>
      <w:pPr>
        <w:spacing w:before="156" w:beforeLines="50"/>
        <w:rPr>
          <w:rFonts w:hint="eastAsia" w:ascii="黑体" w:hAnsi="黑体" w:eastAsia="黑体"/>
          <w:b w:val="1"/>
          <w:bCs w:val="1"/>
          <w:sz w:val="28"/>
          <w:szCs w:val="28"/>
        </w:rPr>
      </w:pPr>
    </w:p>
    <w:p>
      <w:pPr>
        <w:spacing w:before="156" w:beforeLines="50"/>
        <w:rPr>
          <w:rFonts w:hint="eastAsia" w:ascii="黑体" w:hAnsi="黑体" w:eastAsia="黑体"/>
          <w:b w:val="1"/>
          <w:bCs w:val="1"/>
          <w:sz w:val="28"/>
          <w:szCs w:val="28"/>
        </w:rPr>
      </w:pPr>
    </w:p>
    <w:p>
      <w:pPr>
        <w:spacing w:before="156" w:beforeLines="50"/>
        <w:rPr>
          <w:rFonts w:hint="eastAsia" w:ascii="黑体" w:hAnsi="黑体" w:eastAsia="黑体"/>
          <w:b w:val="1"/>
          <w:bCs w:val="1"/>
          <w:sz w:val="28"/>
          <w:szCs w:val="28"/>
        </w:rPr>
      </w:pPr>
    </w:p>
    <w:p>
      <w:pPr>
        <w:spacing w:before="156" w:beforeLines="50"/>
        <w:rPr>
          <w:rFonts w:hint="eastAsia" w:ascii="黑体" w:hAnsi="黑体" w:eastAsia="黑体"/>
          <w:b w:val="1"/>
          <w:bCs w:val="1"/>
          <w:sz w:val="28"/>
          <w:szCs w:val="28"/>
        </w:rPr>
      </w:pPr>
    </w:p>
    <w:p>
      <w:pPr>
        <w:spacing w:before="156" w:beforeLines="50"/>
        <w:rPr>
          <w:rFonts w:hint="eastAsia" w:ascii="黑体" w:hAnsi="黑体" w:eastAsia="黑体"/>
          <w:b w:val="1"/>
          <w:bCs w:val="1"/>
          <w:sz w:val="28"/>
          <w:szCs w:val="28"/>
        </w:rPr>
      </w:pPr>
    </w:p>
    <w:p>
      <w:pPr>
        <w:spacing w:before="156" w:beforeLines="50"/>
        <w:rPr>
          <w:rFonts w:hint="eastAsia" w:ascii="黑体" w:hAnsi="黑体" w:eastAsia="黑体"/>
          <w:b w:val="1"/>
          <w:bCs w:val="1"/>
          <w:sz w:val="28"/>
          <w:szCs w:val="28"/>
        </w:rPr>
      </w:pPr>
    </w:p>
    <w:p>
      <w:pPr>
        <w:spacing w:before="156" w:beforeLines="50"/>
        <w:rPr>
          <w:rFonts w:hint="eastAsia" w:ascii="黑体" w:hAnsi="黑体" w:eastAsia="黑体"/>
          <w:b w:val="1"/>
          <w:bCs w:val="1"/>
          <w:sz w:val="28"/>
          <w:szCs w:val="28"/>
        </w:rPr>
      </w:pPr>
    </w:p>
    <w:p>
      <w:pPr>
        <w:spacing w:before="156" w:beforeLines="50"/>
        <w:rPr>
          <w:rFonts w:hint="eastAsia" w:ascii="黑体" w:hAnsi="黑体" w:eastAsia="黑体"/>
          <w:b w:val="1"/>
          <w:bCs w:val="1"/>
          <w:sz w:val="28"/>
          <w:szCs w:val="28"/>
        </w:rPr>
      </w:pPr>
    </w:p>
    <w:p>
      <w:pPr>
        <w:spacing w:before="156" w:beforeLines="50"/>
        <w:rPr>
          <w:rFonts w:hint="eastAsia" w:ascii="黑体" w:hAnsi="黑体" w:eastAsia="黑体"/>
          <w:b w:val="1"/>
          <w:bCs w:val="1"/>
          <w:sz w:val="28"/>
          <w:szCs w:val="28"/>
        </w:rPr>
      </w:pPr>
      <w:r>
        <w:rPr>
          <w:rFonts w:hint="eastAsia" w:ascii="黑体" w:hAnsi="黑体" w:eastAsia="黑体"/>
          <w:b w:val="1"/>
          <w:bCs w:val="1"/>
          <w:sz w:val="28"/>
          <w:szCs w:val="28"/>
        </w:rPr>
        <w:t>二、</w:t>
      </w:r>
      <w:r>
        <w:rPr>
          <w:rFonts w:ascii="黑体" w:hAnsi="黑体" w:eastAsia="黑体"/>
          <w:b w:val="1"/>
          <w:bCs w:val="1"/>
          <w:sz w:val="28"/>
          <w:szCs w:val="28"/>
        </w:rPr>
        <w:t xml:space="preserve"> 盈利模式</w:t>
      </w:r>
    </w:p>
    <w:p>
      <w:pPr>
        <w:spacing w:before="156" w:beforeLines="50"/>
        <w:ind w:firstLine="420"/>
        <w:rPr>
          <w:rFonts w:hint="eastAsia" w:ascii="宋体" w:hAnsi="宋体" w:eastAsia="宋体"/>
          <w:sz w:val="24"/>
          <w:szCs w:val="24"/>
        </w:rPr>
      </w:pPr>
      <w:r>
        <w:rPr>
          <w:rFonts w:ascii="宋体" w:hAnsi="宋体" w:eastAsia="宋体"/>
          <w:noProof w:val="1"/>
          <w:sz w:val="24"/>
          <w:szCs w:val="24"/>
        </w:rPr>
        <w:drawing>
          <wp:anchor distT="0" distB="0" distL="114300" distR="114300" simplePos="0" relativeHeight="251661312" behindDoc="0" locked="0" layoutInCell="1" allowOverlap="1">
            <wp:simplePos x="0" y="0"/>
            <wp:positionH relativeFrom="margin">
              <wp:posOffset>619182</wp:posOffset>
            </wp:positionH>
            <wp:positionV relativeFrom="paragraph">
              <wp:posOffset>989099</wp:posOffset>
            </wp:positionV>
            <wp:extent cx="4265700" cy="3120442"/>
            <wp:effectExtent l="0" t="0" r="1905" b="3810"/>
            <wp:wrapTopAndBottom/>
            <wp:docPr id="11" name="图片 4"/>
            <wp:cNvGraphicFramePr>
              <a:graphicFrameLocks noChangeAspect="1"/>
            </wp:cNvGraphicFramePr>
            <a:graphic>
              <a:graphicData uri="http://schemas.openxmlformats.org/drawingml/2006/picture">
                <pic:pic>
                  <pic:nvPicPr>
                    <pic:cNvPr id="12" name="Picture 4"/>
                    <pic:cNvPicPr>
                      <a:picLocks noChangeAspect="1" noChangeArrowheads="1"/>
                    </pic:cNvPicPr>
                  </pic:nvPicPr>
                  <pic:blipFill>
                    <a:blip r:embed="rId18" cstate="print">
                      <a:extLst>
                        <a:ext uri="{28A0092B-C50C-407E-A947-70E740481C1C}"/>
                      </a:extLst>
                    </a:blip>
                    <a:srcRect/>
                    <a:stretch>
                      <a:fillRect/>
                    </a:stretch>
                  </pic:blipFill>
                  <pic:spPr bwMode="auto">
                    <a:xfrm>
                      <a:off x="0" y="0"/>
                      <a:ext cx="4265700" cy="3120442"/>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宋体" w:hAnsi="宋体" w:eastAsia="宋体"/>
          <w:sz w:val="24"/>
          <w:szCs w:val="24"/>
        </w:rPr>
        <w:t>本方案构建了</w:t>
      </w:r>
      <w:r>
        <w:rPr>
          <w:rFonts w:ascii="宋体" w:hAnsi="宋体" w:eastAsia="宋体"/>
          <w:b w:val="1"/>
          <w:bCs w:val="1"/>
          <w:color w:val="215E99" w:themeColor="text2" w:themeTint="BF"/>
          <w:sz w:val="24"/>
          <w:szCs w:val="24"/>
        </w:rPr>
        <w:t>“硬件销售+服务费+算法授权+保险合作”四位一体的盈利模式</w:t>
      </w:r>
      <w:r>
        <w:rPr>
          <w:rFonts w:ascii="宋体" w:hAnsi="宋体" w:eastAsia="宋体"/>
          <w:sz w:val="24"/>
          <w:szCs w:val="24"/>
        </w:rPr>
        <w:t>，既保障短期现金流，又布局长期可持续收入。如</w:t>
      </w:r>
      <w:r>
        <w:rPr>
          <w:rFonts w:ascii="宋体" w:hAnsi="宋体" w:eastAsia="宋体"/>
          <w:color w:val="EE0000"/>
          <w:sz w:val="24"/>
          <w:szCs w:val="24"/>
        </w:rPr>
        <w:t>图</w:t>
      </w:r>
      <w:r>
        <w:rPr>
          <w:rFonts w:hint="eastAsia" w:ascii="宋体" w:hAnsi="宋体" w:eastAsia="宋体"/>
          <w:color w:val="EE0000"/>
          <w:sz w:val="24"/>
          <w:szCs w:val="24"/>
        </w:rPr>
        <w:t>5-2-1</w:t>
      </w:r>
      <w:r>
        <w:rPr>
          <w:rFonts w:ascii="宋体" w:hAnsi="宋体" w:eastAsia="宋体"/>
          <w:color w:val="EE0000"/>
          <w:sz w:val="24"/>
          <w:szCs w:val="24"/>
        </w:rPr>
        <w:t>（盈利模式饼图）</w:t>
      </w:r>
      <w:r>
        <w:rPr>
          <w:rFonts w:ascii="宋体" w:hAnsi="宋体" w:eastAsia="宋体"/>
          <w:sz w:val="24"/>
          <w:szCs w:val="24"/>
        </w:rPr>
        <w:t>所示，预计第3年硬件销售占比60%，服务费20%，算法授权15%，保险合作5%，形成多元化的收入结构。</w:t>
      </w:r>
    </w:p>
    <w:p>
      <w:pPr>
        <w:spacing w:before="156" w:beforeLines="50"/>
        <w:ind w:firstLine="420"/>
        <w:jc w:val="center"/>
        <w:rPr>
          <w:rFonts w:hint="eastAsia" w:ascii="黑体" w:hAnsi="黑体" w:eastAsia="黑体"/>
          <w:sz w:val="18"/>
          <w:szCs w:val="18"/>
        </w:rPr>
      </w:pPr>
      <w:r>
        <w:rPr>
          <w:rFonts w:hint="eastAsia" w:ascii="黑体" w:hAnsi="黑体" w:eastAsia="黑体"/>
          <w:sz w:val="18"/>
          <w:szCs w:val="18"/>
        </w:rPr>
        <w:t>图5-2-1</w:t>
      </w:r>
    </w:p>
    <w:p>
      <w:pPr>
        <w:spacing w:before="156" w:beforeLines="50"/>
        <w:rPr>
          <w:rFonts w:hint="eastAsia" w:ascii="宋体" w:hAnsi="宋体" w:eastAsia="宋体"/>
          <w:sz w:val="24"/>
          <w:szCs w:val="24"/>
        </w:rPr>
      </w:pPr>
      <w:r>
        <w:rPr>
          <w:rFonts w:hint="eastAsia" w:ascii="宋体" w:hAnsi="宋体" w:eastAsia="宋体"/>
          <w:b w:val="1"/>
          <w:bCs w:val="1"/>
          <w:sz w:val="24"/>
          <w:szCs w:val="24"/>
        </w:rPr>
        <w:t>（一）</w:t>
      </w:r>
      <w:r>
        <w:rPr>
          <w:rFonts w:ascii="宋体" w:hAnsi="宋体" w:eastAsia="宋体"/>
          <w:b w:val="1"/>
          <w:bCs w:val="1"/>
          <w:sz w:val="24"/>
          <w:szCs w:val="24"/>
        </w:rPr>
        <w:t>硬件销售：快速占领市场的基石</w:t>
      </w:r>
      <w:r>
        <w:rPr>
          <w:rFonts w:ascii="宋体" w:hAnsi="宋体" w:eastAsia="宋体"/>
          <w:sz w:val="24"/>
          <w:szCs w:val="24"/>
        </w:rPr>
        <w:br w:type="textWrapping"/>
      </w:r>
      <w:r>
        <w:rPr>
          <w:rFonts w:ascii="宋体" w:hAnsi="宋体" w:eastAsia="宋体"/>
          <w:sz w:val="24"/>
          <w:szCs w:val="24"/>
        </w:rPr>
        <w:t>硬件销售是本方案初期的核心收入来源。基于ESP32-S3低功耗芯片和毫米波雷达的极致成本控制，本方案硬件BOM成本仅228-285元，建议售价</w:t>
      </w:r>
      <w:r>
        <w:rPr>
          <w:rFonts w:hint="eastAsia" w:ascii="宋体" w:hAnsi="宋体" w:eastAsia="宋体"/>
          <w:sz w:val="24"/>
          <w:szCs w:val="24"/>
        </w:rPr>
        <w:t xml:space="preserve"> </w:t>
      </w:r>
      <w:r>
        <w:rPr>
          <w:rFonts w:ascii="宋体" w:hAnsi="宋体" w:eastAsia="宋体"/>
          <w:sz w:val="24"/>
          <w:szCs w:val="24"/>
        </w:rPr>
        <w:t>1280-1480元/套，毛利率高达71%。这一价格定位显著低于市场主流竞品（1800-2500元），让普通物流车队也能负担得起。硬件销售采用“设备+基础服务”的捆绑模式，首年服务费已包含在售价中，客户无需额外付费即可享受实时预警、本地数据记录等核心功能。随着销量增长，硬件成本将进一步下降，毛利率有望提升至75%以上。</w:t>
      </w:r>
    </w:p>
    <w:p>
      <w:pPr>
        <w:spacing w:before="156" w:beforeLines="50"/>
        <w:rPr>
          <w:rFonts w:hint="eastAsia" w:ascii="宋体" w:hAnsi="宋体" w:eastAsia="宋体"/>
          <w:sz w:val="24"/>
          <w:szCs w:val="24"/>
        </w:rPr>
      </w:pPr>
      <w:r>
        <w:rPr>
          <w:rFonts w:hint="eastAsia" w:ascii="宋体" w:hAnsi="宋体" w:eastAsia="宋体"/>
          <w:b w:val="1"/>
          <w:bCs w:val="1"/>
          <w:sz w:val="24"/>
          <w:szCs w:val="24"/>
        </w:rPr>
        <w:t>（二）</w:t>
      </w:r>
      <w:r>
        <w:rPr>
          <w:rFonts w:ascii="宋体" w:hAnsi="宋体" w:eastAsia="宋体"/>
          <w:b w:val="1"/>
          <w:bCs w:val="1"/>
          <w:sz w:val="24"/>
          <w:szCs w:val="24"/>
        </w:rPr>
        <w:t>服务费：构建持续性收入来源</w:t>
      </w:r>
      <w:r>
        <w:rPr>
          <w:rFonts w:ascii="宋体" w:hAnsi="宋体" w:eastAsia="宋体"/>
          <w:sz w:val="24"/>
          <w:szCs w:val="24"/>
        </w:rPr>
        <w:br w:type="textWrapping"/>
      </w:r>
      <w:r>
        <w:rPr>
          <w:rFonts w:ascii="宋体" w:hAnsi="宋体" w:eastAsia="宋体"/>
          <w:sz w:val="24"/>
          <w:szCs w:val="24"/>
        </w:rPr>
        <w:t>服务费是项目从“一次性买卖”转向“长期服务”的关键。针对大型车队客户，本方案提供年费制数据服务（建议300-500元/年/车），内容包括：</w:t>
      </w:r>
    </w:p>
    <w:p>
      <w:pPr>
        <w:tabs>
          <w:tab w:val="num" w:pos="720"/>
        </w:tabs>
        <w:spacing w:before="156" w:beforeLines="50"/>
        <w:ind w:firstLine="420"/>
        <w:rPr>
          <w:rFonts w:hint="eastAsia" w:ascii="宋体" w:hAnsi="宋体" w:eastAsia="宋体"/>
          <w:sz w:val="24"/>
          <w:szCs w:val="24"/>
        </w:rPr>
      </w:pPr>
      <w:r>
        <w:rPr>
          <w:rFonts w:ascii="宋体" w:hAnsi="宋体" w:eastAsia="宋体"/>
          <w:b w:val="1"/>
          <w:bCs w:val="1"/>
          <w:color w:val="215E99" w:themeColor="text2" w:themeTint="BF"/>
          <w:sz w:val="24"/>
          <w:szCs w:val="24"/>
        </w:rPr>
        <w:t>事故数据分析：</w:t>
      </w:r>
      <w:r>
        <w:rPr>
          <w:rFonts w:ascii="宋体" w:hAnsi="宋体" w:eastAsia="宋体"/>
          <w:sz w:val="24"/>
          <w:szCs w:val="24"/>
        </w:rPr>
        <w:t>记录每次报警的时间、位置、车辆状态，生成事故黑点报告，帮助车队优化路线和管理。</w:t>
      </w:r>
    </w:p>
    <w:p>
      <w:pPr>
        <w:tabs>
          <w:tab w:val="num" w:pos="720"/>
        </w:tabs>
        <w:spacing w:before="156" w:beforeLines="50"/>
        <w:ind w:firstLine="420"/>
        <w:rPr>
          <w:rFonts w:hint="eastAsia" w:ascii="宋体" w:hAnsi="宋体" w:eastAsia="宋体"/>
          <w:sz w:val="24"/>
          <w:szCs w:val="24"/>
        </w:rPr>
      </w:pPr>
      <w:r>
        <w:rPr>
          <w:rFonts w:ascii="宋体" w:hAnsi="宋体" w:eastAsia="宋体"/>
          <w:b w:val="1"/>
          <w:bCs w:val="1"/>
          <w:color w:val="215E99" w:themeColor="text2" w:themeTint="BF"/>
          <w:sz w:val="24"/>
          <w:szCs w:val="24"/>
        </w:rPr>
        <w:t>驾驶行为报告：</w:t>
      </w:r>
      <w:r>
        <w:rPr>
          <w:rFonts w:ascii="宋体" w:hAnsi="宋体" w:eastAsia="宋体"/>
          <w:sz w:val="24"/>
          <w:szCs w:val="24"/>
        </w:rPr>
        <w:t>统计司机的右转操作习惯（如转向角大小、车速控制），辅助车队进行安全培训和绩效考核。</w:t>
      </w:r>
    </w:p>
    <w:p>
      <w:pPr>
        <w:tabs>
          <w:tab w:val="num" w:pos="720"/>
        </w:tabs>
        <w:spacing w:before="156" w:beforeLines="50"/>
        <w:ind w:firstLine="420"/>
        <w:rPr>
          <w:rFonts w:hint="eastAsia" w:ascii="宋体" w:hAnsi="宋体" w:eastAsia="宋体"/>
          <w:sz w:val="24"/>
          <w:szCs w:val="24"/>
        </w:rPr>
      </w:pPr>
      <w:r>
        <w:rPr>
          <w:rFonts w:ascii="宋体" w:hAnsi="宋体" w:eastAsia="宋体"/>
          <w:b w:val="1"/>
          <w:bCs w:val="1"/>
          <w:color w:val="215E99" w:themeColor="text2" w:themeTint="BF"/>
          <w:sz w:val="24"/>
          <w:szCs w:val="24"/>
        </w:rPr>
        <w:t>远程升级与运维：</w:t>
      </w:r>
      <w:r>
        <w:rPr>
          <w:rFonts w:ascii="宋体" w:hAnsi="宋体" w:eastAsia="宋体"/>
          <w:sz w:val="24"/>
          <w:szCs w:val="24"/>
        </w:rPr>
        <w:t>持续推送算法优化版本，无需车辆到店即可完成系统升级。</w:t>
      </w:r>
    </w:p>
    <w:p>
      <w:pPr>
        <w:spacing w:before="156" w:beforeLines="50"/>
        <w:ind w:firstLine="420"/>
        <w:rPr>
          <w:rFonts w:hint="eastAsia" w:ascii="宋体" w:hAnsi="宋体" w:eastAsia="宋体"/>
          <w:sz w:val="24"/>
          <w:szCs w:val="24"/>
        </w:rPr>
      </w:pPr>
      <w:r>
        <w:rPr>
          <w:rFonts w:ascii="宋体" w:hAnsi="宋体" w:eastAsia="宋体"/>
          <w:b w:val="1"/>
          <w:bCs w:val="1"/>
          <w:color w:val="215E99" w:themeColor="text2" w:themeTint="BF"/>
          <w:sz w:val="24"/>
          <w:szCs w:val="24"/>
        </w:rPr>
        <w:t>服务费的推出基于两个判断：</w:t>
      </w:r>
      <w:r>
        <w:rPr>
          <w:rFonts w:ascii="宋体" w:hAnsi="宋体" w:eastAsia="宋体"/>
          <w:sz w:val="24"/>
          <w:szCs w:val="24"/>
        </w:rPr>
        <w:t>一是大型车队对数据管理的需求日益迫切，二是本方案已通过硬件销售建立了一定的客户基础。预计第3年服务费收入占比将达到20%，成为稳定的现金流来源。</w:t>
      </w:r>
    </w:p>
    <w:p>
      <w:pPr>
        <w:spacing w:before="156" w:beforeLines="50"/>
        <w:rPr>
          <w:rFonts w:hint="eastAsia" w:ascii="宋体" w:hAnsi="宋体" w:eastAsia="宋体"/>
          <w:sz w:val="24"/>
          <w:szCs w:val="24"/>
        </w:rPr>
      </w:pPr>
      <w:r>
        <w:rPr>
          <w:rFonts w:hint="eastAsia" w:ascii="宋体" w:hAnsi="宋体" w:eastAsia="宋体"/>
          <w:b w:val="1"/>
          <w:bCs w:val="1"/>
          <w:sz w:val="24"/>
          <w:szCs w:val="24"/>
        </w:rPr>
        <w:t>（三）</w:t>
      </w:r>
      <w:r>
        <w:rPr>
          <w:rFonts w:ascii="宋体" w:hAnsi="宋体" w:eastAsia="宋体"/>
          <w:b w:val="1"/>
          <w:bCs w:val="1"/>
          <w:sz w:val="24"/>
          <w:szCs w:val="24"/>
        </w:rPr>
        <w:t>算法授权：切入前装市场的敲门砖</w:t>
      </w:r>
      <w:r>
        <w:rPr>
          <w:rFonts w:ascii="宋体" w:hAnsi="宋体" w:eastAsia="宋体"/>
          <w:sz w:val="24"/>
          <w:szCs w:val="24"/>
        </w:rPr>
        <w:br w:type="textWrapping"/>
      </w:r>
      <w:r>
        <w:rPr>
          <w:rFonts w:ascii="宋体" w:hAnsi="宋体" w:eastAsia="宋体"/>
          <w:sz w:val="24"/>
          <w:szCs w:val="24"/>
        </w:rPr>
        <w:t>随着国家标准《商用车弱势道路交通参与者移动监测系统技术要求》的推进，前装市场将成为未来的爆发点。本方案可向挂车厂、主机厂提供算法SDK授权，适配不同硬件平台。算法授权的优势在于：</w:t>
      </w:r>
    </w:p>
    <w:p>
      <w:pPr>
        <w:tabs>
          <w:tab w:val="num" w:pos="720"/>
        </w:tabs>
        <w:spacing w:before="156" w:beforeLines="50"/>
        <w:ind w:firstLine="420"/>
        <w:rPr>
          <w:rFonts w:hint="eastAsia" w:ascii="宋体" w:hAnsi="宋体" w:eastAsia="宋体"/>
          <w:sz w:val="24"/>
          <w:szCs w:val="24"/>
        </w:rPr>
      </w:pPr>
      <w:r>
        <w:rPr>
          <w:rFonts w:ascii="宋体" w:hAnsi="宋体" w:eastAsia="宋体"/>
          <w:b w:val="1"/>
          <w:bCs w:val="1"/>
          <w:color w:val="215E99" w:themeColor="text2" w:themeTint="BF"/>
          <w:sz w:val="24"/>
          <w:szCs w:val="24"/>
        </w:rPr>
        <w:t>白盒模型易认证：</w:t>
      </w:r>
      <w:r>
        <w:rPr>
          <w:rFonts w:ascii="宋体" w:hAnsi="宋体" w:eastAsia="宋体"/>
          <w:sz w:val="24"/>
          <w:szCs w:val="24"/>
        </w:rPr>
        <w:t>基于经典力学原理的物理模型，在功能安全认证（ISO 26262）上远优于黑盒AI，为主机厂节省认证时间和成本。</w:t>
      </w:r>
    </w:p>
    <w:p>
      <w:pPr>
        <w:tabs>
          <w:tab w:val="num" w:pos="720"/>
        </w:tabs>
        <w:spacing w:before="156" w:beforeLines="50"/>
        <w:ind w:firstLine="420"/>
        <w:rPr>
          <w:rFonts w:hint="eastAsia" w:ascii="宋体" w:hAnsi="宋体" w:eastAsia="宋体"/>
          <w:sz w:val="24"/>
          <w:szCs w:val="24"/>
        </w:rPr>
      </w:pPr>
      <w:r>
        <w:rPr>
          <w:rFonts w:ascii="宋体" w:hAnsi="宋体" w:eastAsia="宋体"/>
          <w:b w:val="1"/>
          <w:bCs w:val="1"/>
          <w:color w:val="215E99" w:themeColor="text2" w:themeTint="BF"/>
          <w:sz w:val="24"/>
          <w:szCs w:val="24"/>
        </w:rPr>
        <w:t>轻量化易集成：</w:t>
      </w:r>
      <w:r>
        <w:rPr>
          <w:rFonts w:ascii="宋体" w:hAnsi="宋体" w:eastAsia="宋体"/>
          <w:sz w:val="24"/>
          <w:szCs w:val="24"/>
        </w:rPr>
        <w:t>算法经深度优化，可在低算力芯片上运行，降低主机厂的硬件成本。</w:t>
      </w:r>
    </w:p>
    <w:p>
      <w:pPr>
        <w:spacing w:before="156" w:beforeLines="50"/>
        <w:ind w:firstLine="420"/>
        <w:rPr>
          <w:rFonts w:hint="eastAsia" w:ascii="宋体" w:hAnsi="宋体" w:eastAsia="宋体"/>
          <w:sz w:val="24"/>
          <w:szCs w:val="24"/>
        </w:rPr>
      </w:pPr>
      <w:r>
        <w:rPr>
          <w:rFonts w:ascii="宋体" w:hAnsi="宋体" w:eastAsia="宋体"/>
          <w:sz w:val="24"/>
          <w:szCs w:val="24"/>
        </w:rPr>
        <w:t>算法授权费用采用“一次性License费+单车Royalty”模式，预计第3年贡献15%的收入。目前已与部分挂车生产企业接洽前装适配合作，为抢占法规窗口期做好准备。</w:t>
      </w:r>
    </w:p>
    <w:p>
      <w:pPr>
        <w:spacing w:before="156" w:beforeLines="50"/>
        <w:rPr>
          <w:rFonts w:hint="eastAsia" w:ascii="宋体" w:hAnsi="宋体" w:eastAsia="宋体"/>
          <w:sz w:val="24"/>
          <w:szCs w:val="24"/>
        </w:rPr>
      </w:pPr>
      <w:r>
        <w:rPr>
          <w:rFonts w:hint="eastAsia" w:ascii="宋体" w:hAnsi="宋体" w:eastAsia="宋体"/>
          <w:b w:val="1"/>
          <w:bCs w:val="1"/>
          <w:sz w:val="24"/>
          <w:szCs w:val="24"/>
        </w:rPr>
        <w:t>（四）</w:t>
      </w:r>
      <w:r>
        <w:rPr>
          <w:rFonts w:ascii="宋体" w:hAnsi="宋体" w:eastAsia="宋体"/>
          <w:b w:val="1"/>
          <w:bCs w:val="1"/>
          <w:sz w:val="24"/>
          <w:szCs w:val="24"/>
        </w:rPr>
        <w:t>保险合作（UBI）：探索跨界创新</w:t>
      </w:r>
      <w:r>
        <w:rPr>
          <w:rFonts w:ascii="宋体" w:hAnsi="宋体" w:eastAsia="宋体"/>
          <w:sz w:val="24"/>
          <w:szCs w:val="24"/>
        </w:rPr>
        <w:br w:type="textWrapping"/>
      </w:r>
      <w:r>
        <w:rPr>
          <w:rFonts w:ascii="宋体" w:hAnsi="宋体" w:eastAsia="宋体"/>
          <w:sz w:val="24"/>
          <w:szCs w:val="24"/>
        </w:rPr>
        <w:t>本方案与保险公司的合作基于UBI（Usage-Based Insurance，基于使用行为的保险）模式。安装本系统后，车队的右转事故风险显著降低，保险公司可据此提供保费折扣。具体合作方式为：</w:t>
      </w:r>
    </w:p>
    <w:p>
      <w:pPr>
        <w:spacing w:before="156" w:beforeLines="50"/>
        <w:ind w:firstLine="420"/>
        <w:rPr>
          <w:rFonts w:hint="eastAsia" w:ascii="宋体" w:hAnsi="宋体" w:eastAsia="宋体"/>
          <w:sz w:val="24"/>
          <w:szCs w:val="24"/>
        </w:rPr>
      </w:pPr>
      <w:r>
        <w:rPr>
          <w:rFonts w:ascii="宋体" w:hAnsi="宋体" w:eastAsia="宋体"/>
          <w:b w:val="1"/>
          <w:bCs w:val="1"/>
          <w:color w:val="215E99" w:themeColor="text2" w:themeTint="BF"/>
          <w:sz w:val="24"/>
          <w:szCs w:val="24"/>
        </w:rPr>
        <w:t>数据共享：</w:t>
      </w:r>
      <w:r>
        <w:rPr>
          <w:rFonts w:ascii="宋体" w:hAnsi="宋体" w:eastAsia="宋体"/>
          <w:sz w:val="24"/>
          <w:szCs w:val="24"/>
        </w:rPr>
        <w:t>经客户授权，本系统向保险公司提供匿名的驾驶行为数据（如右转次数、急转弯频率），作为保费定价依据。</w:t>
      </w:r>
    </w:p>
    <w:p>
      <w:pPr>
        <w:spacing w:before="156" w:beforeLines="50"/>
        <w:ind w:firstLine="420"/>
        <w:rPr>
          <w:rFonts w:hint="eastAsia" w:ascii="宋体" w:hAnsi="宋体" w:eastAsia="宋体"/>
          <w:sz w:val="24"/>
          <w:szCs w:val="24"/>
        </w:rPr>
      </w:pPr>
      <w:r>
        <w:rPr>
          <w:rFonts w:ascii="宋体" w:hAnsi="宋体" w:eastAsia="宋体"/>
          <w:b w:val="1"/>
          <w:bCs w:val="1"/>
          <w:color w:val="215E99" w:themeColor="text2" w:themeTint="BF"/>
          <w:sz w:val="24"/>
          <w:szCs w:val="24"/>
        </w:rPr>
        <w:t>保费分成：</w:t>
      </w:r>
      <w:r>
        <w:rPr>
          <w:rFonts w:ascii="宋体" w:hAnsi="宋体" w:eastAsia="宋体"/>
          <w:sz w:val="24"/>
          <w:szCs w:val="24"/>
        </w:rPr>
        <w:t>保险公司从节省的理赔成本中提取一定比例，与本方案运营方分成。</w:t>
      </w:r>
    </w:p>
    <w:p>
      <w:pPr>
        <w:spacing w:before="156" w:beforeLines="50"/>
        <w:ind w:firstLine="420"/>
        <w:rPr>
          <w:rFonts w:hint="eastAsia" w:ascii="宋体" w:hAnsi="宋体" w:eastAsia="宋体"/>
          <w:sz w:val="24"/>
          <w:szCs w:val="24"/>
        </w:rPr>
      </w:pPr>
      <w:r>
        <w:rPr>
          <w:rFonts w:ascii="宋体" w:hAnsi="宋体" w:eastAsia="宋体"/>
          <w:sz w:val="24"/>
          <w:szCs w:val="24"/>
        </w:rPr>
        <w:t>这一模式已在欧美商用车保险市场得到验证，国内正处于起步阶段。本方案的事故数据记录功能为保险合作提供了技术基础，预计第3年贡献5%的收入。随着数据积累和保险公司认知提升，这一比例有望进一步增长。</w:t>
      </w:r>
    </w:p>
    <w:p>
      <w:pPr>
        <w:spacing w:before="156" w:beforeLines="50"/>
        <w:ind w:firstLine="420"/>
        <w:rPr>
          <w:rFonts w:hint="eastAsia" w:ascii="宋体" w:hAnsi="宋体" w:eastAsia="宋体"/>
          <w:sz w:val="24"/>
          <w:szCs w:val="24"/>
        </w:rPr>
      </w:pPr>
      <w:r>
        <w:rPr>
          <w:rFonts w:ascii="宋体" w:hAnsi="宋体" w:eastAsia="宋体"/>
          <w:sz w:val="24"/>
          <w:szCs w:val="24"/>
        </w:rPr>
        <w:t>四种盈利模式相互支撑：硬件销售快速打开市场，服务费增强客户粘性，算法授权抢占前装高地，保险合作探索跨界创新，共同构建项目的商业闭环。</w:t>
      </w:r>
    </w:p>
    <w:p>
      <w:pPr>
        <w:spacing w:before="156" w:beforeLines="50"/>
        <w:ind w:firstLine="420"/>
        <w:rPr>
          <w:rFonts w:hint="eastAsia" w:ascii="黑体" w:hAnsi="黑体" w:eastAsia="黑体"/>
          <w:b w:val="1"/>
          <w:bCs w:val="1"/>
          <w:sz w:val="28"/>
          <w:szCs w:val="28"/>
        </w:rPr>
      </w:pPr>
    </w:p>
    <w:p>
      <w:pPr>
        <w:spacing w:before="156" w:beforeLines="50"/>
        <w:rPr>
          <w:rFonts w:hint="eastAsia" w:ascii="黑体" w:hAnsi="黑体" w:eastAsia="黑体"/>
          <w:b w:val="1"/>
          <w:bCs w:val="1"/>
          <w:sz w:val="28"/>
          <w:szCs w:val="28"/>
        </w:rPr>
      </w:pPr>
    </w:p>
    <w:p>
      <w:pPr>
        <w:spacing w:before="156" w:beforeLines="50"/>
        <w:rPr>
          <w:rFonts w:hint="eastAsia" w:ascii="黑体" w:hAnsi="黑体" w:eastAsia="黑体"/>
          <w:b w:val="1"/>
          <w:bCs w:val="1"/>
          <w:sz w:val="28"/>
          <w:szCs w:val="28"/>
        </w:rPr>
      </w:pPr>
    </w:p>
    <w:p>
      <w:pPr>
        <w:spacing w:before="156" w:beforeLines="50"/>
        <w:rPr>
          <w:rFonts w:hint="eastAsia" w:ascii="黑体" w:hAnsi="黑体" w:eastAsia="黑体"/>
          <w:b w:val="1"/>
          <w:bCs w:val="1"/>
          <w:sz w:val="28"/>
          <w:szCs w:val="28"/>
        </w:rPr>
      </w:pPr>
    </w:p>
    <w:p>
      <w:pPr>
        <w:spacing w:before="156" w:beforeLines="50"/>
        <w:rPr>
          <w:rFonts w:hint="eastAsia" w:ascii="黑体" w:hAnsi="黑体" w:eastAsia="黑体"/>
          <w:b w:val="1"/>
          <w:bCs w:val="1"/>
          <w:sz w:val="28"/>
          <w:szCs w:val="28"/>
        </w:rPr>
      </w:pPr>
    </w:p>
    <w:p>
      <w:pPr>
        <w:spacing w:before="156" w:beforeLines="50"/>
        <w:rPr>
          <w:rFonts w:hint="eastAsia"/>
          <w:b w:val="1"/>
          <w:bCs w:val="1"/>
        </w:rPr>
      </w:pPr>
      <w:r>
        <w:rPr>
          <w:rFonts w:hint="eastAsia" w:ascii="黑体" w:hAnsi="黑体" w:eastAsia="黑体"/>
          <w:b w:val="1"/>
          <w:bCs w:val="1"/>
          <w:sz w:val="28"/>
          <w:szCs w:val="28"/>
        </w:rPr>
        <w:t>三、</w:t>
      </w:r>
      <w:r>
        <w:rPr>
          <w:rFonts w:ascii="黑体" w:hAnsi="黑体" w:eastAsia="黑体"/>
          <w:b w:val="1"/>
          <w:bCs w:val="1"/>
          <w:sz w:val="28"/>
          <w:szCs w:val="28"/>
        </w:rPr>
        <w:t xml:space="preserve"> 市场推广策略</w:t>
      </w:r>
    </w:p>
    <w:p>
      <w:pPr>
        <w:spacing w:before="156" w:beforeLines="50"/>
        <w:rPr>
          <w:rFonts w:hint="eastAsia" w:ascii="宋体" w:hAnsi="宋体" w:eastAsia="宋体"/>
          <w:b w:val="1"/>
          <w:bCs w:val="1"/>
          <w:sz w:val="24"/>
          <w:szCs w:val="24"/>
        </w:rPr>
      </w:pPr>
      <w:r>
        <w:rPr>
          <w:rFonts w:hint="eastAsia" w:ascii="宋体" w:hAnsi="宋体" w:eastAsia="宋体"/>
          <w:b w:val="1"/>
          <w:bCs w:val="1"/>
          <w:sz w:val="24"/>
          <w:szCs w:val="24"/>
        </w:rPr>
        <w:t>（一）</w:t>
      </w:r>
      <w:r>
        <w:rPr>
          <w:rFonts w:ascii="宋体" w:hAnsi="宋体" w:eastAsia="宋体"/>
          <w:b w:val="1"/>
          <w:bCs w:val="1"/>
          <w:sz w:val="24"/>
          <w:szCs w:val="24"/>
        </w:rPr>
        <w:t>政府端推广</w:t>
      </w:r>
    </w:p>
    <w:p>
      <w:pPr>
        <w:spacing w:before="156" w:beforeLines="50"/>
        <w:ind w:firstLine="420"/>
        <w:rPr>
          <w:rFonts w:hint="eastAsia" w:ascii="宋体" w:hAnsi="宋体" w:eastAsia="宋体"/>
          <w:sz w:val="24"/>
          <w:szCs w:val="24"/>
        </w:rPr>
      </w:pPr>
      <w:r>
        <w:rPr>
          <w:rFonts w:hint="eastAsia" w:ascii="宋体" w:hAnsi="宋体" w:eastAsia="宋体"/>
          <w:sz w:val="24"/>
          <w:szCs w:val="24"/>
        </w:rPr>
        <w:t>1.</w:t>
      </w:r>
      <w:r>
        <w:rPr>
          <w:rFonts w:ascii="宋体" w:hAnsi="宋体" w:eastAsia="宋体"/>
          <w:sz w:val="24"/>
          <w:szCs w:val="24"/>
        </w:rPr>
        <w:t>对接地方交通管理部门，争取成为推荐产品</w:t>
      </w:r>
    </w:p>
    <w:p>
      <w:pPr>
        <w:spacing w:before="156" w:beforeLines="50"/>
        <w:ind w:firstLine="420"/>
        <w:rPr>
          <w:rFonts w:hint="eastAsia" w:ascii="宋体" w:hAnsi="宋体" w:eastAsia="宋体"/>
          <w:sz w:val="24"/>
          <w:szCs w:val="24"/>
        </w:rPr>
      </w:pPr>
      <w:r>
        <w:rPr>
          <w:rFonts w:hint="eastAsia" w:ascii="宋体" w:hAnsi="宋体" w:eastAsia="宋体"/>
          <w:sz w:val="24"/>
          <w:szCs w:val="24"/>
        </w:rPr>
        <w:t>2.</w:t>
      </w:r>
      <w:r>
        <w:rPr>
          <w:rFonts w:ascii="宋体" w:hAnsi="宋体" w:eastAsia="宋体"/>
          <w:sz w:val="24"/>
          <w:szCs w:val="24"/>
        </w:rPr>
        <w:t>参与行业标准研讨，推动技术纳入商用车安全标准</w:t>
      </w:r>
    </w:p>
    <w:p>
      <w:pPr>
        <w:spacing w:before="156" w:beforeLines="50"/>
        <w:rPr>
          <w:rFonts w:hint="eastAsia" w:ascii="宋体" w:hAnsi="宋体" w:eastAsia="宋体"/>
          <w:b w:val="1"/>
          <w:bCs w:val="1"/>
          <w:sz w:val="24"/>
          <w:szCs w:val="24"/>
        </w:rPr>
      </w:pPr>
      <w:r>
        <w:rPr>
          <w:rFonts w:hint="eastAsia" w:ascii="宋体" w:hAnsi="宋体" w:eastAsia="宋体"/>
          <w:b w:val="1"/>
          <w:bCs w:val="1"/>
          <w:sz w:val="24"/>
          <w:szCs w:val="24"/>
        </w:rPr>
        <w:t>（二）</w:t>
      </w:r>
      <w:r>
        <w:rPr>
          <w:rFonts w:ascii="宋体" w:hAnsi="宋体" w:eastAsia="宋体"/>
          <w:b w:val="1"/>
          <w:bCs w:val="1"/>
          <w:sz w:val="24"/>
          <w:szCs w:val="24"/>
        </w:rPr>
        <w:t xml:space="preserve"> 市场端推广</w:t>
      </w:r>
    </w:p>
    <w:p>
      <w:pPr>
        <w:spacing w:before="156" w:beforeLines="50"/>
        <w:ind w:firstLine="420"/>
        <w:rPr>
          <w:rFonts w:hint="eastAsia" w:ascii="宋体" w:hAnsi="宋体" w:eastAsia="宋体"/>
          <w:sz w:val="24"/>
          <w:szCs w:val="24"/>
        </w:rPr>
      </w:pPr>
      <w:r>
        <w:rPr>
          <w:rFonts w:hint="eastAsia" w:ascii="宋体" w:hAnsi="宋体" w:eastAsia="宋体"/>
          <w:sz w:val="24"/>
          <w:szCs w:val="24"/>
        </w:rPr>
        <w:t>1.</w:t>
      </w:r>
      <w:r>
        <w:rPr>
          <w:rFonts w:ascii="宋体" w:hAnsi="宋体" w:eastAsia="宋体"/>
          <w:sz w:val="24"/>
          <w:szCs w:val="24"/>
        </w:rPr>
        <w:t>与大型物流园区合作开展试用</w:t>
      </w:r>
    </w:p>
    <w:p>
      <w:pPr>
        <w:spacing w:before="156" w:beforeLines="50"/>
        <w:ind w:firstLine="420"/>
        <w:rPr>
          <w:rFonts w:hint="eastAsia" w:ascii="宋体" w:hAnsi="宋体" w:eastAsia="宋体"/>
          <w:sz w:val="24"/>
          <w:szCs w:val="24"/>
        </w:rPr>
      </w:pPr>
      <w:r>
        <w:rPr>
          <w:rFonts w:hint="eastAsia" w:ascii="宋体" w:hAnsi="宋体" w:eastAsia="宋体"/>
          <w:sz w:val="24"/>
          <w:szCs w:val="24"/>
        </w:rPr>
        <w:t>2.</w:t>
      </w:r>
      <w:r>
        <w:rPr>
          <w:rFonts w:ascii="宋体" w:hAnsi="宋体" w:eastAsia="宋体"/>
          <w:sz w:val="24"/>
          <w:szCs w:val="24"/>
        </w:rPr>
        <w:t>制作ROI计算工具，展示经济价值</w:t>
      </w:r>
    </w:p>
    <w:p>
      <w:pPr>
        <w:spacing w:before="156" w:beforeLines="50"/>
        <w:ind w:firstLine="420"/>
        <w:rPr>
          <w:rFonts w:hint="eastAsia" w:ascii="宋体" w:hAnsi="宋体" w:eastAsia="宋体"/>
          <w:sz w:val="24"/>
          <w:szCs w:val="24"/>
        </w:rPr>
      </w:pPr>
      <w:r>
        <w:rPr>
          <w:rFonts w:hint="eastAsia" w:ascii="宋体" w:hAnsi="宋体" w:eastAsia="宋体"/>
          <w:sz w:val="24"/>
          <w:szCs w:val="24"/>
        </w:rPr>
        <w:t>3.</w:t>
      </w:r>
      <w:r>
        <w:rPr>
          <w:rFonts w:ascii="宋体" w:hAnsi="宋体" w:eastAsia="宋体"/>
          <w:sz w:val="24"/>
          <w:szCs w:val="24"/>
        </w:rPr>
        <w:t>参加行业展会，扩大品牌影响</w:t>
      </w:r>
    </w:p>
    <w:p>
      <w:pPr>
        <w:spacing w:before="156" w:beforeLines="50"/>
        <w:rPr>
          <w:rFonts w:hint="eastAsia" w:ascii="宋体" w:hAnsi="宋体" w:eastAsia="宋体"/>
          <w:b w:val="1"/>
          <w:bCs w:val="1"/>
          <w:sz w:val="24"/>
          <w:szCs w:val="24"/>
        </w:rPr>
      </w:pPr>
      <w:r>
        <w:rPr>
          <w:rFonts w:hint="eastAsia" w:ascii="宋体" w:hAnsi="宋体" w:eastAsia="宋体"/>
          <w:b w:val="1"/>
          <w:bCs w:val="1"/>
          <w:sz w:val="24"/>
          <w:szCs w:val="24"/>
        </w:rPr>
        <w:t>（三）</w:t>
      </w:r>
      <w:r>
        <w:rPr>
          <w:rFonts w:ascii="宋体" w:hAnsi="宋体" w:eastAsia="宋体"/>
          <w:b w:val="1"/>
          <w:bCs w:val="1"/>
          <w:sz w:val="24"/>
          <w:szCs w:val="24"/>
        </w:rPr>
        <w:t xml:space="preserve"> 渠道端建设</w:t>
      </w:r>
    </w:p>
    <w:p>
      <w:pPr>
        <w:spacing w:before="156" w:beforeLines="50"/>
        <w:ind w:firstLine="420"/>
        <w:rPr>
          <w:rFonts w:hint="eastAsia" w:ascii="宋体" w:hAnsi="宋体" w:eastAsia="宋体"/>
          <w:sz w:val="24"/>
          <w:szCs w:val="24"/>
        </w:rPr>
      </w:pPr>
      <w:r>
        <w:rPr>
          <w:rFonts w:hint="eastAsia" w:ascii="宋体" w:hAnsi="宋体" w:eastAsia="宋体"/>
          <w:sz w:val="24"/>
          <w:szCs w:val="24"/>
        </w:rPr>
        <w:t>1.</w:t>
      </w:r>
      <w:r>
        <w:rPr>
          <w:rFonts w:ascii="宋体" w:hAnsi="宋体" w:eastAsia="宋体"/>
          <w:sz w:val="24"/>
          <w:szCs w:val="24"/>
        </w:rPr>
        <w:t>发展汽车后市场改装店为安装渠道</w:t>
      </w:r>
    </w:p>
    <w:p>
      <w:pPr>
        <w:spacing w:before="156" w:beforeLines="50"/>
        <w:ind w:firstLine="420"/>
        <w:rPr>
          <w:rFonts w:hint="eastAsia" w:ascii="宋体" w:hAnsi="宋体" w:eastAsia="宋体"/>
          <w:sz w:val="24"/>
          <w:szCs w:val="24"/>
        </w:rPr>
      </w:pPr>
      <w:r>
        <w:rPr>
          <w:rFonts w:hint="eastAsia" w:ascii="宋体" w:hAnsi="宋体" w:eastAsia="宋体"/>
          <w:sz w:val="24"/>
          <w:szCs w:val="24"/>
        </w:rPr>
        <w:t>2.</w:t>
      </w:r>
      <w:r>
        <w:rPr>
          <w:rFonts w:ascii="宋体" w:hAnsi="宋体" w:eastAsia="宋体"/>
          <w:sz w:val="24"/>
          <w:szCs w:val="24"/>
        </w:rPr>
        <w:t>对接保险公司理赔渠道</w:t>
      </w:r>
    </w:p>
    <w:p>
      <w:pPr>
        <w:spacing w:before="156" w:beforeLines="50"/>
        <w:ind w:firstLine="420"/>
        <w:rPr>
          <w:rFonts w:hint="eastAsia" w:ascii="宋体" w:hAnsi="宋体" w:eastAsia="宋体"/>
          <w:sz w:val="24"/>
          <w:szCs w:val="24"/>
        </w:rPr>
      </w:pPr>
      <w:r>
        <w:rPr>
          <w:rFonts w:hint="eastAsia" w:ascii="宋体" w:hAnsi="宋体" w:eastAsia="宋体"/>
          <w:sz w:val="24"/>
          <w:szCs w:val="24"/>
        </w:rPr>
        <w:t>3.</w:t>
      </w:r>
      <w:r>
        <w:rPr>
          <w:rFonts w:ascii="宋体" w:hAnsi="宋体" w:eastAsia="宋体"/>
          <w:sz w:val="24"/>
          <w:szCs w:val="24"/>
        </w:rPr>
        <w:t>与挂车生产企业建立前装适配合作</w:t>
      </w:r>
    </w:p>
    <w:p>
      <w:pPr>
        <w:jc w:val="center"/>
        <w:rPr>
          <w:rFonts w:hint="eastAsia" w:ascii="黑体" w:hAnsi="黑体" w:eastAsia="黑体"/>
          <w:b w:val="1"/>
          <w:bCs w:val="1"/>
          <w:sz w:val="36"/>
          <w:szCs w:val="36"/>
        </w:rPr>
      </w:pPr>
    </w:p>
    <w:p>
      <w:pPr>
        <w:jc w:val="center"/>
        <w:rPr>
          <w:rFonts w:hint="eastAsia" w:ascii="黑体" w:hAnsi="黑体" w:eastAsia="黑体"/>
          <w:b w:val="1"/>
          <w:bCs w:val="1"/>
          <w:sz w:val="36"/>
          <w:szCs w:val="36"/>
        </w:rPr>
      </w:pPr>
    </w:p>
    <w:p>
      <w:pPr>
        <w:jc w:val="center"/>
        <w:rPr>
          <w:rFonts w:hint="eastAsia" w:ascii="黑体" w:hAnsi="黑体" w:eastAsia="黑体"/>
          <w:b w:val="1"/>
          <w:bCs w:val="1"/>
          <w:sz w:val="36"/>
          <w:szCs w:val="36"/>
        </w:rPr>
      </w:pPr>
    </w:p>
    <w:p>
      <w:pPr>
        <w:jc w:val="center"/>
        <w:rPr>
          <w:rFonts w:hint="eastAsia" w:ascii="黑体" w:hAnsi="黑体" w:eastAsia="黑体"/>
          <w:b w:val="1"/>
          <w:bCs w:val="1"/>
          <w:sz w:val="36"/>
          <w:szCs w:val="36"/>
        </w:rPr>
      </w:pPr>
    </w:p>
    <w:p>
      <w:pPr>
        <w:jc w:val="center"/>
        <w:rPr>
          <w:rFonts w:hint="eastAsia" w:ascii="黑体" w:hAnsi="黑体" w:eastAsia="黑体"/>
          <w:b w:val="1"/>
          <w:bCs w:val="1"/>
          <w:sz w:val="36"/>
          <w:szCs w:val="36"/>
        </w:rPr>
      </w:pPr>
    </w:p>
    <w:p>
      <w:pPr>
        <w:jc w:val="center"/>
        <w:rPr>
          <w:rFonts w:hint="eastAsia" w:ascii="黑体" w:hAnsi="黑体" w:eastAsia="黑体"/>
          <w:b w:val="1"/>
          <w:bCs w:val="1"/>
          <w:sz w:val="36"/>
          <w:szCs w:val="36"/>
        </w:rPr>
      </w:pPr>
    </w:p>
    <w:p>
      <w:pPr>
        <w:jc w:val="center"/>
        <w:rPr>
          <w:rFonts w:hint="eastAsia" w:ascii="黑体" w:hAnsi="黑体" w:eastAsia="黑体"/>
          <w:b w:val="1"/>
          <w:bCs w:val="1"/>
          <w:sz w:val="36"/>
          <w:szCs w:val="36"/>
        </w:rPr>
      </w:pPr>
    </w:p>
    <w:p>
      <w:pPr>
        <w:jc w:val="center"/>
        <w:rPr>
          <w:rFonts w:hint="eastAsia" w:ascii="黑体" w:hAnsi="黑体" w:eastAsia="黑体"/>
          <w:b w:val="1"/>
          <w:bCs w:val="1"/>
          <w:sz w:val="36"/>
          <w:szCs w:val="36"/>
        </w:rPr>
      </w:pPr>
    </w:p>
    <w:p>
      <w:pPr>
        <w:jc w:val="center"/>
        <w:rPr>
          <w:rFonts w:hint="eastAsia" w:ascii="黑体" w:hAnsi="黑体" w:eastAsia="黑体"/>
          <w:b w:val="1"/>
          <w:bCs w:val="1"/>
          <w:sz w:val="36"/>
          <w:szCs w:val="36"/>
        </w:rPr>
      </w:pPr>
    </w:p>
    <w:p>
      <w:pPr>
        <w:jc w:val="center"/>
        <w:rPr>
          <w:rFonts w:hint="eastAsia" w:ascii="黑体" w:hAnsi="黑体" w:eastAsia="黑体"/>
          <w:b w:val="1"/>
          <w:bCs w:val="1"/>
          <w:sz w:val="36"/>
          <w:szCs w:val="36"/>
        </w:rPr>
      </w:pPr>
    </w:p>
    <w:p>
      <w:pPr>
        <w:jc w:val="center"/>
        <w:rPr>
          <w:rFonts w:hint="eastAsia" w:ascii="黑体" w:hAnsi="黑体" w:eastAsia="黑体"/>
          <w:b w:val="1"/>
          <w:bCs w:val="1"/>
          <w:sz w:val="36"/>
          <w:szCs w:val="36"/>
        </w:rPr>
      </w:pPr>
    </w:p>
    <w:p>
      <w:pPr>
        <w:jc w:val="center"/>
        <w:rPr>
          <w:rFonts w:hint="eastAsia" w:ascii="黑体" w:hAnsi="黑体" w:eastAsia="黑体"/>
          <w:b w:val="1"/>
          <w:bCs w:val="1"/>
          <w:sz w:val="36"/>
          <w:szCs w:val="36"/>
        </w:rPr>
      </w:pPr>
    </w:p>
    <w:p>
      <w:pPr>
        <w:jc w:val="center"/>
        <w:rPr>
          <w:rFonts w:hint="eastAsia" w:ascii="黑体" w:hAnsi="黑体" w:eastAsia="黑体"/>
          <w:b w:val="1"/>
          <w:bCs w:val="1"/>
          <w:sz w:val="36"/>
          <w:szCs w:val="36"/>
        </w:rPr>
      </w:pPr>
    </w:p>
    <w:p>
      <w:pPr>
        <w:jc w:val="center"/>
        <w:rPr>
          <w:rFonts w:hint="eastAsia" w:ascii="黑体" w:hAnsi="黑体" w:eastAsia="黑体"/>
          <w:b w:val="1"/>
          <w:bCs w:val="1"/>
          <w:color w:val="215E99" w:themeColor="text2" w:themeTint="BF"/>
          <w:sz w:val="36"/>
          <w:szCs w:val="36"/>
        </w:rPr>
      </w:pPr>
      <w:r>
        <w:rPr>
          <w:rFonts w:hint="eastAsia" w:ascii="黑体" w:hAnsi="黑体" w:eastAsia="黑体"/>
          <w:b w:val="1"/>
          <w:bCs w:val="1"/>
          <w:color w:val="215E99" w:themeColor="text2" w:themeTint="BF"/>
          <w:sz w:val="36"/>
          <w:szCs w:val="36"/>
          <w14:shadow w14:blurRad="50800" w14:dist="38100" w14:dir="2700000" w14:sx="100000" w14:sy="100000" w14:kx="0" w14:ky="0" w14:algn="tl">
            <w14:srgbClr w14:val="000000">
              <w14:alpha w14:val="60000"/>
            </w14:srgbClr>
          </w14:shadow>
        </w:rPr>
        <w:t>第</w:t>
      </w:r>
      <w:r>
        <w:rPr>
          <w:rFonts w:ascii="黑体" w:hAnsi="黑体" w:eastAsia="黑体"/>
          <w:b w:val="1"/>
          <w:bCs w:val="1"/>
          <w:color w:val="215E99" w:themeColor="text2" w:themeTint="BF"/>
          <w:sz w:val="36"/>
          <w:szCs w:val="36"/>
          <w14:shadow w14:blurRad="50800" w14:dist="38100" w14:dir="2700000" w14:sx="100000" w14:sy="100000" w14:kx="0" w14:ky="0" w14:algn="tl">
            <w14:srgbClr w14:val="000000">
              <w14:alpha w14:val="60000"/>
            </w14:srgbClr>
          </w14:shadow>
        </w:rPr>
        <w:t>六</w:t>
      </w:r>
      <w:r>
        <w:rPr>
          <w:rFonts w:hint="eastAsia" w:ascii="黑体" w:hAnsi="黑体" w:eastAsia="黑体"/>
          <w:b w:val="1"/>
          <w:bCs w:val="1"/>
          <w:color w:val="215E99" w:themeColor="text2" w:themeTint="BF"/>
          <w:sz w:val="36"/>
          <w:szCs w:val="36"/>
          <w14:shadow w14:blurRad="50800" w14:dist="38100" w14:dir="2700000" w14:sx="100000" w14:sy="100000" w14:kx="0" w14:ky="0" w14:algn="tl">
            <w14:srgbClr w14:val="000000">
              <w14:alpha w14:val="60000"/>
            </w14:srgbClr>
          </w14:shadow>
        </w:rPr>
        <w:t>部分：</w:t>
      </w:r>
      <w:r>
        <w:rPr>
          <w:rFonts w:ascii="黑体" w:hAnsi="黑体" w:eastAsia="黑体"/>
          <w:b w:val="1"/>
          <w:bCs w:val="1"/>
          <w:color w:val="215E99" w:themeColor="text2" w:themeTint="BF"/>
          <w:sz w:val="36"/>
          <w:szCs w:val="36"/>
          <w14:shadow w14:blurRad="50800" w14:dist="38100" w14:dir="2700000" w14:sx="100000" w14:sy="100000" w14:kx="0" w14:ky="0" w14:algn="tl">
            <w14:srgbClr w14:val="000000">
              <w14:alpha w14:val="60000"/>
            </w14:srgbClr>
          </w14:shadow>
        </w:rPr>
        <w:t>财务预测与融资规划</w:t>
      </w:r>
    </w:p>
    <w:p>
      <w:pPr>
        <w:spacing w:before="156" w:beforeLines="50"/>
        <w:rPr>
          <w:rFonts w:hint="eastAsia" w:ascii="黑体" w:hAnsi="黑体" w:eastAsia="黑体"/>
          <w:b w:val="1"/>
          <w:bCs w:val="1"/>
          <w:sz w:val="28"/>
          <w:szCs w:val="28"/>
        </w:rPr>
      </w:pPr>
      <w:r>
        <w:rPr>
          <w:rFonts w:hint="eastAsia" w:ascii="黑体" w:hAnsi="黑体" w:eastAsia="黑体"/>
          <w:b w:val="1"/>
          <w:bCs w:val="1"/>
          <w:sz w:val="28"/>
          <w:szCs w:val="28"/>
        </w:rPr>
        <w:t>一、</w:t>
      </w:r>
      <w:r>
        <w:rPr>
          <w:rFonts w:ascii="黑体" w:hAnsi="黑体" w:eastAsia="黑体"/>
          <w:b w:val="1"/>
          <w:bCs w:val="1"/>
          <w:sz w:val="28"/>
          <w:szCs w:val="28"/>
        </w:rPr>
        <w:t xml:space="preserve"> 成本结构</w:t>
      </w:r>
    </w:p>
    <w:p>
      <w:pPr>
        <w:spacing w:before="156" w:beforeLines="50"/>
        <w:ind w:firstLine="420"/>
        <w:rPr>
          <w:rFonts w:hint="eastAsia" w:ascii="宋体" w:hAnsi="宋体" w:eastAsia="宋体"/>
          <w:sz w:val="24"/>
          <w:szCs w:val="24"/>
        </w:rPr>
      </w:pPr>
      <w:r>
        <w:rPr>
          <w:rFonts w:ascii="宋体" w:hAnsi="宋体" w:eastAsia="宋体"/>
          <w:sz w:val="24"/>
          <w:szCs w:val="24"/>
        </w:rPr>
        <w:t>本方案硬件成本基于原理图指定的器件型号进行详细测算，以散件采购价为基础，兼顾原型测试阶段的实际情况。下表列出了核心模块的BOM构成：</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Look w:firstRow="1" w:lastRow="0" w:firstColumn="1" w:lastColumn="0" w:noHBand="0" w:noVBand="1" w:val="04A0"/>
      </w:tblPr>
      <w:tblGrid>
        <w:gridCol w:w="914"/>
        <w:gridCol w:w="3089"/>
        <w:gridCol w:w="1247"/>
        <w:gridCol w:w="1247"/>
        <w:gridCol w:w="1799"/>
      </w:tblGrid>
      <w:tr>
        <w:trPr>
          <w:tblHeader w:val="1"/>
        </w:trPr>
        <w:tc>
          <w:tcPr>
            <w:tcW w:w="914" w:type="dxa"/>
            <w:shd w:val="clear" w:color="auto" w:fill="C1E4F5" w:themeFill="accent1" w:themeFillTint="33"/>
            <w:tcMar>
              <w:top w:w="150" w:type="dxa"/>
              <w:left w:w="0" w:type="dxa"/>
              <w:bottom w:w="150" w:type="dxa"/>
              <w:right w:w="240" w:type="dxa"/>
            </w:tcMar>
            <w:vAlign w:val="center"/>
            <w:hideMark w:val="1"/>
          </w:tcPr>
          <w:p>
            <w:pPr>
              <w:spacing w:before="156" w:beforeLines="50"/>
              <w:rPr>
                <w:rFonts w:hint="eastAsia" w:ascii="楷体" w:hAnsi="楷体" w:eastAsia="楷体"/>
                <w:sz w:val="20"/>
                <w:szCs w:val="20"/>
              </w:rPr>
            </w:pPr>
            <w:r>
              <w:rPr>
                <w:rFonts w:ascii="楷体" w:hAnsi="楷体" w:eastAsia="楷体"/>
                <w:sz w:val="20"/>
                <w:szCs w:val="20"/>
              </w:rPr>
              <w:t>模块</w:t>
            </w:r>
          </w:p>
        </w:tc>
        <w:tc>
          <w:tcPr>
            <w:tcW w:w="3089" w:type="dxa"/>
            <w:shd w:val="clear" w:color="auto" w:fill="C1E4F5" w:themeFill="accent1" w:themeFillTint="33"/>
            <w:tcMar>
              <w:top w:w="150" w:type="dxa"/>
              <w:left w:w="240" w:type="dxa"/>
              <w:bottom w:w="150" w:type="dxa"/>
              <w:right w:w="240" w:type="dxa"/>
            </w:tcMar>
            <w:vAlign w:val="center"/>
            <w:hideMark w:val="1"/>
          </w:tcPr>
          <w:p>
            <w:pPr>
              <w:spacing w:before="156" w:beforeLines="50"/>
              <w:rPr>
                <w:rFonts w:hint="eastAsia" w:ascii="楷体" w:hAnsi="楷体" w:eastAsia="楷体"/>
                <w:sz w:val="20"/>
                <w:szCs w:val="20"/>
              </w:rPr>
            </w:pPr>
            <w:r>
              <w:rPr>
                <w:rFonts w:ascii="楷体" w:hAnsi="楷体" w:eastAsia="楷体"/>
                <w:sz w:val="20"/>
                <w:szCs w:val="20"/>
              </w:rPr>
              <w:t>器件型号</w:t>
            </w:r>
          </w:p>
        </w:tc>
        <w:tc>
          <w:tcPr>
            <w:tcW w:w="1247" w:type="dxa"/>
            <w:shd w:val="clear" w:color="auto" w:fill="C1E4F5" w:themeFill="accent1" w:themeFillTint="33"/>
            <w:tcMar>
              <w:top w:w="150" w:type="dxa"/>
              <w:left w:w="240" w:type="dxa"/>
              <w:bottom w:w="150" w:type="dxa"/>
              <w:right w:w="240" w:type="dxa"/>
            </w:tcMar>
            <w:vAlign w:val="center"/>
            <w:hideMark w:val="1"/>
          </w:tcPr>
          <w:p>
            <w:pPr>
              <w:spacing w:before="156" w:beforeLines="50"/>
              <w:rPr>
                <w:rFonts w:hint="eastAsia" w:ascii="楷体" w:hAnsi="楷体" w:eastAsia="楷体"/>
                <w:sz w:val="20"/>
                <w:szCs w:val="20"/>
              </w:rPr>
            </w:pPr>
            <w:r>
              <w:rPr>
                <w:rFonts w:ascii="楷体" w:hAnsi="楷体" w:eastAsia="楷体"/>
                <w:sz w:val="20"/>
                <w:szCs w:val="20"/>
              </w:rPr>
              <w:t>单价（元）</w:t>
            </w:r>
          </w:p>
        </w:tc>
        <w:tc>
          <w:tcPr>
            <w:tcW w:w="1247" w:type="dxa"/>
            <w:shd w:val="clear" w:color="auto" w:fill="C1E4F5" w:themeFill="accent1" w:themeFillTint="33"/>
            <w:tcMar>
              <w:top w:w="150" w:type="dxa"/>
              <w:left w:w="240" w:type="dxa"/>
              <w:bottom w:w="150" w:type="dxa"/>
              <w:right w:w="240" w:type="dxa"/>
            </w:tcMar>
            <w:vAlign w:val="center"/>
            <w:hideMark w:val="1"/>
          </w:tcPr>
          <w:p>
            <w:pPr>
              <w:spacing w:before="156" w:beforeLines="50"/>
              <w:rPr>
                <w:rFonts w:hint="eastAsia" w:ascii="楷体" w:hAnsi="楷体" w:eastAsia="楷体"/>
                <w:sz w:val="20"/>
                <w:szCs w:val="20"/>
              </w:rPr>
            </w:pPr>
            <w:r>
              <w:rPr>
                <w:rFonts w:ascii="楷体" w:hAnsi="楷体" w:eastAsia="楷体"/>
                <w:sz w:val="20"/>
                <w:szCs w:val="20"/>
              </w:rPr>
              <w:t>小计（元）</w:t>
            </w:r>
          </w:p>
        </w:tc>
        <w:tc>
          <w:tcPr>
            <w:tcW w:w="1799" w:type="dxa"/>
            <w:shd w:val="clear" w:color="auto" w:fill="C1E4F5" w:themeFill="accent1" w:themeFillTint="33"/>
            <w:tcMar>
              <w:top w:w="150" w:type="dxa"/>
              <w:left w:w="240" w:type="dxa"/>
              <w:bottom w:w="150" w:type="dxa"/>
              <w:right w:w="240" w:type="dxa"/>
            </w:tcMar>
            <w:vAlign w:val="center"/>
            <w:hideMark w:val="1"/>
          </w:tcPr>
          <w:p>
            <w:pPr>
              <w:spacing w:before="156" w:beforeLines="50"/>
              <w:rPr>
                <w:rFonts w:hint="eastAsia" w:ascii="楷体" w:hAnsi="楷体" w:eastAsia="楷体"/>
                <w:sz w:val="20"/>
                <w:szCs w:val="20"/>
              </w:rPr>
            </w:pPr>
            <w:r>
              <w:rPr>
                <w:rFonts w:ascii="楷体" w:hAnsi="楷体" w:eastAsia="楷体"/>
                <w:sz w:val="20"/>
                <w:szCs w:val="20"/>
              </w:rPr>
              <w:t>备注</w:t>
            </w:r>
          </w:p>
        </w:tc>
      </w:tr>
      <w:tr>
        <w:trPr/>
        <w:tc>
          <w:tcPr>
            <w:tcW w:w="914" w:type="dxa"/>
            <w:shd w:val="clear" w:color="auto" w:fill="C1E4F5" w:themeFill="accent1" w:themeFillTint="33"/>
            <w:tcMar>
              <w:top w:w="150" w:type="dxa"/>
              <w:left w:w="0" w:type="dxa"/>
              <w:bottom w:w="150" w:type="dxa"/>
              <w:right w:w="240" w:type="dxa"/>
            </w:tcMar>
            <w:vAlign w:val="center"/>
            <w:hideMark w:val="1"/>
          </w:tcPr>
          <w:p>
            <w:pPr>
              <w:spacing w:before="156" w:beforeLines="50"/>
              <w:rPr>
                <w:rFonts w:hint="eastAsia" w:ascii="楷体" w:hAnsi="楷体" w:eastAsia="楷体"/>
                <w:sz w:val="20"/>
                <w:szCs w:val="20"/>
              </w:rPr>
            </w:pPr>
            <w:r>
              <w:rPr>
                <w:rFonts w:ascii="楷体" w:hAnsi="楷体" w:eastAsia="楷体"/>
                <w:sz w:val="20"/>
                <w:szCs w:val="20"/>
              </w:rPr>
              <w:t>主控核心</w:t>
            </w:r>
          </w:p>
        </w:tc>
        <w:tc>
          <w:tcPr>
            <w:tcW w:w="3089" w:type="dxa"/>
            <w:tcMar>
              <w:top w:w="150" w:type="dxa"/>
              <w:left w:w="240" w:type="dxa"/>
              <w:bottom w:w="150" w:type="dxa"/>
              <w:right w:w="240" w:type="dxa"/>
            </w:tcMar>
            <w:vAlign w:val="center"/>
            <w:hideMark w:val="1"/>
          </w:tcPr>
          <w:p>
            <w:pPr>
              <w:spacing w:before="156" w:beforeLines="50"/>
              <w:rPr>
                <w:rFonts w:hint="eastAsia" w:ascii="楷体" w:hAnsi="楷体" w:eastAsia="楷体"/>
                <w:sz w:val="20"/>
                <w:szCs w:val="20"/>
              </w:rPr>
            </w:pPr>
            <w:r>
              <w:rPr>
                <w:rFonts w:ascii="楷体" w:hAnsi="楷体" w:eastAsia="楷体"/>
                <w:sz w:val="20"/>
                <w:szCs w:val="20"/>
              </w:rPr>
              <w:t>ESP32-S3-N16R8（核心板）</w:t>
            </w:r>
          </w:p>
        </w:tc>
        <w:tc>
          <w:tcPr>
            <w:tcW w:w="1247" w:type="dxa"/>
            <w:tcMar>
              <w:top w:w="150" w:type="dxa"/>
              <w:left w:w="240" w:type="dxa"/>
              <w:bottom w:w="150" w:type="dxa"/>
              <w:right w:w="240" w:type="dxa"/>
            </w:tcMar>
            <w:vAlign w:val="center"/>
            <w:hideMark w:val="1"/>
          </w:tcPr>
          <w:p>
            <w:pPr>
              <w:spacing w:before="156" w:beforeLines="50"/>
              <w:rPr>
                <w:rFonts w:hint="eastAsia" w:ascii="楷体" w:hAnsi="楷体" w:eastAsia="楷体"/>
                <w:sz w:val="20"/>
                <w:szCs w:val="20"/>
              </w:rPr>
            </w:pPr>
            <w:r>
              <w:rPr>
                <w:rFonts w:ascii="楷体" w:hAnsi="楷体" w:eastAsia="楷体"/>
                <w:sz w:val="20"/>
                <w:szCs w:val="20"/>
              </w:rPr>
              <w:t>32</w:t>
            </w:r>
          </w:p>
        </w:tc>
        <w:tc>
          <w:tcPr>
            <w:tcW w:w="1247" w:type="dxa"/>
            <w:tcMar>
              <w:top w:w="150" w:type="dxa"/>
              <w:left w:w="240" w:type="dxa"/>
              <w:bottom w:w="150" w:type="dxa"/>
              <w:right w:w="240" w:type="dxa"/>
            </w:tcMar>
            <w:vAlign w:val="center"/>
            <w:hideMark w:val="1"/>
          </w:tcPr>
          <w:p>
            <w:pPr>
              <w:spacing w:before="156" w:beforeLines="50"/>
              <w:rPr>
                <w:rFonts w:hint="eastAsia" w:ascii="楷体" w:hAnsi="楷体" w:eastAsia="楷体"/>
                <w:sz w:val="20"/>
                <w:szCs w:val="20"/>
              </w:rPr>
            </w:pPr>
            <w:r>
              <w:rPr>
                <w:rFonts w:ascii="楷体" w:hAnsi="楷体" w:eastAsia="楷体"/>
                <w:sz w:val="20"/>
                <w:szCs w:val="20"/>
              </w:rPr>
              <w:t>32</w:t>
            </w:r>
          </w:p>
        </w:tc>
        <w:tc>
          <w:tcPr>
            <w:tcW w:w="1799" w:type="dxa"/>
            <w:tcMar>
              <w:top w:w="150" w:type="dxa"/>
              <w:left w:w="240" w:type="dxa"/>
              <w:bottom w:w="150" w:type="dxa"/>
              <w:right w:w="0" w:type="dxa"/>
            </w:tcMar>
            <w:vAlign w:val="center"/>
            <w:hideMark w:val="1"/>
          </w:tcPr>
          <w:p>
            <w:pPr>
              <w:spacing w:before="156" w:beforeLines="50"/>
              <w:jc w:val="left"/>
              <w:rPr>
                <w:rFonts w:hint="eastAsia" w:ascii="楷体" w:hAnsi="楷体" w:eastAsia="楷体"/>
                <w:sz w:val="20"/>
                <w:szCs w:val="20"/>
              </w:rPr>
            </w:pPr>
            <w:r>
              <w:rPr>
                <w:rFonts w:ascii="楷体" w:hAnsi="楷体" w:eastAsia="楷体"/>
                <w:sz w:val="20"/>
                <w:szCs w:val="20"/>
              </w:rPr>
              <w:t>原理图匹配引脚，散件采购价</w:t>
            </w:r>
          </w:p>
        </w:tc>
      </w:tr>
      <w:tr>
        <w:trPr/>
        <w:tc>
          <w:tcPr>
            <w:tcW w:w="914" w:type="dxa"/>
            <w:shd w:val="clear" w:color="auto" w:fill="C1E4F5" w:themeFill="accent1" w:themeFillTint="33"/>
            <w:tcMar>
              <w:top w:w="150" w:type="dxa"/>
              <w:left w:w="0" w:type="dxa"/>
              <w:bottom w:w="150" w:type="dxa"/>
              <w:right w:w="240" w:type="dxa"/>
            </w:tcMar>
            <w:vAlign w:val="center"/>
            <w:hideMark w:val="1"/>
          </w:tcPr>
          <w:p>
            <w:pPr>
              <w:spacing w:before="156" w:beforeLines="50"/>
              <w:rPr>
                <w:rFonts w:hint="eastAsia" w:ascii="楷体" w:hAnsi="楷体" w:eastAsia="楷体"/>
                <w:sz w:val="20"/>
                <w:szCs w:val="20"/>
              </w:rPr>
            </w:pPr>
            <w:r>
              <w:rPr>
                <w:rFonts w:ascii="楷体" w:hAnsi="楷体" w:eastAsia="楷体"/>
                <w:sz w:val="20"/>
                <w:szCs w:val="20"/>
              </w:rPr>
              <w:t>12V 开关电路</w:t>
            </w:r>
          </w:p>
        </w:tc>
        <w:tc>
          <w:tcPr>
            <w:tcW w:w="3089" w:type="dxa"/>
            <w:tcMar>
              <w:top w:w="150" w:type="dxa"/>
              <w:left w:w="240" w:type="dxa"/>
              <w:bottom w:w="150" w:type="dxa"/>
              <w:right w:w="240" w:type="dxa"/>
            </w:tcMar>
            <w:vAlign w:val="center"/>
            <w:hideMark w:val="1"/>
          </w:tcPr>
          <w:p>
            <w:pPr>
              <w:spacing w:before="156" w:beforeLines="50"/>
              <w:rPr>
                <w:rFonts w:hint="eastAsia" w:ascii="楷体" w:hAnsi="楷体" w:eastAsia="楷体"/>
                <w:sz w:val="20"/>
                <w:szCs w:val="20"/>
              </w:rPr>
            </w:pPr>
            <w:r>
              <w:rPr>
                <w:rFonts w:ascii="楷体" w:hAnsi="楷体" w:eastAsia="楷体"/>
                <w:sz w:val="20"/>
                <w:szCs w:val="20"/>
              </w:rPr>
              <w:t>HY19P03D+MT-102+电容电阻</w:t>
            </w:r>
          </w:p>
        </w:tc>
        <w:tc>
          <w:tcPr>
            <w:tcW w:w="1247" w:type="dxa"/>
            <w:tcMar>
              <w:top w:w="150" w:type="dxa"/>
              <w:left w:w="240" w:type="dxa"/>
              <w:bottom w:w="150" w:type="dxa"/>
              <w:right w:w="240" w:type="dxa"/>
            </w:tcMar>
            <w:vAlign w:val="center"/>
            <w:hideMark w:val="1"/>
          </w:tcPr>
          <w:p>
            <w:pPr>
              <w:spacing w:before="156" w:beforeLines="50"/>
              <w:rPr>
                <w:rFonts w:hint="eastAsia" w:ascii="楷体" w:hAnsi="楷体" w:eastAsia="楷体"/>
                <w:sz w:val="20"/>
                <w:szCs w:val="20"/>
              </w:rPr>
            </w:pPr>
            <w:r>
              <w:rPr>
                <w:rFonts w:ascii="楷体" w:hAnsi="楷体" w:eastAsia="楷体"/>
                <w:sz w:val="20"/>
                <w:szCs w:val="20"/>
              </w:rPr>
              <w:t>12</w:t>
            </w:r>
          </w:p>
        </w:tc>
        <w:tc>
          <w:tcPr>
            <w:tcW w:w="1247" w:type="dxa"/>
            <w:tcMar>
              <w:top w:w="150" w:type="dxa"/>
              <w:left w:w="240" w:type="dxa"/>
              <w:bottom w:w="150" w:type="dxa"/>
              <w:right w:w="240" w:type="dxa"/>
            </w:tcMar>
            <w:vAlign w:val="center"/>
            <w:hideMark w:val="1"/>
          </w:tcPr>
          <w:p>
            <w:pPr>
              <w:spacing w:before="156" w:beforeLines="50"/>
              <w:rPr>
                <w:rFonts w:hint="eastAsia" w:ascii="楷体" w:hAnsi="楷体" w:eastAsia="楷体"/>
                <w:sz w:val="20"/>
                <w:szCs w:val="20"/>
              </w:rPr>
            </w:pPr>
            <w:r>
              <w:rPr>
                <w:rFonts w:ascii="楷体" w:hAnsi="楷体" w:eastAsia="楷体"/>
                <w:sz w:val="20"/>
                <w:szCs w:val="20"/>
              </w:rPr>
              <w:t>12</w:t>
            </w:r>
          </w:p>
        </w:tc>
        <w:tc>
          <w:tcPr>
            <w:tcW w:w="1799" w:type="dxa"/>
            <w:tcMar>
              <w:top w:w="150" w:type="dxa"/>
              <w:left w:w="240" w:type="dxa"/>
              <w:bottom w:w="150" w:type="dxa"/>
              <w:right w:w="0" w:type="dxa"/>
            </w:tcMar>
            <w:vAlign w:val="center"/>
            <w:hideMark w:val="1"/>
          </w:tcPr>
          <w:p>
            <w:pPr>
              <w:spacing w:before="156" w:beforeLines="50"/>
              <w:jc w:val="left"/>
              <w:rPr>
                <w:rFonts w:hint="eastAsia" w:ascii="楷体" w:hAnsi="楷体" w:eastAsia="楷体"/>
                <w:sz w:val="20"/>
                <w:szCs w:val="20"/>
              </w:rPr>
            </w:pPr>
            <w:r>
              <w:rPr>
                <w:rFonts w:ascii="楷体" w:hAnsi="楷体" w:eastAsia="楷体"/>
                <w:sz w:val="20"/>
                <w:szCs w:val="20"/>
              </w:rPr>
              <w:t>含MOS管、二极管、电阻等辅件</w:t>
            </w:r>
          </w:p>
        </w:tc>
      </w:tr>
      <w:tr>
        <w:trPr/>
        <w:tc>
          <w:tcPr>
            <w:tcW w:w="914" w:type="dxa"/>
            <w:shd w:val="clear" w:color="auto" w:fill="C1E4F5" w:themeFill="accent1" w:themeFillTint="33"/>
            <w:tcMar>
              <w:top w:w="150" w:type="dxa"/>
              <w:left w:w="0" w:type="dxa"/>
              <w:bottom w:w="150" w:type="dxa"/>
              <w:right w:w="240" w:type="dxa"/>
            </w:tcMar>
            <w:vAlign w:val="center"/>
            <w:hideMark w:val="1"/>
          </w:tcPr>
          <w:p>
            <w:pPr>
              <w:spacing w:before="156" w:beforeLines="50"/>
              <w:rPr>
                <w:rFonts w:hint="eastAsia" w:ascii="楷体" w:hAnsi="楷体" w:eastAsia="楷体"/>
                <w:sz w:val="20"/>
                <w:szCs w:val="20"/>
              </w:rPr>
            </w:pPr>
            <w:r>
              <w:rPr>
                <w:rFonts w:ascii="楷体" w:hAnsi="楷体" w:eastAsia="楷体"/>
                <w:sz w:val="20"/>
                <w:szCs w:val="20"/>
              </w:rPr>
              <w:t>5V 降压电路</w:t>
            </w:r>
          </w:p>
        </w:tc>
        <w:tc>
          <w:tcPr>
            <w:tcW w:w="3089" w:type="dxa"/>
            <w:tcMar>
              <w:top w:w="150" w:type="dxa"/>
              <w:left w:w="240" w:type="dxa"/>
              <w:bottom w:w="150" w:type="dxa"/>
              <w:right w:w="240" w:type="dxa"/>
            </w:tcMar>
            <w:vAlign w:val="center"/>
            <w:hideMark w:val="1"/>
          </w:tcPr>
          <w:p>
            <w:pPr>
              <w:spacing w:before="156" w:beforeLines="50"/>
              <w:rPr>
                <w:rFonts w:hint="eastAsia" w:ascii="楷体" w:hAnsi="楷体" w:eastAsia="楷体"/>
                <w:sz w:val="20"/>
                <w:szCs w:val="20"/>
              </w:rPr>
            </w:pPr>
            <w:r>
              <w:rPr>
                <w:rFonts w:ascii="楷体" w:hAnsi="楷体" w:eastAsia="楷体"/>
                <w:sz w:val="20"/>
                <w:szCs w:val="20"/>
              </w:rPr>
              <w:t>LM2940S-5.0+SS34+电容电阻</w:t>
            </w:r>
          </w:p>
        </w:tc>
        <w:tc>
          <w:tcPr>
            <w:tcW w:w="1247" w:type="dxa"/>
            <w:tcMar>
              <w:top w:w="150" w:type="dxa"/>
              <w:left w:w="240" w:type="dxa"/>
              <w:bottom w:w="150" w:type="dxa"/>
              <w:right w:w="240" w:type="dxa"/>
            </w:tcMar>
            <w:vAlign w:val="center"/>
            <w:hideMark w:val="1"/>
          </w:tcPr>
          <w:p>
            <w:pPr>
              <w:spacing w:before="156" w:beforeLines="50"/>
              <w:rPr>
                <w:rFonts w:hint="eastAsia" w:ascii="楷体" w:hAnsi="楷体" w:eastAsia="楷体"/>
                <w:sz w:val="20"/>
                <w:szCs w:val="20"/>
              </w:rPr>
            </w:pPr>
            <w:r>
              <w:rPr>
                <w:rFonts w:ascii="楷体" w:hAnsi="楷体" w:eastAsia="楷体"/>
                <w:sz w:val="20"/>
                <w:szCs w:val="20"/>
              </w:rPr>
              <w:t>10</w:t>
            </w:r>
          </w:p>
        </w:tc>
        <w:tc>
          <w:tcPr>
            <w:tcW w:w="1247" w:type="dxa"/>
            <w:tcMar>
              <w:top w:w="150" w:type="dxa"/>
              <w:left w:w="240" w:type="dxa"/>
              <w:bottom w:w="150" w:type="dxa"/>
              <w:right w:w="240" w:type="dxa"/>
            </w:tcMar>
            <w:vAlign w:val="center"/>
            <w:hideMark w:val="1"/>
          </w:tcPr>
          <w:p>
            <w:pPr>
              <w:spacing w:before="156" w:beforeLines="50"/>
              <w:rPr>
                <w:rFonts w:hint="eastAsia" w:ascii="楷体" w:hAnsi="楷体" w:eastAsia="楷体"/>
                <w:sz w:val="20"/>
                <w:szCs w:val="20"/>
              </w:rPr>
            </w:pPr>
            <w:r>
              <w:rPr>
                <w:rFonts w:ascii="楷体" w:hAnsi="楷体" w:eastAsia="楷体"/>
                <w:sz w:val="20"/>
                <w:szCs w:val="20"/>
              </w:rPr>
              <w:t>10</w:t>
            </w:r>
          </w:p>
        </w:tc>
        <w:tc>
          <w:tcPr>
            <w:tcW w:w="1799" w:type="dxa"/>
            <w:tcMar>
              <w:top w:w="150" w:type="dxa"/>
              <w:left w:w="240" w:type="dxa"/>
              <w:bottom w:w="150" w:type="dxa"/>
              <w:right w:w="0" w:type="dxa"/>
            </w:tcMar>
            <w:vAlign w:val="center"/>
            <w:hideMark w:val="1"/>
          </w:tcPr>
          <w:p>
            <w:pPr>
              <w:spacing w:before="156" w:beforeLines="50"/>
              <w:jc w:val="left"/>
              <w:rPr>
                <w:rFonts w:hint="eastAsia" w:ascii="楷体" w:hAnsi="楷体" w:eastAsia="楷体"/>
                <w:sz w:val="20"/>
                <w:szCs w:val="20"/>
              </w:rPr>
            </w:pPr>
            <w:r>
              <w:rPr>
                <w:rFonts w:ascii="楷体" w:hAnsi="楷体" w:eastAsia="楷体"/>
                <w:sz w:val="20"/>
                <w:szCs w:val="20"/>
              </w:rPr>
              <w:t>线性稳压，辅件含滤波电容</w:t>
            </w:r>
          </w:p>
        </w:tc>
      </w:tr>
      <w:tr>
        <w:trPr/>
        <w:tc>
          <w:tcPr>
            <w:tcW w:w="914" w:type="dxa"/>
            <w:shd w:val="clear" w:color="auto" w:fill="C1E4F5" w:themeFill="accent1" w:themeFillTint="33"/>
            <w:tcMar>
              <w:top w:w="150" w:type="dxa"/>
              <w:left w:w="0" w:type="dxa"/>
              <w:bottom w:w="150" w:type="dxa"/>
              <w:right w:w="240" w:type="dxa"/>
            </w:tcMar>
            <w:vAlign w:val="center"/>
            <w:hideMark w:val="1"/>
          </w:tcPr>
          <w:p>
            <w:pPr>
              <w:spacing w:before="156" w:beforeLines="50"/>
              <w:rPr>
                <w:rFonts w:hint="eastAsia" w:ascii="楷体" w:hAnsi="楷体" w:eastAsia="楷体"/>
                <w:sz w:val="20"/>
                <w:szCs w:val="20"/>
              </w:rPr>
            </w:pPr>
            <w:r>
              <w:rPr>
                <w:rFonts w:ascii="楷体" w:hAnsi="楷体" w:eastAsia="楷体"/>
                <w:sz w:val="20"/>
                <w:szCs w:val="20"/>
              </w:rPr>
              <w:t>3V3 降压电路</w:t>
            </w:r>
          </w:p>
        </w:tc>
        <w:tc>
          <w:tcPr>
            <w:tcW w:w="3089" w:type="dxa"/>
            <w:tcMar>
              <w:top w:w="150" w:type="dxa"/>
              <w:left w:w="240" w:type="dxa"/>
              <w:bottom w:w="150" w:type="dxa"/>
              <w:right w:w="240" w:type="dxa"/>
            </w:tcMar>
            <w:vAlign w:val="center"/>
            <w:hideMark w:val="1"/>
          </w:tcPr>
          <w:p>
            <w:pPr>
              <w:spacing w:before="156" w:beforeLines="50"/>
              <w:rPr>
                <w:rFonts w:hint="eastAsia" w:ascii="楷体" w:hAnsi="楷体" w:eastAsia="楷体"/>
                <w:sz w:val="20"/>
                <w:szCs w:val="20"/>
              </w:rPr>
            </w:pPr>
            <w:r>
              <w:rPr>
                <w:rFonts w:ascii="楷体" w:hAnsi="楷体" w:eastAsia="楷体"/>
                <w:sz w:val="20"/>
                <w:szCs w:val="20"/>
              </w:rPr>
              <w:t>TLV62688DBVR+电感+电容电阻</w:t>
            </w:r>
          </w:p>
        </w:tc>
        <w:tc>
          <w:tcPr>
            <w:tcW w:w="1247" w:type="dxa"/>
            <w:tcMar>
              <w:top w:w="150" w:type="dxa"/>
              <w:left w:w="240" w:type="dxa"/>
              <w:bottom w:w="150" w:type="dxa"/>
              <w:right w:w="240" w:type="dxa"/>
            </w:tcMar>
            <w:vAlign w:val="center"/>
            <w:hideMark w:val="1"/>
          </w:tcPr>
          <w:p>
            <w:pPr>
              <w:spacing w:before="156" w:beforeLines="50"/>
              <w:rPr>
                <w:rFonts w:hint="eastAsia" w:ascii="楷体" w:hAnsi="楷体" w:eastAsia="楷体"/>
                <w:sz w:val="20"/>
                <w:szCs w:val="20"/>
              </w:rPr>
            </w:pPr>
            <w:r>
              <w:rPr>
                <w:rFonts w:ascii="楷体" w:hAnsi="楷体" w:eastAsia="楷体"/>
                <w:sz w:val="20"/>
                <w:szCs w:val="20"/>
              </w:rPr>
              <w:t>8</w:t>
            </w:r>
          </w:p>
        </w:tc>
        <w:tc>
          <w:tcPr>
            <w:tcW w:w="1247" w:type="dxa"/>
            <w:tcMar>
              <w:top w:w="150" w:type="dxa"/>
              <w:left w:w="240" w:type="dxa"/>
              <w:bottom w:w="150" w:type="dxa"/>
              <w:right w:w="240" w:type="dxa"/>
            </w:tcMar>
            <w:vAlign w:val="center"/>
            <w:hideMark w:val="1"/>
          </w:tcPr>
          <w:p>
            <w:pPr>
              <w:spacing w:before="156" w:beforeLines="50"/>
              <w:rPr>
                <w:rFonts w:hint="eastAsia" w:ascii="楷体" w:hAnsi="楷体" w:eastAsia="楷体"/>
                <w:sz w:val="20"/>
                <w:szCs w:val="20"/>
              </w:rPr>
            </w:pPr>
            <w:r>
              <w:rPr>
                <w:rFonts w:ascii="楷体" w:hAnsi="楷体" w:eastAsia="楷体"/>
                <w:sz w:val="20"/>
                <w:szCs w:val="20"/>
              </w:rPr>
              <w:t>8</w:t>
            </w:r>
          </w:p>
        </w:tc>
        <w:tc>
          <w:tcPr>
            <w:tcW w:w="1799" w:type="dxa"/>
            <w:tcMar>
              <w:top w:w="150" w:type="dxa"/>
              <w:left w:w="240" w:type="dxa"/>
              <w:bottom w:w="150" w:type="dxa"/>
              <w:right w:w="0" w:type="dxa"/>
            </w:tcMar>
            <w:vAlign w:val="center"/>
            <w:hideMark w:val="1"/>
          </w:tcPr>
          <w:p>
            <w:pPr>
              <w:spacing w:before="156" w:beforeLines="50"/>
              <w:jc w:val="left"/>
              <w:rPr>
                <w:rFonts w:hint="eastAsia" w:ascii="楷体" w:hAnsi="楷体" w:eastAsia="楷体"/>
                <w:sz w:val="20"/>
                <w:szCs w:val="20"/>
              </w:rPr>
            </w:pPr>
            <w:r>
              <w:rPr>
                <w:rFonts w:ascii="楷体" w:hAnsi="楷体" w:eastAsia="楷体"/>
                <w:sz w:val="20"/>
                <w:szCs w:val="20"/>
              </w:rPr>
              <w:t>开关稳压，原理图指定型号</w:t>
            </w:r>
          </w:p>
        </w:tc>
      </w:tr>
      <w:tr>
        <w:trPr/>
        <w:tc>
          <w:tcPr>
            <w:tcW w:w="914" w:type="dxa"/>
            <w:shd w:val="clear" w:color="auto" w:fill="C1E4F5" w:themeFill="accent1" w:themeFillTint="33"/>
            <w:tcMar>
              <w:top w:w="150" w:type="dxa"/>
              <w:left w:w="0" w:type="dxa"/>
              <w:bottom w:w="150" w:type="dxa"/>
              <w:right w:w="240" w:type="dxa"/>
            </w:tcMar>
            <w:vAlign w:val="center"/>
            <w:hideMark w:val="1"/>
          </w:tcPr>
          <w:p>
            <w:pPr>
              <w:spacing w:before="156" w:beforeLines="50"/>
              <w:rPr>
                <w:rFonts w:hint="eastAsia" w:ascii="楷体" w:hAnsi="楷体" w:eastAsia="楷体"/>
                <w:sz w:val="20"/>
                <w:szCs w:val="20"/>
              </w:rPr>
            </w:pPr>
            <w:r>
              <w:rPr>
                <w:rFonts w:ascii="楷体" w:hAnsi="楷体" w:eastAsia="楷体"/>
                <w:sz w:val="20"/>
                <w:szCs w:val="20"/>
              </w:rPr>
              <w:t>CAN 收发器</w:t>
            </w:r>
          </w:p>
        </w:tc>
        <w:tc>
          <w:tcPr>
            <w:tcW w:w="3089" w:type="dxa"/>
            <w:tcMar>
              <w:top w:w="150" w:type="dxa"/>
              <w:left w:w="240" w:type="dxa"/>
              <w:bottom w:w="150" w:type="dxa"/>
              <w:right w:w="240" w:type="dxa"/>
            </w:tcMar>
            <w:vAlign w:val="center"/>
            <w:hideMark w:val="1"/>
          </w:tcPr>
          <w:p>
            <w:pPr>
              <w:spacing w:before="156" w:beforeLines="50"/>
              <w:rPr>
                <w:rFonts w:hint="eastAsia" w:ascii="楷体" w:hAnsi="楷体" w:eastAsia="楷体"/>
                <w:sz w:val="20"/>
                <w:szCs w:val="20"/>
              </w:rPr>
            </w:pPr>
            <w:r>
              <w:rPr>
                <w:rFonts w:ascii="楷体" w:hAnsi="楷体" w:eastAsia="楷体"/>
                <w:sz w:val="20"/>
                <w:szCs w:val="20"/>
              </w:rPr>
              <w:t>SN65HVD230DR+KF301-5.0-2P端子</w:t>
            </w:r>
          </w:p>
        </w:tc>
        <w:tc>
          <w:tcPr>
            <w:tcW w:w="1247" w:type="dxa"/>
            <w:tcMar>
              <w:top w:w="150" w:type="dxa"/>
              <w:left w:w="240" w:type="dxa"/>
              <w:bottom w:w="150" w:type="dxa"/>
              <w:right w:w="240" w:type="dxa"/>
            </w:tcMar>
            <w:vAlign w:val="center"/>
            <w:hideMark w:val="1"/>
          </w:tcPr>
          <w:p>
            <w:pPr>
              <w:spacing w:before="156" w:beforeLines="50"/>
              <w:rPr>
                <w:rFonts w:hint="eastAsia" w:ascii="楷体" w:hAnsi="楷体" w:eastAsia="楷体"/>
                <w:sz w:val="20"/>
                <w:szCs w:val="20"/>
              </w:rPr>
            </w:pPr>
            <w:r>
              <w:rPr>
                <w:rFonts w:ascii="楷体" w:hAnsi="楷体" w:eastAsia="楷体"/>
                <w:sz w:val="20"/>
                <w:szCs w:val="20"/>
              </w:rPr>
              <w:t>9</w:t>
            </w:r>
          </w:p>
        </w:tc>
        <w:tc>
          <w:tcPr>
            <w:tcW w:w="1247" w:type="dxa"/>
            <w:tcMar>
              <w:top w:w="150" w:type="dxa"/>
              <w:left w:w="240" w:type="dxa"/>
              <w:bottom w:w="150" w:type="dxa"/>
              <w:right w:w="240" w:type="dxa"/>
            </w:tcMar>
            <w:vAlign w:val="center"/>
            <w:hideMark w:val="1"/>
          </w:tcPr>
          <w:p>
            <w:pPr>
              <w:spacing w:before="156" w:beforeLines="50"/>
              <w:rPr>
                <w:rFonts w:hint="eastAsia" w:ascii="楷体" w:hAnsi="楷体" w:eastAsia="楷体"/>
                <w:sz w:val="20"/>
                <w:szCs w:val="20"/>
              </w:rPr>
            </w:pPr>
            <w:r>
              <w:rPr>
                <w:rFonts w:ascii="楷体" w:hAnsi="楷体" w:eastAsia="楷体"/>
                <w:sz w:val="20"/>
                <w:szCs w:val="20"/>
              </w:rPr>
              <w:t>9</w:t>
            </w:r>
          </w:p>
        </w:tc>
        <w:tc>
          <w:tcPr>
            <w:tcW w:w="1799" w:type="dxa"/>
            <w:tcMar>
              <w:top w:w="150" w:type="dxa"/>
              <w:left w:w="240" w:type="dxa"/>
              <w:bottom w:w="150" w:type="dxa"/>
              <w:right w:w="0" w:type="dxa"/>
            </w:tcMar>
            <w:vAlign w:val="center"/>
            <w:hideMark w:val="1"/>
          </w:tcPr>
          <w:p>
            <w:pPr>
              <w:spacing w:before="156" w:beforeLines="50"/>
              <w:jc w:val="left"/>
              <w:rPr>
                <w:rFonts w:hint="eastAsia" w:ascii="楷体" w:hAnsi="楷体" w:eastAsia="楷体"/>
                <w:sz w:val="20"/>
                <w:szCs w:val="20"/>
              </w:rPr>
            </w:pPr>
            <w:r>
              <w:rPr>
                <w:rFonts w:ascii="楷体" w:hAnsi="楷体" w:eastAsia="楷体"/>
                <w:sz w:val="20"/>
                <w:szCs w:val="20"/>
              </w:rPr>
              <w:t>含CAN总线接线端子</w:t>
            </w:r>
          </w:p>
        </w:tc>
      </w:tr>
      <w:tr>
        <w:trPr/>
        <w:tc>
          <w:tcPr>
            <w:tcW w:w="914" w:type="dxa"/>
            <w:shd w:val="clear" w:color="auto" w:fill="C1E4F5" w:themeFill="accent1" w:themeFillTint="33"/>
            <w:tcMar>
              <w:top w:w="150" w:type="dxa"/>
              <w:left w:w="0" w:type="dxa"/>
              <w:bottom w:w="150" w:type="dxa"/>
              <w:right w:w="240" w:type="dxa"/>
            </w:tcMar>
            <w:vAlign w:val="center"/>
            <w:hideMark w:val="1"/>
          </w:tcPr>
          <w:p>
            <w:pPr>
              <w:spacing w:before="156" w:beforeLines="50"/>
              <w:rPr>
                <w:rFonts w:hint="eastAsia" w:ascii="楷体" w:hAnsi="楷体" w:eastAsia="楷体"/>
                <w:sz w:val="20"/>
                <w:szCs w:val="20"/>
              </w:rPr>
            </w:pPr>
            <w:r>
              <w:rPr>
                <w:rFonts w:ascii="楷体" w:hAnsi="楷体" w:eastAsia="楷体"/>
                <w:sz w:val="20"/>
                <w:szCs w:val="20"/>
              </w:rPr>
              <w:t>角度传感器</w:t>
            </w:r>
          </w:p>
        </w:tc>
        <w:tc>
          <w:tcPr>
            <w:tcW w:w="3089" w:type="dxa"/>
            <w:tcMar>
              <w:top w:w="150" w:type="dxa"/>
              <w:left w:w="240" w:type="dxa"/>
              <w:bottom w:w="150" w:type="dxa"/>
              <w:right w:w="240" w:type="dxa"/>
            </w:tcMar>
            <w:vAlign w:val="center"/>
            <w:hideMark w:val="1"/>
          </w:tcPr>
          <w:p>
            <w:pPr>
              <w:spacing w:before="156" w:beforeLines="50"/>
              <w:rPr>
                <w:rFonts w:hint="eastAsia" w:ascii="楷体" w:hAnsi="楷体" w:eastAsia="楷体"/>
                <w:sz w:val="20"/>
                <w:szCs w:val="20"/>
              </w:rPr>
            </w:pPr>
            <w:r>
              <w:rPr>
                <w:rFonts w:ascii="楷体" w:hAnsi="楷体" w:eastAsia="楷体"/>
                <w:sz w:val="20"/>
                <w:szCs w:val="20"/>
              </w:rPr>
              <w:t>2×AS5600（模拟版）+三芯屏蔽线(10m)</w:t>
            </w:r>
          </w:p>
        </w:tc>
        <w:tc>
          <w:tcPr>
            <w:tcW w:w="1247" w:type="dxa"/>
            <w:tcMar>
              <w:top w:w="150" w:type="dxa"/>
              <w:left w:w="240" w:type="dxa"/>
              <w:bottom w:w="150" w:type="dxa"/>
              <w:right w:w="240" w:type="dxa"/>
            </w:tcMar>
            <w:vAlign w:val="center"/>
            <w:hideMark w:val="1"/>
          </w:tcPr>
          <w:p>
            <w:pPr>
              <w:spacing w:before="156" w:beforeLines="50"/>
              <w:rPr>
                <w:rFonts w:hint="eastAsia" w:ascii="楷体" w:hAnsi="楷体" w:eastAsia="楷体"/>
                <w:sz w:val="20"/>
                <w:szCs w:val="20"/>
              </w:rPr>
            </w:pPr>
            <w:r>
              <w:rPr>
                <w:rFonts w:ascii="楷体" w:hAnsi="楷体" w:eastAsia="楷体"/>
                <w:sz w:val="20"/>
                <w:szCs w:val="20"/>
              </w:rPr>
              <w:t>42</w:t>
            </w:r>
          </w:p>
        </w:tc>
        <w:tc>
          <w:tcPr>
            <w:tcW w:w="1247" w:type="dxa"/>
            <w:tcMar>
              <w:top w:w="150" w:type="dxa"/>
              <w:left w:w="240" w:type="dxa"/>
              <w:bottom w:w="150" w:type="dxa"/>
              <w:right w:w="240" w:type="dxa"/>
            </w:tcMar>
            <w:vAlign w:val="center"/>
            <w:hideMark w:val="1"/>
          </w:tcPr>
          <w:p>
            <w:pPr>
              <w:spacing w:before="156" w:beforeLines="50"/>
              <w:rPr>
                <w:rFonts w:hint="eastAsia" w:ascii="楷体" w:hAnsi="楷体" w:eastAsia="楷体"/>
                <w:sz w:val="20"/>
                <w:szCs w:val="20"/>
              </w:rPr>
            </w:pPr>
            <w:r>
              <w:rPr>
                <w:rFonts w:ascii="楷体" w:hAnsi="楷体" w:eastAsia="楷体"/>
                <w:sz w:val="20"/>
                <w:szCs w:val="20"/>
              </w:rPr>
              <w:t>42</w:t>
            </w:r>
          </w:p>
        </w:tc>
        <w:tc>
          <w:tcPr>
            <w:tcW w:w="1799" w:type="dxa"/>
            <w:tcMar>
              <w:top w:w="150" w:type="dxa"/>
              <w:left w:w="240" w:type="dxa"/>
              <w:bottom w:w="150" w:type="dxa"/>
              <w:right w:w="0" w:type="dxa"/>
            </w:tcMar>
            <w:vAlign w:val="center"/>
            <w:hideMark w:val="1"/>
          </w:tcPr>
          <w:p>
            <w:pPr>
              <w:spacing w:before="156" w:beforeLines="50"/>
              <w:jc w:val="left"/>
              <w:rPr>
                <w:rFonts w:hint="eastAsia" w:ascii="楷体" w:hAnsi="楷体" w:eastAsia="楷体"/>
                <w:sz w:val="20"/>
                <w:szCs w:val="20"/>
              </w:rPr>
            </w:pPr>
            <w:r>
              <w:rPr>
                <w:rFonts w:ascii="楷体" w:hAnsi="楷体" w:eastAsia="楷体"/>
                <w:sz w:val="20"/>
                <w:szCs w:val="20"/>
              </w:rPr>
              <w:t>2个传感器+长线材成本</w:t>
            </w:r>
          </w:p>
        </w:tc>
      </w:tr>
      <w:tr>
        <w:trPr/>
        <w:tc>
          <w:tcPr>
            <w:tcW w:w="914" w:type="dxa"/>
            <w:shd w:val="clear" w:color="auto" w:fill="C1E4F5" w:themeFill="accent1" w:themeFillTint="33"/>
            <w:tcMar>
              <w:top w:w="150" w:type="dxa"/>
              <w:left w:w="0" w:type="dxa"/>
              <w:bottom w:w="150" w:type="dxa"/>
              <w:right w:w="240" w:type="dxa"/>
            </w:tcMar>
            <w:vAlign w:val="center"/>
            <w:hideMark w:val="1"/>
          </w:tcPr>
          <w:p>
            <w:pPr>
              <w:spacing w:before="156" w:beforeLines="50"/>
              <w:rPr>
                <w:rFonts w:hint="eastAsia" w:ascii="楷体" w:hAnsi="楷体" w:eastAsia="楷体"/>
                <w:sz w:val="20"/>
                <w:szCs w:val="20"/>
              </w:rPr>
            </w:pPr>
            <w:r>
              <w:rPr>
                <w:rFonts w:ascii="楷体" w:hAnsi="楷体" w:eastAsia="楷体"/>
                <w:sz w:val="20"/>
                <w:szCs w:val="20"/>
              </w:rPr>
              <w:t>毫米波雷达</w:t>
            </w:r>
          </w:p>
        </w:tc>
        <w:tc>
          <w:tcPr>
            <w:tcW w:w="3089" w:type="dxa"/>
            <w:tcMar>
              <w:top w:w="150" w:type="dxa"/>
              <w:left w:w="240" w:type="dxa"/>
              <w:bottom w:w="150" w:type="dxa"/>
              <w:right w:w="240" w:type="dxa"/>
            </w:tcMar>
            <w:vAlign w:val="center"/>
            <w:hideMark w:val="1"/>
          </w:tcPr>
          <w:p>
            <w:pPr>
              <w:spacing w:before="156" w:beforeLines="50"/>
              <w:rPr>
                <w:rFonts w:hint="eastAsia" w:ascii="楷体" w:hAnsi="楷体" w:eastAsia="楷体"/>
                <w:sz w:val="20"/>
                <w:szCs w:val="20"/>
              </w:rPr>
            </w:pPr>
            <w:r>
              <w:rPr>
                <w:rFonts w:ascii="楷体" w:hAnsi="楷体" w:eastAsia="楷体"/>
                <w:sz w:val="20"/>
                <w:szCs w:val="20"/>
              </w:rPr>
              <w:t>海凌科LD2450（24GHz）+RS485自动模块</w:t>
            </w:r>
          </w:p>
        </w:tc>
        <w:tc>
          <w:tcPr>
            <w:tcW w:w="1247" w:type="dxa"/>
            <w:tcMar>
              <w:top w:w="150" w:type="dxa"/>
              <w:left w:w="240" w:type="dxa"/>
              <w:bottom w:w="150" w:type="dxa"/>
              <w:right w:w="240" w:type="dxa"/>
            </w:tcMar>
            <w:vAlign w:val="center"/>
            <w:hideMark w:val="1"/>
          </w:tcPr>
          <w:p>
            <w:pPr>
              <w:spacing w:before="156" w:beforeLines="50"/>
              <w:rPr>
                <w:rFonts w:hint="eastAsia" w:ascii="楷体" w:hAnsi="楷体" w:eastAsia="楷体"/>
                <w:sz w:val="20"/>
                <w:szCs w:val="20"/>
              </w:rPr>
            </w:pPr>
            <w:r>
              <w:rPr>
                <w:rFonts w:ascii="楷体" w:hAnsi="楷体" w:eastAsia="楷体"/>
                <w:sz w:val="20"/>
                <w:szCs w:val="20"/>
              </w:rPr>
              <w:t>33</w:t>
            </w:r>
          </w:p>
        </w:tc>
        <w:tc>
          <w:tcPr>
            <w:tcW w:w="1247" w:type="dxa"/>
            <w:tcMar>
              <w:top w:w="150" w:type="dxa"/>
              <w:left w:w="240" w:type="dxa"/>
              <w:bottom w:w="150" w:type="dxa"/>
              <w:right w:w="240" w:type="dxa"/>
            </w:tcMar>
            <w:vAlign w:val="center"/>
            <w:hideMark w:val="1"/>
          </w:tcPr>
          <w:p>
            <w:pPr>
              <w:spacing w:before="156" w:beforeLines="50"/>
              <w:rPr>
                <w:rFonts w:hint="eastAsia" w:ascii="楷体" w:hAnsi="楷体" w:eastAsia="楷体"/>
                <w:sz w:val="20"/>
                <w:szCs w:val="20"/>
              </w:rPr>
            </w:pPr>
            <w:r>
              <w:rPr>
                <w:rFonts w:ascii="楷体" w:hAnsi="楷体" w:eastAsia="楷体"/>
                <w:sz w:val="20"/>
                <w:szCs w:val="20"/>
              </w:rPr>
              <w:t>33</w:t>
            </w:r>
          </w:p>
        </w:tc>
        <w:tc>
          <w:tcPr>
            <w:tcW w:w="1799" w:type="dxa"/>
            <w:tcMar>
              <w:top w:w="150" w:type="dxa"/>
              <w:left w:w="240" w:type="dxa"/>
              <w:bottom w:w="150" w:type="dxa"/>
              <w:right w:w="0" w:type="dxa"/>
            </w:tcMar>
            <w:vAlign w:val="center"/>
            <w:hideMark w:val="1"/>
          </w:tcPr>
          <w:p>
            <w:pPr>
              <w:spacing w:before="156" w:beforeLines="50"/>
              <w:jc w:val="left"/>
              <w:rPr>
                <w:rFonts w:hint="eastAsia" w:ascii="楷体" w:hAnsi="楷体" w:eastAsia="楷体"/>
                <w:sz w:val="20"/>
                <w:szCs w:val="20"/>
              </w:rPr>
            </w:pPr>
            <w:r>
              <w:rPr>
                <w:rFonts w:ascii="楷体" w:hAnsi="楷体" w:eastAsia="楷体"/>
                <w:sz w:val="20"/>
                <w:szCs w:val="20"/>
              </w:rPr>
              <w:t>雷达25元+RS485模块8元</w:t>
            </w:r>
          </w:p>
        </w:tc>
      </w:tr>
      <w:tr>
        <w:trPr/>
        <w:tc>
          <w:tcPr>
            <w:tcW w:w="914" w:type="dxa"/>
            <w:shd w:val="clear" w:color="auto" w:fill="C1E4F5" w:themeFill="accent1" w:themeFillTint="33"/>
            <w:tcMar>
              <w:top w:w="150" w:type="dxa"/>
              <w:left w:w="0" w:type="dxa"/>
              <w:bottom w:w="150" w:type="dxa"/>
              <w:right w:w="240" w:type="dxa"/>
            </w:tcMar>
            <w:vAlign w:val="center"/>
            <w:hideMark w:val="1"/>
          </w:tcPr>
          <w:p>
            <w:pPr>
              <w:spacing w:before="156" w:beforeLines="50"/>
              <w:rPr>
                <w:rFonts w:hint="eastAsia" w:ascii="楷体" w:hAnsi="楷体" w:eastAsia="楷体"/>
                <w:sz w:val="20"/>
                <w:szCs w:val="20"/>
              </w:rPr>
            </w:pPr>
            <w:r>
              <w:rPr>
                <w:rFonts w:ascii="楷体" w:hAnsi="楷体" w:eastAsia="楷体"/>
                <w:sz w:val="20"/>
                <w:szCs w:val="20"/>
              </w:rPr>
              <w:t>预警与辅件</w:t>
            </w:r>
          </w:p>
        </w:tc>
        <w:tc>
          <w:tcPr>
            <w:tcW w:w="3089" w:type="dxa"/>
            <w:tcMar>
              <w:top w:w="150" w:type="dxa"/>
              <w:left w:w="240" w:type="dxa"/>
              <w:bottom w:w="150" w:type="dxa"/>
              <w:right w:w="240" w:type="dxa"/>
            </w:tcMar>
            <w:vAlign w:val="center"/>
            <w:hideMark w:val="1"/>
          </w:tcPr>
          <w:p>
            <w:pPr>
              <w:spacing w:before="156" w:beforeLines="50"/>
              <w:rPr>
                <w:rFonts w:hint="eastAsia" w:ascii="楷体" w:hAnsi="楷体" w:eastAsia="楷体"/>
                <w:sz w:val="20"/>
                <w:szCs w:val="20"/>
              </w:rPr>
            </w:pPr>
            <w:r>
              <w:rPr>
                <w:rFonts w:ascii="楷体" w:hAnsi="楷体" w:eastAsia="楷体"/>
                <w:sz w:val="20"/>
                <w:szCs w:val="20"/>
              </w:rPr>
              <w:t>红/黄/绿LED+蜂鸣器+电阻</w:t>
            </w:r>
          </w:p>
        </w:tc>
        <w:tc>
          <w:tcPr>
            <w:tcW w:w="1247" w:type="dxa"/>
            <w:tcMar>
              <w:top w:w="150" w:type="dxa"/>
              <w:left w:w="240" w:type="dxa"/>
              <w:bottom w:w="150" w:type="dxa"/>
              <w:right w:w="240" w:type="dxa"/>
            </w:tcMar>
            <w:vAlign w:val="center"/>
            <w:hideMark w:val="1"/>
          </w:tcPr>
          <w:p>
            <w:pPr>
              <w:spacing w:before="156" w:beforeLines="50"/>
              <w:rPr>
                <w:rFonts w:hint="eastAsia" w:ascii="楷体" w:hAnsi="楷体" w:eastAsia="楷体"/>
                <w:sz w:val="20"/>
                <w:szCs w:val="20"/>
              </w:rPr>
            </w:pPr>
            <w:r>
              <w:rPr>
                <w:rFonts w:ascii="楷体" w:hAnsi="楷体" w:eastAsia="楷体"/>
                <w:sz w:val="20"/>
                <w:szCs w:val="20"/>
              </w:rPr>
              <w:t>6</w:t>
            </w:r>
          </w:p>
        </w:tc>
        <w:tc>
          <w:tcPr>
            <w:tcW w:w="1247" w:type="dxa"/>
            <w:tcMar>
              <w:top w:w="150" w:type="dxa"/>
              <w:left w:w="240" w:type="dxa"/>
              <w:bottom w:w="150" w:type="dxa"/>
              <w:right w:w="240" w:type="dxa"/>
            </w:tcMar>
            <w:vAlign w:val="center"/>
            <w:hideMark w:val="1"/>
          </w:tcPr>
          <w:p>
            <w:pPr>
              <w:spacing w:before="156" w:beforeLines="50"/>
              <w:rPr>
                <w:rFonts w:hint="eastAsia" w:ascii="楷体" w:hAnsi="楷体" w:eastAsia="楷体"/>
                <w:sz w:val="20"/>
                <w:szCs w:val="20"/>
              </w:rPr>
            </w:pPr>
            <w:r>
              <w:rPr>
                <w:rFonts w:ascii="楷体" w:hAnsi="楷体" w:eastAsia="楷体"/>
                <w:sz w:val="20"/>
                <w:szCs w:val="20"/>
              </w:rPr>
              <w:t>6</w:t>
            </w:r>
          </w:p>
        </w:tc>
        <w:tc>
          <w:tcPr>
            <w:tcW w:w="1799" w:type="dxa"/>
            <w:tcMar>
              <w:top w:w="150" w:type="dxa"/>
              <w:left w:w="240" w:type="dxa"/>
              <w:bottom w:w="150" w:type="dxa"/>
              <w:right w:w="0" w:type="dxa"/>
            </w:tcMar>
            <w:vAlign w:val="center"/>
            <w:hideMark w:val="1"/>
          </w:tcPr>
          <w:p>
            <w:pPr>
              <w:spacing w:before="156" w:beforeLines="50"/>
              <w:jc w:val="left"/>
              <w:rPr>
                <w:rFonts w:hint="eastAsia" w:ascii="楷体" w:hAnsi="楷体" w:eastAsia="楷体"/>
                <w:sz w:val="20"/>
                <w:szCs w:val="20"/>
              </w:rPr>
            </w:pPr>
            <w:r>
              <w:rPr>
                <w:rFonts w:ascii="楷体" w:hAnsi="楷体" w:eastAsia="楷体"/>
                <w:sz w:val="20"/>
                <w:szCs w:val="20"/>
              </w:rPr>
              <w:t>原理图所有指示灯+预警器件</w:t>
            </w:r>
          </w:p>
        </w:tc>
      </w:tr>
      <w:tr>
        <w:trPr/>
        <w:tc>
          <w:tcPr>
            <w:tcW w:w="914" w:type="dxa"/>
            <w:shd w:val="clear" w:color="auto" w:fill="C1E4F5" w:themeFill="accent1" w:themeFillTint="33"/>
            <w:tcMar>
              <w:top w:w="150" w:type="dxa"/>
              <w:left w:w="0" w:type="dxa"/>
              <w:bottom w:w="150" w:type="dxa"/>
              <w:right w:w="240" w:type="dxa"/>
            </w:tcMar>
            <w:vAlign w:val="center"/>
            <w:hideMark w:val="1"/>
          </w:tcPr>
          <w:p>
            <w:pPr>
              <w:spacing w:before="156" w:beforeLines="50"/>
              <w:rPr>
                <w:rFonts w:hint="eastAsia" w:ascii="楷体" w:hAnsi="楷体" w:eastAsia="楷体"/>
                <w:sz w:val="20"/>
                <w:szCs w:val="20"/>
              </w:rPr>
            </w:pPr>
            <w:r>
              <w:rPr>
                <w:rFonts w:ascii="楷体" w:hAnsi="楷体" w:eastAsia="楷体"/>
                <w:sz w:val="20"/>
                <w:szCs w:val="20"/>
              </w:rPr>
              <w:t>PCB与加工</w:t>
            </w:r>
          </w:p>
        </w:tc>
        <w:tc>
          <w:tcPr>
            <w:tcW w:w="3089" w:type="dxa"/>
            <w:tcMar>
              <w:top w:w="150" w:type="dxa"/>
              <w:left w:w="240" w:type="dxa"/>
              <w:bottom w:w="150" w:type="dxa"/>
              <w:right w:w="240" w:type="dxa"/>
            </w:tcMar>
            <w:vAlign w:val="center"/>
            <w:hideMark w:val="1"/>
          </w:tcPr>
          <w:p>
            <w:pPr>
              <w:spacing w:before="156" w:beforeLines="50"/>
              <w:rPr>
                <w:rFonts w:hint="eastAsia" w:ascii="楷体" w:hAnsi="楷体" w:eastAsia="楷体"/>
                <w:sz w:val="20"/>
                <w:szCs w:val="20"/>
              </w:rPr>
            </w:pPr>
            <w:r>
              <w:rPr>
                <w:rFonts w:ascii="楷体" w:hAnsi="楷体" w:eastAsia="楷体"/>
                <w:sz w:val="20"/>
                <w:szCs w:val="20"/>
              </w:rPr>
              <w:t>4层PCB打样（10片分摊）+手工焊接</w:t>
            </w:r>
          </w:p>
        </w:tc>
        <w:tc>
          <w:tcPr>
            <w:tcW w:w="1247" w:type="dxa"/>
            <w:tcMar>
              <w:top w:w="150" w:type="dxa"/>
              <w:left w:w="240" w:type="dxa"/>
              <w:bottom w:w="150" w:type="dxa"/>
              <w:right w:w="240" w:type="dxa"/>
            </w:tcMar>
            <w:vAlign w:val="center"/>
            <w:hideMark w:val="1"/>
          </w:tcPr>
          <w:p>
            <w:pPr>
              <w:spacing w:before="156" w:beforeLines="50"/>
              <w:rPr>
                <w:rFonts w:hint="eastAsia" w:ascii="楷体" w:hAnsi="楷体" w:eastAsia="楷体"/>
                <w:sz w:val="20"/>
                <w:szCs w:val="20"/>
              </w:rPr>
            </w:pPr>
            <w:r>
              <w:rPr>
                <w:rFonts w:ascii="楷体" w:hAnsi="楷体" w:eastAsia="楷体"/>
                <w:sz w:val="20"/>
                <w:szCs w:val="20"/>
              </w:rPr>
              <w:t>56</w:t>
            </w:r>
          </w:p>
        </w:tc>
        <w:tc>
          <w:tcPr>
            <w:tcW w:w="1247" w:type="dxa"/>
            <w:tcMar>
              <w:top w:w="150" w:type="dxa"/>
              <w:left w:w="240" w:type="dxa"/>
              <w:bottom w:w="150" w:type="dxa"/>
              <w:right w:w="240" w:type="dxa"/>
            </w:tcMar>
            <w:vAlign w:val="center"/>
            <w:hideMark w:val="1"/>
          </w:tcPr>
          <w:p>
            <w:pPr>
              <w:spacing w:before="156" w:beforeLines="50"/>
              <w:rPr>
                <w:rFonts w:hint="eastAsia" w:ascii="楷体" w:hAnsi="楷体" w:eastAsia="楷体"/>
                <w:sz w:val="20"/>
                <w:szCs w:val="20"/>
              </w:rPr>
            </w:pPr>
            <w:r>
              <w:rPr>
                <w:rFonts w:ascii="楷体" w:hAnsi="楷体" w:eastAsia="楷体"/>
                <w:sz w:val="20"/>
                <w:szCs w:val="20"/>
              </w:rPr>
              <w:t>56</w:t>
            </w:r>
          </w:p>
        </w:tc>
        <w:tc>
          <w:tcPr>
            <w:tcW w:w="1799" w:type="dxa"/>
            <w:tcMar>
              <w:top w:w="150" w:type="dxa"/>
              <w:left w:w="240" w:type="dxa"/>
              <w:bottom w:w="150" w:type="dxa"/>
              <w:right w:w="0" w:type="dxa"/>
            </w:tcMar>
            <w:vAlign w:val="center"/>
            <w:hideMark w:val="1"/>
          </w:tcPr>
          <w:p>
            <w:pPr>
              <w:spacing w:before="156" w:beforeLines="50"/>
              <w:jc w:val="left"/>
              <w:rPr>
                <w:rFonts w:hint="eastAsia" w:ascii="楷体" w:hAnsi="楷体" w:eastAsia="楷体"/>
                <w:sz w:val="20"/>
                <w:szCs w:val="20"/>
              </w:rPr>
            </w:pPr>
            <w:r>
              <w:rPr>
                <w:rFonts w:ascii="楷体" w:hAnsi="楷体" w:eastAsia="楷体"/>
                <w:sz w:val="20"/>
                <w:szCs w:val="20"/>
              </w:rPr>
              <w:t>打样费(200元/10片)+焊料/人工</w:t>
            </w:r>
          </w:p>
        </w:tc>
      </w:tr>
      <w:tr>
        <w:trPr/>
        <w:tc>
          <w:tcPr>
            <w:tcW w:w="914" w:type="dxa"/>
            <w:shd w:val="clear" w:color="auto" w:fill="C1E4F5" w:themeFill="accent1" w:themeFillTint="33"/>
            <w:tcMar>
              <w:top w:w="150" w:type="dxa"/>
              <w:left w:w="0" w:type="dxa"/>
              <w:bottom w:w="150" w:type="dxa"/>
              <w:right w:w="240" w:type="dxa"/>
            </w:tcMar>
            <w:vAlign w:val="center"/>
            <w:hideMark w:val="1"/>
          </w:tcPr>
          <w:p>
            <w:pPr>
              <w:spacing w:before="156" w:beforeLines="50"/>
              <w:rPr>
                <w:rFonts w:hint="eastAsia" w:ascii="楷体" w:hAnsi="楷体" w:eastAsia="楷体"/>
                <w:sz w:val="20"/>
                <w:szCs w:val="20"/>
              </w:rPr>
            </w:pPr>
            <w:r>
              <w:rPr>
                <w:rFonts w:ascii="楷体" w:hAnsi="楷体" w:eastAsia="楷体"/>
                <w:sz w:val="20"/>
                <w:szCs w:val="20"/>
              </w:rPr>
              <w:t>外壳与接插件</w:t>
            </w:r>
          </w:p>
        </w:tc>
        <w:tc>
          <w:tcPr>
            <w:tcW w:w="3089" w:type="dxa"/>
            <w:tcMar>
              <w:top w:w="150" w:type="dxa"/>
              <w:left w:w="240" w:type="dxa"/>
              <w:bottom w:w="150" w:type="dxa"/>
              <w:right w:w="240" w:type="dxa"/>
            </w:tcMar>
            <w:vAlign w:val="center"/>
            <w:hideMark w:val="1"/>
          </w:tcPr>
          <w:p>
            <w:pPr>
              <w:spacing w:before="156" w:beforeLines="50"/>
              <w:rPr>
                <w:rFonts w:hint="eastAsia" w:ascii="楷体" w:hAnsi="楷体" w:eastAsia="楷体"/>
                <w:sz w:val="20"/>
                <w:szCs w:val="20"/>
              </w:rPr>
            </w:pPr>
            <w:r>
              <w:rPr>
                <w:rFonts w:ascii="楷体" w:hAnsi="楷体" w:eastAsia="楷体"/>
                <w:sz w:val="20"/>
                <w:szCs w:val="20"/>
              </w:rPr>
              <w:t>3D打印外壳+DC005电源座+杜邦线</w:t>
            </w:r>
          </w:p>
        </w:tc>
        <w:tc>
          <w:tcPr>
            <w:tcW w:w="1247" w:type="dxa"/>
            <w:tcMar>
              <w:top w:w="150" w:type="dxa"/>
              <w:left w:w="240" w:type="dxa"/>
              <w:bottom w:w="150" w:type="dxa"/>
              <w:right w:w="240" w:type="dxa"/>
            </w:tcMar>
            <w:vAlign w:val="center"/>
            <w:hideMark w:val="1"/>
          </w:tcPr>
          <w:p>
            <w:pPr>
              <w:spacing w:before="156" w:beforeLines="50"/>
              <w:rPr>
                <w:rFonts w:hint="eastAsia" w:ascii="楷体" w:hAnsi="楷体" w:eastAsia="楷体"/>
                <w:sz w:val="20"/>
                <w:szCs w:val="20"/>
              </w:rPr>
            </w:pPr>
            <w:r>
              <w:rPr>
                <w:rFonts w:ascii="楷体" w:hAnsi="楷体" w:eastAsia="楷体"/>
                <w:sz w:val="20"/>
                <w:szCs w:val="20"/>
              </w:rPr>
              <w:t>20</w:t>
            </w:r>
          </w:p>
        </w:tc>
        <w:tc>
          <w:tcPr>
            <w:tcW w:w="1247" w:type="dxa"/>
            <w:tcMar>
              <w:top w:w="150" w:type="dxa"/>
              <w:left w:w="240" w:type="dxa"/>
              <w:bottom w:w="150" w:type="dxa"/>
              <w:right w:w="240" w:type="dxa"/>
            </w:tcMar>
            <w:vAlign w:val="center"/>
            <w:hideMark w:val="1"/>
          </w:tcPr>
          <w:p>
            <w:pPr>
              <w:spacing w:before="156" w:beforeLines="50"/>
              <w:rPr>
                <w:rFonts w:hint="eastAsia" w:ascii="楷体" w:hAnsi="楷体" w:eastAsia="楷体"/>
                <w:sz w:val="20"/>
                <w:szCs w:val="20"/>
              </w:rPr>
            </w:pPr>
            <w:r>
              <w:rPr>
                <w:rFonts w:ascii="楷体" w:hAnsi="楷体" w:eastAsia="楷体"/>
                <w:sz w:val="20"/>
                <w:szCs w:val="20"/>
              </w:rPr>
              <w:t>20</w:t>
            </w:r>
          </w:p>
        </w:tc>
        <w:tc>
          <w:tcPr>
            <w:tcW w:w="1799" w:type="dxa"/>
            <w:tcMar>
              <w:top w:w="150" w:type="dxa"/>
              <w:left w:w="240" w:type="dxa"/>
              <w:bottom w:w="150" w:type="dxa"/>
              <w:right w:w="0" w:type="dxa"/>
            </w:tcMar>
            <w:vAlign w:val="center"/>
            <w:hideMark w:val="1"/>
          </w:tcPr>
          <w:p>
            <w:pPr>
              <w:spacing w:before="156" w:beforeLines="50"/>
              <w:jc w:val="left"/>
              <w:rPr>
                <w:rFonts w:hint="eastAsia" w:ascii="楷体" w:hAnsi="楷体" w:eastAsia="楷体"/>
                <w:sz w:val="20"/>
                <w:szCs w:val="20"/>
              </w:rPr>
            </w:pPr>
            <w:r>
              <w:rPr>
                <w:rFonts w:ascii="楷体" w:hAnsi="楷体" w:eastAsia="楷体"/>
                <w:sz w:val="20"/>
                <w:szCs w:val="20"/>
              </w:rPr>
              <w:t>简易安装，适配原型测试</w:t>
            </w:r>
          </w:p>
        </w:tc>
      </w:tr>
      <w:tr>
        <w:trPr/>
        <w:tc>
          <w:tcPr>
            <w:tcW w:w="914" w:type="dxa"/>
            <w:shd w:val="clear" w:color="auto" w:fill="C1E4F5" w:themeFill="accent1" w:themeFillTint="33"/>
            <w:tcMar>
              <w:top w:w="150" w:type="dxa"/>
              <w:left w:w="0" w:type="dxa"/>
              <w:bottom w:w="150" w:type="dxa"/>
              <w:right w:w="240" w:type="dxa"/>
            </w:tcMar>
            <w:vAlign w:val="center"/>
            <w:hideMark w:val="1"/>
          </w:tcPr>
          <w:p>
            <w:pPr>
              <w:spacing w:before="156" w:beforeLines="50"/>
              <w:rPr>
                <w:rFonts w:hint="eastAsia" w:ascii="楷体" w:hAnsi="楷体" w:eastAsia="楷体"/>
                <w:sz w:val="20"/>
                <w:szCs w:val="20"/>
              </w:rPr>
            </w:pPr>
            <w:r>
              <w:rPr>
                <w:rFonts w:ascii="楷体" w:hAnsi="楷体" w:eastAsia="楷体"/>
                <w:sz w:val="20"/>
                <w:szCs w:val="20"/>
              </w:rPr>
              <w:t>总计</w:t>
            </w:r>
          </w:p>
        </w:tc>
        <w:tc>
          <w:tcPr>
            <w:tcW w:w="3089" w:type="dxa"/>
            <w:tcMar>
              <w:top w:w="150" w:type="dxa"/>
              <w:left w:w="240" w:type="dxa"/>
              <w:bottom w:w="150" w:type="dxa"/>
              <w:right w:w="240" w:type="dxa"/>
            </w:tcMar>
            <w:vAlign w:val="center"/>
            <w:hideMark w:val="1"/>
          </w:tcPr>
          <w:p>
            <w:pPr>
              <w:spacing w:before="156" w:beforeLines="50"/>
              <w:rPr>
                <w:rFonts w:hint="eastAsia" w:ascii="楷体" w:hAnsi="楷体" w:eastAsia="楷体"/>
                <w:sz w:val="20"/>
                <w:szCs w:val="20"/>
              </w:rPr>
            </w:pPr>
            <w:r>
              <w:rPr>
                <w:rFonts w:ascii="楷体" w:hAnsi="楷体" w:eastAsia="楷体"/>
                <w:sz w:val="20"/>
                <w:szCs w:val="20"/>
              </w:rPr>
              <w:t>-</w:t>
            </w:r>
          </w:p>
        </w:tc>
        <w:tc>
          <w:tcPr>
            <w:tcW w:w="1247" w:type="dxa"/>
            <w:tcMar>
              <w:top w:w="150" w:type="dxa"/>
              <w:left w:w="240" w:type="dxa"/>
              <w:bottom w:w="150" w:type="dxa"/>
              <w:right w:w="240" w:type="dxa"/>
            </w:tcMar>
            <w:vAlign w:val="center"/>
            <w:hideMark w:val="1"/>
          </w:tcPr>
          <w:p>
            <w:pPr>
              <w:spacing w:before="156" w:beforeLines="50"/>
              <w:rPr>
                <w:rFonts w:hint="eastAsia" w:ascii="楷体" w:hAnsi="楷体" w:eastAsia="楷体"/>
                <w:sz w:val="20"/>
                <w:szCs w:val="20"/>
              </w:rPr>
            </w:pPr>
            <w:r>
              <w:rPr>
                <w:rFonts w:ascii="楷体" w:hAnsi="楷体" w:eastAsia="楷体"/>
                <w:sz w:val="20"/>
                <w:szCs w:val="20"/>
              </w:rPr>
              <w:t>-</w:t>
            </w:r>
          </w:p>
        </w:tc>
        <w:tc>
          <w:tcPr>
            <w:tcW w:w="1247" w:type="dxa"/>
            <w:tcMar>
              <w:top w:w="150" w:type="dxa"/>
              <w:left w:w="240" w:type="dxa"/>
              <w:bottom w:w="150" w:type="dxa"/>
              <w:right w:w="240" w:type="dxa"/>
            </w:tcMar>
            <w:vAlign w:val="center"/>
            <w:hideMark w:val="1"/>
          </w:tcPr>
          <w:p>
            <w:pPr>
              <w:spacing w:before="156" w:beforeLines="50"/>
              <w:rPr>
                <w:rFonts w:hint="eastAsia" w:ascii="楷体" w:hAnsi="楷体" w:eastAsia="楷体"/>
                <w:sz w:val="20"/>
                <w:szCs w:val="20"/>
              </w:rPr>
            </w:pPr>
            <w:r>
              <w:rPr>
                <w:rFonts w:ascii="楷体" w:hAnsi="楷体" w:eastAsia="楷体"/>
                <w:sz w:val="20"/>
                <w:szCs w:val="20"/>
              </w:rPr>
              <w:t>228</w:t>
            </w:r>
          </w:p>
        </w:tc>
        <w:tc>
          <w:tcPr>
            <w:tcW w:w="1799" w:type="dxa"/>
            <w:tcMar>
              <w:top w:w="150" w:type="dxa"/>
              <w:left w:w="240" w:type="dxa"/>
              <w:bottom w:w="150" w:type="dxa"/>
              <w:right w:w="0" w:type="dxa"/>
            </w:tcMar>
            <w:vAlign w:val="center"/>
            <w:hideMark w:val="1"/>
          </w:tcPr>
          <w:p>
            <w:pPr>
              <w:spacing w:before="156" w:beforeLines="50"/>
              <w:jc w:val="left"/>
              <w:rPr>
                <w:rFonts w:hint="eastAsia" w:ascii="楷体" w:hAnsi="楷体" w:eastAsia="楷体"/>
                <w:sz w:val="20"/>
                <w:szCs w:val="20"/>
              </w:rPr>
            </w:pPr>
            <w:r>
              <w:rPr>
                <w:rFonts w:ascii="楷体" w:hAnsi="楷体" w:eastAsia="楷体"/>
                <w:sz w:val="20"/>
                <w:szCs w:val="20"/>
              </w:rPr>
              <w:t>取最低采购价，实际约285元</w:t>
            </w:r>
          </w:p>
        </w:tc>
      </w:tr>
    </w:tbl>
    <w:p>
      <w:pPr>
        <w:spacing w:before="156" w:beforeLines="50"/>
        <w:ind w:firstLine="420"/>
        <w:jc w:val="center"/>
        <w:rPr>
          <w:rFonts w:hint="eastAsia" w:ascii="黑体" w:hAnsi="黑体" w:eastAsia="黑体"/>
          <w:sz w:val="18"/>
          <w:szCs w:val="18"/>
        </w:rPr>
      </w:pPr>
      <w:r>
        <w:rPr>
          <w:rFonts w:hint="eastAsia" w:ascii="黑体" w:hAnsi="黑体" w:eastAsia="黑体"/>
          <w:sz w:val="18"/>
          <w:szCs w:val="18"/>
        </w:rPr>
        <w:t>表6-1-1</w:t>
      </w:r>
    </w:p>
    <w:p>
      <w:pPr>
        <w:spacing w:before="156" w:beforeLines="50"/>
        <w:ind w:firstLine="420"/>
        <w:rPr>
          <w:rFonts w:hint="eastAsia" w:ascii="宋体" w:hAnsi="宋体" w:eastAsia="宋体"/>
          <w:sz w:val="24"/>
          <w:szCs w:val="24"/>
        </w:rPr>
      </w:pPr>
      <w:r>
        <w:rPr>
          <w:rFonts w:ascii="宋体" w:hAnsi="宋体" w:eastAsia="宋体"/>
          <w:sz w:val="24"/>
          <w:szCs w:val="24"/>
        </w:rPr>
        <w:t>成本说明：</w:t>
      </w:r>
      <w:r>
        <w:rPr>
          <w:rFonts w:ascii="宋体" w:hAnsi="宋体" w:eastAsia="宋体"/>
          <w:b w:val="1"/>
          <w:bCs w:val="1"/>
          <w:color w:val="215E99" w:themeColor="text2" w:themeTint="BF"/>
          <w:sz w:val="24"/>
          <w:szCs w:val="24"/>
        </w:rPr>
        <w:t>以上为原型测试阶段BOM成本，按最低采购价估算约228元。</w:t>
      </w:r>
      <w:r>
        <w:rPr>
          <w:rFonts w:ascii="宋体" w:hAnsi="宋体" w:eastAsia="宋体"/>
          <w:sz w:val="24"/>
          <w:szCs w:val="24"/>
        </w:rPr>
        <w:t>其中主控芯片（ESP32-S3）和毫米波雷达（海凌科LD2450）为核心器件，合计占比约28%。角度传感器因线材较长（10米）成本略高，但已在原理图中固定选型。考虑实际采购波动、手工焊接良率及生产损耗，建议按285元/套进行财务测算。批量生产后，PCB加工、贴片等费用可进一步摊薄，预期规模效应下BOM成本有望降至250元/套以内。</w:t>
      </w:r>
    </w:p>
    <w:p>
      <w:pPr>
        <w:rPr>
          <w:rFonts w:hint="eastAsia"/>
          <w:b w:val="1"/>
          <w:bCs w:val="1"/>
        </w:rPr>
      </w:pPr>
      <w:r>
        <w:rPr>
          <w:rFonts w:ascii="宋体" w:hAnsi="宋体" w:eastAsia="宋体"/>
          <w:noProof w:val="1"/>
          <w:sz w:val="24"/>
          <w:szCs w:val="24"/>
        </w:rPr>
        <w:drawing>
          <wp:anchor distT="0" distB="0" distL="114300" distR="114300" simplePos="0" relativeHeight="251662336" behindDoc="0" locked="0" layoutInCell="1" allowOverlap="1">
            <wp:simplePos x="0" y="0"/>
            <wp:positionH relativeFrom="column">
              <wp:posOffset>1478236</wp:posOffset>
            </wp:positionH>
            <wp:positionV relativeFrom="paragraph">
              <wp:posOffset>228509</wp:posOffset>
            </wp:positionV>
            <wp:extent cx="3561715" cy="2883535"/>
            <wp:effectExtent l="0" t="0" r="635" b="0"/>
            <wp:wrapTopAndBottom/>
            <wp:docPr id="14" name="图片 5"/>
            <wp:cNvGraphicFramePr>
              <a:graphicFrameLocks noChangeAspect="1"/>
            </wp:cNvGraphicFramePr>
            <a:graphic>
              <a:graphicData uri="http://schemas.openxmlformats.org/drawingml/2006/picture">
                <pic:pic>
                  <pic:nvPicPr>
                    <pic:cNvPr id="15" name="Picture 5"/>
                    <pic:cNvPicPr>
                      <a:picLocks noChangeAspect="1" noChangeArrowheads="1"/>
                    </pic:cNvPicPr>
                  </pic:nvPicPr>
                  <pic:blipFill>
                    <a:blip r:embed="rId19" cstate="print">
                      <a:extLst>
                        <a:ext uri="{28A0092B-C50C-407E-A947-70E740481C1C}"/>
                      </a:extLst>
                    </a:blip>
                    <a:srcRect/>
                    <a:stretch>
                      <a:fillRect/>
                    </a:stretch>
                  </pic:blipFill>
                  <pic:spPr bwMode="auto">
                    <a:xfrm>
                      <a:off x="0" y="0"/>
                      <a:ext cx="3561715" cy="2883535"/>
                    </a:xfrm>
                    <a:prstGeom prst="rect">
                      <a:avLst/>
                    </a:prstGeom>
                    <a:noFill/>
                    <a:ln>
                      <a:noFill/>
                    </a:ln>
                  </pic:spPr>
                </pic:pic>
              </a:graphicData>
            </a:graphic>
            <wp14:sizeRelH relativeFrom="margin">
              <wp14:pctWidth>0</wp14:pctWidth>
            </wp14:sizeRelH>
            <wp14:sizeRelV relativeFrom="margin">
              <wp14:pctHeight>0</wp14:pctHeight>
            </wp14:sizeRelV>
          </wp:anchor>
        </w:drawing>
      </w:r>
    </w:p>
    <w:p>
      <w:pPr>
        <w:spacing w:before="156" w:beforeLines="50"/>
        <w:ind w:firstLine="420"/>
        <w:jc w:val="center"/>
        <w:rPr>
          <w:rFonts w:hint="eastAsia" w:ascii="黑体" w:hAnsi="黑体" w:eastAsia="黑体"/>
          <w:sz w:val="18"/>
          <w:szCs w:val="18"/>
        </w:rPr>
      </w:pPr>
      <w:r>
        <w:rPr>
          <w:rFonts w:hint="eastAsia" w:ascii="黑体" w:hAnsi="黑体" w:eastAsia="黑体"/>
          <w:sz w:val="18"/>
          <w:szCs w:val="18"/>
        </w:rPr>
        <w:t>图6-1-1</w:t>
      </w:r>
    </w:p>
    <w:p>
      <w:pPr>
        <w:rPr>
          <w:rFonts w:hint="eastAsia"/>
          <w:b w:val="1"/>
          <w:bCs w:val="1"/>
        </w:rPr>
      </w:pPr>
    </w:p>
    <w:p>
      <w:pPr>
        <w:rPr>
          <w:rFonts w:hint="eastAsia"/>
          <w:b w:val="1"/>
          <w:bCs w:val="1"/>
        </w:rPr>
      </w:pPr>
    </w:p>
    <w:p>
      <w:pPr>
        <w:rPr>
          <w:rFonts w:hint="eastAsia"/>
          <w:b w:val="1"/>
          <w:bCs w:val="1"/>
        </w:rPr>
      </w:pPr>
    </w:p>
    <w:p>
      <w:pPr>
        <w:rPr>
          <w:rFonts w:hint="eastAsia"/>
          <w:b w:val="1"/>
          <w:bCs w:val="1"/>
        </w:rPr>
      </w:pPr>
    </w:p>
    <w:p>
      <w:pPr>
        <w:rPr>
          <w:rFonts w:hint="eastAsia"/>
          <w:b w:val="1"/>
          <w:bCs w:val="1"/>
        </w:rPr>
      </w:pPr>
    </w:p>
    <w:p>
      <w:pPr>
        <w:rPr>
          <w:rFonts w:hint="eastAsia"/>
          <w:b w:val="1"/>
          <w:bCs w:val="1"/>
        </w:rPr>
      </w:pPr>
    </w:p>
    <w:p>
      <w:pPr>
        <w:rPr>
          <w:rFonts w:hint="eastAsia"/>
          <w:b w:val="1"/>
          <w:bCs w:val="1"/>
        </w:rPr>
      </w:pPr>
    </w:p>
    <w:p>
      <w:pPr>
        <w:rPr>
          <w:rFonts w:hint="eastAsia"/>
          <w:b w:val="1"/>
          <w:bCs w:val="1"/>
        </w:rPr>
      </w:pPr>
    </w:p>
    <w:p>
      <w:pPr>
        <w:rPr>
          <w:rFonts w:hint="eastAsia"/>
          <w:b w:val="1"/>
          <w:bCs w:val="1"/>
        </w:rPr>
      </w:pPr>
    </w:p>
    <w:p>
      <w:pPr>
        <w:pStyle w:val="0000a4"/>
        <w:numPr>
          <w:ilvl w:val="0"/>
          <w:numId w:val="3"/>
        </w:numPr>
        <w:spacing w:before="156" w:beforeLines="50"/>
        <w:rPr>
          <w:rFonts w:hint="eastAsia" w:ascii="黑体" w:hAnsi="黑体" w:eastAsia="黑体"/>
          <w:b w:val="1"/>
          <w:bCs w:val="1"/>
          <w:sz w:val="28"/>
          <w:szCs w:val="28"/>
        </w:rPr>
      </w:pPr>
      <w:r>
        <w:rPr>
          <w:rFonts w:ascii="黑体" w:hAnsi="黑体" w:eastAsia="黑体"/>
          <w:b w:val="1"/>
          <w:bCs w:val="1"/>
          <w:sz w:val="28"/>
          <w:szCs w:val="28"/>
        </w:rPr>
        <w:t xml:space="preserve"> 定价策略</w:t>
      </w:r>
    </w:p>
    <w:p>
      <w:pPr>
        <w:spacing w:before="156" w:beforeLines="50"/>
        <w:rPr>
          <w:rFonts w:hint="eastAsia" w:ascii="宋体" w:hAnsi="宋体" w:eastAsia="宋体"/>
          <w:b w:val="1"/>
          <w:bCs w:val="1"/>
          <w:sz w:val="24"/>
          <w:szCs w:val="24"/>
        </w:rPr>
      </w:pPr>
      <w:r>
        <w:rPr>
          <w:rFonts w:hint="eastAsia" w:ascii="宋体" w:hAnsi="宋体" w:eastAsia="宋体"/>
          <w:b w:val="1"/>
          <w:bCs w:val="1"/>
          <w:sz w:val="24"/>
          <w:szCs w:val="24"/>
        </w:rPr>
        <w:t>（一）</w:t>
      </w:r>
      <w:r>
        <w:rPr>
          <w:rFonts w:ascii="宋体" w:hAnsi="宋体" w:eastAsia="宋体"/>
          <w:b w:val="1"/>
          <w:bCs w:val="1"/>
          <w:sz w:val="24"/>
          <w:szCs w:val="24"/>
        </w:rPr>
        <w:t>竞品价格参考</w:t>
      </w:r>
    </w:p>
    <w:p>
      <w:pPr>
        <w:pStyle w:val="0000a4"/>
        <w:spacing w:before="156" w:beforeLines="50"/>
        <w:ind w:left="1140"/>
        <w:rPr>
          <w:rFonts w:hint="eastAsia" w:ascii="宋体" w:hAnsi="宋体" w:eastAsia="宋体"/>
          <w:sz w:val="24"/>
          <w:szCs w:val="24"/>
        </w:rPr>
      </w:pPr>
      <w:r>
        <w:rPr>
          <w:rFonts w:ascii="宋体" w:hAnsi="宋体" w:eastAsia="宋体"/>
          <w:sz w:val="24"/>
          <w:szCs w:val="24"/>
        </w:rPr>
        <w:t>厦门邮政2024年采购招标中，大货车盲区预警设备最高限价1800元/套，维保费用700元/年；国际品牌（如bitsensing）</w:t>
      </w:r>
      <w:r>
        <w:rPr>
          <w:rFonts w:ascii="宋体" w:hAnsi="宋体" w:eastAsia="宋体"/>
          <w:noProof w:val="1"/>
          <w:sz w:val="24"/>
          <w:szCs w:val="24"/>
        </w:rPr>
        <w:drawing>
          <wp:anchor distT="0" distB="0" distL="114300" distR="114300" simplePos="0" relativeHeight="251663360" behindDoc="0" locked="0" layoutInCell="1" allowOverlap="1">
            <wp:simplePos x="0" y="0"/>
            <wp:positionH relativeFrom="column">
              <wp:posOffset>133464</wp:posOffset>
            </wp:positionH>
            <wp:positionV relativeFrom="paragraph">
              <wp:posOffset>412927</wp:posOffset>
            </wp:positionV>
            <wp:extent cx="5274310" cy="3789680"/>
            <wp:effectExtent l="0" t="0" r="2540" b="1270"/>
            <wp:wrapTopAndBottom/>
            <wp:docPr id="17" name="图片 6"/>
            <wp:cNvGraphicFramePr>
              <a:graphicFrameLocks noChangeAspect="1"/>
            </wp:cNvGraphicFramePr>
            <a:graphic>
              <a:graphicData uri="http://schemas.openxmlformats.org/drawingml/2006/picture">
                <pic:pic>
                  <pic:nvPicPr>
                    <pic:cNvPr id="18" name="Picture 6"/>
                    <pic:cNvPicPr>
                      <a:picLocks noChangeAspect="1" noChangeArrowheads="1"/>
                    </pic:cNvPicPr>
                  </pic:nvPicPr>
                  <pic:blipFill>
                    <a:blip r:embed="rId20">
                      <a:extLst>
                        <a:ext uri="{28A0092B-C50C-407E-A947-70E740481C1C}"/>
                      </a:extLst>
                    </a:blip>
                    <a:srcRect/>
                    <a:stretch>
                      <a:fillRect/>
                    </a:stretch>
                  </pic:blipFill>
                  <pic:spPr bwMode="auto">
                    <a:xfrm>
                      <a:off x="0" y="0"/>
                      <a:ext cx="5274310" cy="3789680"/>
                    </a:xfrm>
                    <a:prstGeom prst="rect">
                      <a:avLst/>
                    </a:prstGeom>
                    <a:noFill/>
                    <a:ln>
                      <a:noFill/>
                    </a:ln>
                  </pic:spPr>
                </pic:pic>
              </a:graphicData>
            </a:graphic>
          </wp:anchor>
        </w:drawing>
      </w:r>
      <w:r>
        <w:rPr>
          <w:rFonts w:ascii="宋体" w:hAnsi="宋体" w:eastAsia="宋体"/>
          <w:sz w:val="24"/>
          <w:szCs w:val="24"/>
        </w:rPr>
        <w:t>后装产品售价约2000-2500元/套（见图</w:t>
      </w:r>
      <w:r>
        <w:rPr>
          <w:rFonts w:hint="eastAsia" w:ascii="宋体" w:hAnsi="宋体" w:eastAsia="宋体"/>
          <w:sz w:val="24"/>
          <w:szCs w:val="24"/>
        </w:rPr>
        <w:t>6-2-1</w:t>
      </w:r>
      <w:r>
        <w:rPr>
          <w:rFonts w:ascii="宋体" w:hAnsi="宋体" w:eastAsia="宋体"/>
          <w:sz w:val="24"/>
          <w:szCs w:val="24"/>
        </w:rPr>
        <w:t>竞品价格对比柱形图）。</w:t>
      </w:r>
    </w:p>
    <w:p>
      <w:pPr>
        <w:spacing w:before="156" w:beforeLines="50"/>
        <w:ind w:firstLine="420"/>
        <w:jc w:val="center"/>
        <w:rPr>
          <w:rFonts w:hint="eastAsia" w:ascii="黑体" w:hAnsi="黑体" w:eastAsia="黑体"/>
          <w:sz w:val="18"/>
          <w:szCs w:val="18"/>
        </w:rPr>
      </w:pPr>
      <w:r>
        <w:rPr>
          <w:rFonts w:hint="eastAsia" w:ascii="黑体" w:hAnsi="黑体" w:eastAsia="黑体"/>
          <w:sz w:val="18"/>
          <w:szCs w:val="18"/>
        </w:rPr>
        <w:t>图6-2-1</w:t>
      </w:r>
    </w:p>
    <w:p>
      <w:pPr>
        <w:spacing w:before="156" w:beforeLines="50"/>
        <w:rPr>
          <w:rFonts w:hint="eastAsia" w:ascii="宋体" w:hAnsi="宋体" w:eastAsia="宋体"/>
          <w:b w:val="1"/>
          <w:bCs w:val="1"/>
          <w:sz w:val="24"/>
          <w:szCs w:val="24"/>
        </w:rPr>
      </w:pPr>
      <w:r>
        <w:rPr>
          <w:rFonts w:hint="eastAsia" w:ascii="宋体" w:hAnsi="宋体" w:eastAsia="宋体"/>
          <w:b w:val="1"/>
          <w:bCs w:val="1"/>
          <w:sz w:val="24"/>
          <w:szCs w:val="24"/>
        </w:rPr>
        <w:t>（二）</w:t>
      </w:r>
      <w:r>
        <w:rPr>
          <w:rFonts w:ascii="宋体" w:hAnsi="宋体" w:eastAsia="宋体"/>
          <w:b w:val="1"/>
          <w:bCs w:val="1"/>
          <w:sz w:val="24"/>
          <w:szCs w:val="24"/>
        </w:rPr>
        <w:t>本方案定价</w:t>
      </w:r>
    </w:p>
    <w:p>
      <w:pPr>
        <w:spacing w:before="156" w:beforeLines="50"/>
        <w:ind w:firstLine="420"/>
        <w:rPr>
          <w:rFonts w:hint="eastAsia" w:ascii="宋体" w:hAnsi="宋体" w:eastAsia="宋体"/>
          <w:sz w:val="24"/>
          <w:szCs w:val="24"/>
        </w:rPr>
      </w:pPr>
      <w:r>
        <w:rPr>
          <w:rFonts w:ascii="宋体" w:hAnsi="宋体" w:eastAsia="宋体"/>
          <w:sz w:val="24"/>
          <w:szCs w:val="24"/>
        </w:rPr>
        <w:t>采用渗透定价策略，建议售价1280-1480元/套（含1年基础服务），以低于政府采购限价30%以上的优势快速抢占市场。</w:t>
      </w:r>
    </w:p>
    <w:p>
      <w:pPr>
        <w:spacing w:before="156" w:beforeLines="50"/>
        <w:ind w:firstLine="420"/>
        <w:rPr>
          <w:rFonts w:hint="eastAsia" w:ascii="宋体" w:hAnsi="宋体" w:eastAsia="宋体"/>
          <w:sz w:val="24"/>
          <w:szCs w:val="24"/>
        </w:rPr>
      </w:pPr>
    </w:p>
    <w:p>
      <w:pPr>
        <w:spacing w:before="156" w:beforeLines="50"/>
        <w:ind w:firstLine="420"/>
        <w:rPr>
          <w:rFonts w:hint="eastAsia" w:ascii="宋体" w:hAnsi="宋体" w:eastAsia="宋体"/>
          <w:sz w:val="24"/>
          <w:szCs w:val="24"/>
        </w:rPr>
      </w:pPr>
    </w:p>
    <w:p>
      <w:pPr>
        <w:spacing w:before="156" w:beforeLines="50"/>
        <w:ind w:firstLine="420"/>
        <w:rPr>
          <w:rFonts w:hint="eastAsia" w:ascii="宋体" w:hAnsi="宋体" w:eastAsia="宋体"/>
          <w:sz w:val="24"/>
          <w:szCs w:val="24"/>
        </w:rPr>
      </w:pPr>
    </w:p>
    <w:p>
      <w:pPr>
        <w:spacing w:before="156" w:beforeLines="50"/>
        <w:ind w:firstLine="420"/>
        <w:rPr>
          <w:rFonts w:hint="eastAsia" w:ascii="宋体" w:hAnsi="宋体" w:eastAsia="宋体"/>
          <w:sz w:val="24"/>
          <w:szCs w:val="24"/>
        </w:rPr>
      </w:pPr>
    </w:p>
    <w:p>
      <w:pPr>
        <w:spacing w:before="156" w:beforeLines="50"/>
        <w:ind w:firstLine="420"/>
        <w:rPr>
          <w:rFonts w:hint="eastAsia" w:ascii="宋体" w:hAnsi="宋体" w:eastAsia="宋体"/>
          <w:sz w:val="24"/>
          <w:szCs w:val="24"/>
        </w:rPr>
      </w:pPr>
    </w:p>
    <w:p>
      <w:pPr>
        <w:spacing w:before="156" w:beforeLines="50"/>
        <w:ind w:firstLine="420"/>
        <w:rPr>
          <w:rFonts w:hint="eastAsia" w:ascii="宋体" w:hAnsi="宋体" w:eastAsia="宋体"/>
          <w:sz w:val="24"/>
          <w:szCs w:val="24"/>
        </w:rPr>
      </w:pPr>
    </w:p>
    <w:p>
      <w:pPr>
        <w:spacing w:before="156" w:beforeLines="50"/>
        <w:ind w:firstLine="420"/>
        <w:rPr>
          <w:rFonts w:hint="eastAsia" w:ascii="宋体" w:hAnsi="宋体" w:eastAsia="宋体"/>
          <w:sz w:val="24"/>
          <w:szCs w:val="24"/>
        </w:rPr>
      </w:pPr>
    </w:p>
    <w:p>
      <w:pPr>
        <w:spacing w:before="156" w:beforeLines="50"/>
        <w:ind w:firstLine="420"/>
        <w:rPr>
          <w:rFonts w:hint="eastAsia" w:ascii="宋体" w:hAnsi="宋体" w:eastAsia="宋体"/>
          <w:sz w:val="24"/>
          <w:szCs w:val="24"/>
        </w:rPr>
      </w:pPr>
    </w:p>
    <w:p>
      <w:pPr>
        <w:pStyle w:val="0000a4"/>
        <w:numPr>
          <w:ilvl w:val="0"/>
          <w:numId w:val="3"/>
        </w:numPr>
        <w:spacing w:before="156" w:beforeLines="50"/>
        <w:rPr>
          <w:rFonts w:hint="eastAsia" w:ascii="黑体" w:hAnsi="黑体" w:eastAsia="黑体"/>
          <w:b w:val="1"/>
          <w:bCs w:val="1"/>
          <w:sz w:val="28"/>
          <w:szCs w:val="28"/>
        </w:rPr>
      </w:pPr>
      <w:r>
        <w:rPr>
          <w:rFonts w:ascii="黑体" w:hAnsi="黑体" w:eastAsia="黑体"/>
          <w:b w:val="1"/>
          <w:bCs w:val="1"/>
          <w:sz w:val="28"/>
          <w:szCs w:val="28"/>
        </w:rPr>
        <w:t>财务预测（未来三年）</w:t>
      </w:r>
    </w:p>
    <w:p>
      <w:pPr>
        <w:spacing w:before="156" w:beforeLines="50"/>
        <w:rPr>
          <w:rFonts w:hint="eastAsia" w:ascii="宋体" w:hAnsi="宋体" w:eastAsia="宋体"/>
          <w:b w:val="1"/>
          <w:bCs w:val="1"/>
          <w:sz w:val="24"/>
          <w:szCs w:val="24"/>
        </w:rPr>
      </w:pPr>
      <w:r>
        <w:rPr>
          <w:rFonts w:hint="eastAsia" w:ascii="宋体" w:hAnsi="宋体" w:eastAsia="宋体"/>
          <w:b w:val="1"/>
          <w:bCs w:val="1"/>
          <w:sz w:val="24"/>
          <w:szCs w:val="24"/>
        </w:rPr>
        <w:t>（一）</w:t>
      </w:r>
      <w:r>
        <w:rPr>
          <w:rFonts w:ascii="宋体" w:hAnsi="宋体" w:eastAsia="宋体"/>
          <w:b w:val="1"/>
          <w:bCs w:val="1"/>
          <w:sz w:val="24"/>
          <w:szCs w:val="24"/>
        </w:rPr>
        <w:t>预测假设</w:t>
      </w:r>
    </w:p>
    <w:p>
      <w:pPr>
        <w:spacing w:before="156" w:beforeLines="50"/>
        <w:ind w:firstLine="420"/>
        <w:rPr>
          <w:rFonts w:hint="eastAsia" w:ascii="宋体" w:hAnsi="宋体" w:eastAsia="宋体"/>
          <w:sz w:val="24"/>
          <w:szCs w:val="24"/>
        </w:rPr>
      </w:pPr>
      <w:r>
        <w:rPr>
          <w:rFonts w:hint="eastAsia" w:ascii="宋体" w:hAnsi="宋体" w:eastAsia="宋体"/>
          <w:sz w:val="24"/>
          <w:szCs w:val="24"/>
        </w:rPr>
        <w:t>1.</w:t>
      </w:r>
      <w:r>
        <w:rPr>
          <w:rFonts w:ascii="宋体" w:hAnsi="宋体" w:eastAsia="宋体"/>
          <w:sz w:val="24"/>
          <w:szCs w:val="24"/>
        </w:rPr>
        <w:t>目标市场：渣土车/搅拌车约200万辆</w:t>
      </w:r>
    </w:p>
    <w:p>
      <w:pPr>
        <w:spacing w:before="156" w:beforeLines="50"/>
        <w:ind w:firstLine="420"/>
        <w:rPr>
          <w:rFonts w:hint="eastAsia" w:ascii="宋体" w:hAnsi="宋体" w:eastAsia="宋体"/>
          <w:sz w:val="24"/>
          <w:szCs w:val="24"/>
        </w:rPr>
      </w:pPr>
      <w:r>
        <w:rPr>
          <w:rFonts w:hint="eastAsia" w:ascii="宋体" w:hAnsi="宋体" w:eastAsia="宋体"/>
          <w:sz w:val="24"/>
          <w:szCs w:val="24"/>
        </w:rPr>
        <w:t>2.</w:t>
      </w:r>
      <w:r>
        <w:rPr>
          <w:rFonts w:ascii="宋体" w:hAnsi="宋体" w:eastAsia="宋体"/>
          <w:sz w:val="24"/>
          <w:szCs w:val="24"/>
        </w:rPr>
        <w:t>产品单价：1380元/套（取中值）</w:t>
      </w:r>
    </w:p>
    <w:p>
      <w:pPr>
        <w:spacing w:before="156" w:beforeLines="50"/>
        <w:ind w:firstLine="420"/>
        <w:rPr>
          <w:rFonts w:hint="eastAsia" w:ascii="宋体" w:hAnsi="宋体" w:eastAsia="宋体"/>
          <w:sz w:val="24"/>
          <w:szCs w:val="24"/>
        </w:rPr>
      </w:pPr>
      <w:r>
        <w:rPr>
          <w:rFonts w:hint="eastAsia" w:ascii="宋体" w:hAnsi="宋体" w:eastAsia="宋体"/>
          <w:sz w:val="24"/>
          <w:szCs w:val="24"/>
        </w:rPr>
        <w:t>3.</w:t>
      </w:r>
      <w:r>
        <w:rPr>
          <w:rFonts w:ascii="宋体" w:hAnsi="宋体" w:eastAsia="宋体"/>
          <w:sz w:val="24"/>
          <w:szCs w:val="24"/>
        </w:rPr>
        <w:t>单位成本：400元/套（硬件285元+生产组装等115元）</w:t>
      </w:r>
    </w:p>
    <w:p>
      <w:pPr>
        <w:tabs>
          <w:tab w:val="num" w:pos="720"/>
        </w:tabs>
        <w:spacing w:before="156" w:beforeLines="50"/>
        <w:ind w:firstLine="420"/>
        <w:rPr>
          <w:rFonts w:hint="eastAsia" w:ascii="宋体" w:hAnsi="宋体" w:eastAsia="宋体"/>
          <w:sz w:val="24"/>
          <w:szCs w:val="24"/>
        </w:rPr>
      </w:pPr>
      <w:r>
        <w:rPr>
          <w:rFonts w:hint="eastAsia" w:ascii="宋体" w:hAnsi="宋体" w:eastAsia="宋体"/>
          <w:sz w:val="24"/>
          <w:szCs w:val="24"/>
        </w:rPr>
        <w:t>4.</w:t>
      </w:r>
      <w:r>
        <w:rPr>
          <w:rFonts w:ascii="宋体" w:hAnsi="宋体" w:eastAsia="宋体"/>
          <w:sz w:val="24"/>
          <w:szCs w:val="24"/>
        </w:rPr>
        <w:t>毛利率：约71%</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Look w:firstRow="1" w:lastRow="0" w:firstColumn="1" w:lastColumn="0" w:noHBand="0" w:noVBand="1" w:val="04A0"/>
      </w:tblPr>
      <w:tblGrid>
        <w:gridCol w:w="1840"/>
        <w:gridCol w:w="1080"/>
        <w:gridCol w:w="1080"/>
        <w:gridCol w:w="1080"/>
        <w:gridCol w:w="3040"/>
      </w:tblGrid>
      <w:tr>
        <w:trPr>
          <w:tblHeader w:val="1"/>
          <w:jc w:val="center"/>
        </w:trPr>
        <w:tc>
          <w:tcPr>
            <w:tcW w:w="1840" w:type="dxa"/>
            <w:shd w:val="clear" w:color="auto" w:fill="C1E4F5" w:themeFill="accent1" w:themeFillTint="33"/>
            <w:tcMar>
              <w:top w:w="150" w:type="dxa"/>
              <w:left w:w="0" w:type="dxa"/>
              <w:bottom w:w="150" w:type="dxa"/>
              <w:right w:w="240" w:type="dxa"/>
            </w:tcMar>
            <w:vAlign w:val="center"/>
            <w:hideMark w:val="1"/>
          </w:tcPr>
          <w:p>
            <w:pPr>
              <w:rPr>
                <w:rFonts w:hint="eastAsia" w:ascii="楷体" w:hAnsi="楷体" w:eastAsia="楷体"/>
                <w:sz w:val="20"/>
                <w:szCs w:val="20"/>
              </w:rPr>
            </w:pPr>
            <w:r>
              <w:rPr>
                <w:rFonts w:ascii="楷体" w:hAnsi="楷体" w:eastAsia="楷体"/>
                <w:sz w:val="20"/>
                <w:szCs w:val="20"/>
              </w:rPr>
              <w:t>项目</w:t>
            </w:r>
          </w:p>
        </w:tc>
        <w:tc>
          <w:tcPr>
            <w:tcW w:w="1080" w:type="dxa"/>
            <w:shd w:val="clear" w:color="auto" w:fill="C1E4F5" w:themeFill="accent1" w:themeFillTint="33"/>
            <w:tcMar>
              <w:top w:w="150" w:type="dxa"/>
              <w:left w:w="240" w:type="dxa"/>
              <w:bottom w:w="150" w:type="dxa"/>
              <w:right w:w="240" w:type="dxa"/>
            </w:tcMar>
            <w:vAlign w:val="center"/>
            <w:hideMark w:val="1"/>
          </w:tcPr>
          <w:p>
            <w:pPr>
              <w:rPr>
                <w:rFonts w:hint="eastAsia" w:ascii="楷体" w:hAnsi="楷体" w:eastAsia="楷体"/>
                <w:sz w:val="20"/>
                <w:szCs w:val="20"/>
              </w:rPr>
            </w:pPr>
            <w:r>
              <w:rPr>
                <w:rFonts w:ascii="楷体" w:hAnsi="楷体" w:eastAsia="楷体"/>
                <w:sz w:val="20"/>
                <w:szCs w:val="20"/>
              </w:rPr>
              <w:t>第1年</w:t>
            </w:r>
          </w:p>
        </w:tc>
        <w:tc>
          <w:tcPr>
            <w:tcW w:w="1080" w:type="dxa"/>
            <w:shd w:val="clear" w:color="auto" w:fill="C1E4F5" w:themeFill="accent1" w:themeFillTint="33"/>
            <w:tcMar>
              <w:top w:w="150" w:type="dxa"/>
              <w:left w:w="240" w:type="dxa"/>
              <w:bottom w:w="150" w:type="dxa"/>
              <w:right w:w="240" w:type="dxa"/>
            </w:tcMar>
            <w:vAlign w:val="center"/>
            <w:hideMark w:val="1"/>
          </w:tcPr>
          <w:p>
            <w:pPr>
              <w:rPr>
                <w:rFonts w:hint="eastAsia" w:ascii="楷体" w:hAnsi="楷体" w:eastAsia="楷体"/>
                <w:sz w:val="20"/>
                <w:szCs w:val="20"/>
              </w:rPr>
            </w:pPr>
            <w:r>
              <w:rPr>
                <w:rFonts w:ascii="楷体" w:hAnsi="楷体" w:eastAsia="楷体"/>
                <w:sz w:val="20"/>
                <w:szCs w:val="20"/>
              </w:rPr>
              <w:t>第2年</w:t>
            </w:r>
          </w:p>
        </w:tc>
        <w:tc>
          <w:tcPr>
            <w:tcW w:w="1080" w:type="dxa"/>
            <w:shd w:val="clear" w:color="auto" w:fill="C1E4F5" w:themeFill="accent1" w:themeFillTint="33"/>
            <w:tcMar>
              <w:top w:w="150" w:type="dxa"/>
              <w:left w:w="240" w:type="dxa"/>
              <w:bottom w:w="150" w:type="dxa"/>
              <w:right w:w="240" w:type="dxa"/>
            </w:tcMar>
            <w:vAlign w:val="center"/>
            <w:hideMark w:val="1"/>
          </w:tcPr>
          <w:p>
            <w:pPr>
              <w:rPr>
                <w:rFonts w:hint="eastAsia" w:ascii="楷体" w:hAnsi="楷体" w:eastAsia="楷体"/>
                <w:sz w:val="20"/>
                <w:szCs w:val="20"/>
              </w:rPr>
            </w:pPr>
            <w:r>
              <w:rPr>
                <w:rFonts w:ascii="楷体" w:hAnsi="楷体" w:eastAsia="楷体"/>
                <w:sz w:val="20"/>
                <w:szCs w:val="20"/>
              </w:rPr>
              <w:t>第3年</w:t>
            </w:r>
          </w:p>
        </w:tc>
        <w:tc>
          <w:tcPr>
            <w:tcW w:w="3040" w:type="dxa"/>
            <w:shd w:val="clear" w:color="auto" w:fill="C1E4F5" w:themeFill="accent1" w:themeFillTint="33"/>
            <w:tcMar>
              <w:top w:w="150" w:type="dxa"/>
              <w:left w:w="240" w:type="dxa"/>
              <w:bottom w:w="150" w:type="dxa"/>
              <w:right w:w="240" w:type="dxa"/>
            </w:tcMar>
            <w:vAlign w:val="center"/>
            <w:hideMark w:val="1"/>
          </w:tcPr>
          <w:p>
            <w:pPr>
              <w:rPr>
                <w:rFonts w:hint="eastAsia" w:ascii="楷体" w:hAnsi="楷体" w:eastAsia="楷体"/>
                <w:sz w:val="20"/>
                <w:szCs w:val="20"/>
              </w:rPr>
            </w:pPr>
            <w:r>
              <w:rPr>
                <w:rFonts w:ascii="楷体" w:hAnsi="楷体" w:eastAsia="楷体"/>
                <w:sz w:val="20"/>
                <w:szCs w:val="20"/>
              </w:rPr>
              <w:t>预测依据</w:t>
            </w:r>
          </w:p>
        </w:tc>
      </w:tr>
      <w:tr>
        <w:trPr>
          <w:jc w:val="center"/>
        </w:trPr>
        <w:tc>
          <w:tcPr>
            <w:tcW w:w="1840" w:type="dxa"/>
            <w:shd w:val="clear" w:color="auto" w:fill="C1E4F5" w:themeFill="accent1" w:themeFillTint="33"/>
            <w:tcMar>
              <w:top w:w="150" w:type="dxa"/>
              <w:left w:w="0" w:type="dxa"/>
              <w:bottom w:w="150" w:type="dxa"/>
              <w:right w:w="240" w:type="dxa"/>
            </w:tcMar>
            <w:vAlign w:val="center"/>
            <w:hideMark w:val="1"/>
          </w:tcPr>
          <w:p>
            <w:pPr>
              <w:rPr>
                <w:rFonts w:hint="eastAsia" w:ascii="楷体" w:hAnsi="楷体" w:eastAsia="楷体"/>
                <w:sz w:val="20"/>
                <w:szCs w:val="20"/>
              </w:rPr>
            </w:pPr>
            <w:r>
              <w:rPr>
                <w:rFonts w:ascii="楷体" w:hAnsi="楷体" w:eastAsia="楷体"/>
                <w:sz w:val="20"/>
                <w:szCs w:val="20"/>
              </w:rPr>
              <w:t>市场渗透率</w:t>
            </w:r>
          </w:p>
        </w:tc>
        <w:tc>
          <w:tcPr>
            <w:tcW w:w="1080" w:type="dxa"/>
            <w:tcMar>
              <w:top w:w="150" w:type="dxa"/>
              <w:left w:w="240" w:type="dxa"/>
              <w:bottom w:w="150" w:type="dxa"/>
              <w:right w:w="240" w:type="dxa"/>
            </w:tcMar>
            <w:vAlign w:val="center"/>
            <w:hideMark w:val="1"/>
          </w:tcPr>
          <w:p>
            <w:pPr>
              <w:rPr>
                <w:rFonts w:hint="eastAsia" w:ascii="楷体" w:hAnsi="楷体" w:eastAsia="楷体"/>
                <w:sz w:val="20"/>
                <w:szCs w:val="20"/>
              </w:rPr>
            </w:pPr>
            <w:r>
              <w:rPr>
                <w:rFonts w:ascii="楷体" w:hAnsi="楷体" w:eastAsia="楷体"/>
                <w:sz w:val="20"/>
                <w:szCs w:val="20"/>
              </w:rPr>
              <w:t>0.1%</w:t>
            </w:r>
          </w:p>
        </w:tc>
        <w:tc>
          <w:tcPr>
            <w:tcW w:w="1080" w:type="dxa"/>
            <w:tcMar>
              <w:top w:w="150" w:type="dxa"/>
              <w:left w:w="240" w:type="dxa"/>
              <w:bottom w:w="150" w:type="dxa"/>
              <w:right w:w="240" w:type="dxa"/>
            </w:tcMar>
            <w:vAlign w:val="center"/>
            <w:hideMark w:val="1"/>
          </w:tcPr>
          <w:p>
            <w:pPr>
              <w:rPr>
                <w:rFonts w:hint="eastAsia" w:ascii="楷体" w:hAnsi="楷体" w:eastAsia="楷体"/>
                <w:sz w:val="20"/>
                <w:szCs w:val="20"/>
              </w:rPr>
            </w:pPr>
            <w:r>
              <w:rPr>
                <w:rFonts w:ascii="楷体" w:hAnsi="楷体" w:eastAsia="楷体"/>
                <w:sz w:val="20"/>
                <w:szCs w:val="20"/>
              </w:rPr>
              <w:t>0.4%</w:t>
            </w:r>
          </w:p>
        </w:tc>
        <w:tc>
          <w:tcPr>
            <w:tcW w:w="1080" w:type="dxa"/>
            <w:tcMar>
              <w:top w:w="150" w:type="dxa"/>
              <w:left w:w="240" w:type="dxa"/>
              <w:bottom w:w="150" w:type="dxa"/>
              <w:right w:w="240" w:type="dxa"/>
            </w:tcMar>
            <w:vAlign w:val="center"/>
            <w:hideMark w:val="1"/>
          </w:tcPr>
          <w:p>
            <w:pPr>
              <w:rPr>
                <w:rFonts w:hint="eastAsia" w:ascii="楷体" w:hAnsi="楷体" w:eastAsia="楷体"/>
                <w:sz w:val="20"/>
                <w:szCs w:val="20"/>
              </w:rPr>
            </w:pPr>
            <w:r>
              <w:rPr>
                <w:rFonts w:ascii="楷体" w:hAnsi="楷体" w:eastAsia="楷体"/>
                <w:sz w:val="20"/>
                <w:szCs w:val="20"/>
              </w:rPr>
              <w:t>1.0%</w:t>
            </w:r>
          </w:p>
        </w:tc>
        <w:tc>
          <w:tcPr>
            <w:tcW w:w="3040" w:type="dxa"/>
            <w:tcMar>
              <w:top w:w="150" w:type="dxa"/>
              <w:left w:w="240" w:type="dxa"/>
              <w:bottom w:w="150" w:type="dxa"/>
              <w:right w:w="0" w:type="dxa"/>
            </w:tcMar>
            <w:vAlign w:val="center"/>
            <w:hideMark w:val="1"/>
          </w:tcPr>
          <w:p>
            <w:pPr>
              <w:rPr>
                <w:rFonts w:hint="eastAsia" w:ascii="楷体" w:hAnsi="楷体" w:eastAsia="楷体"/>
                <w:sz w:val="20"/>
                <w:szCs w:val="20"/>
              </w:rPr>
            </w:pPr>
            <w:r>
              <w:rPr>
                <w:rFonts w:ascii="楷体" w:hAnsi="楷体" w:eastAsia="楷体"/>
                <w:sz w:val="20"/>
                <w:szCs w:val="20"/>
              </w:rPr>
              <w:t>参考同类安全产品市场导入速度</w:t>
            </w:r>
          </w:p>
        </w:tc>
      </w:tr>
      <w:tr>
        <w:trPr>
          <w:jc w:val="center"/>
        </w:trPr>
        <w:tc>
          <w:tcPr>
            <w:tcW w:w="1840" w:type="dxa"/>
            <w:shd w:val="clear" w:color="auto" w:fill="C1E4F5" w:themeFill="accent1" w:themeFillTint="33"/>
            <w:tcMar>
              <w:top w:w="150" w:type="dxa"/>
              <w:left w:w="0" w:type="dxa"/>
              <w:bottom w:w="150" w:type="dxa"/>
              <w:right w:w="240" w:type="dxa"/>
            </w:tcMar>
            <w:vAlign w:val="center"/>
            <w:hideMark w:val="1"/>
          </w:tcPr>
          <w:p>
            <w:pPr>
              <w:rPr>
                <w:rFonts w:hint="eastAsia" w:ascii="楷体" w:hAnsi="楷体" w:eastAsia="楷体"/>
                <w:sz w:val="20"/>
                <w:szCs w:val="20"/>
              </w:rPr>
            </w:pPr>
            <w:r>
              <w:rPr>
                <w:rFonts w:ascii="楷体" w:hAnsi="楷体" w:eastAsia="楷体"/>
                <w:sz w:val="20"/>
                <w:szCs w:val="20"/>
              </w:rPr>
              <w:t>销量（套）</w:t>
            </w:r>
          </w:p>
        </w:tc>
        <w:tc>
          <w:tcPr>
            <w:tcW w:w="1080" w:type="dxa"/>
            <w:tcMar>
              <w:top w:w="150" w:type="dxa"/>
              <w:left w:w="240" w:type="dxa"/>
              <w:bottom w:w="150" w:type="dxa"/>
              <w:right w:w="240" w:type="dxa"/>
            </w:tcMar>
            <w:vAlign w:val="center"/>
            <w:hideMark w:val="1"/>
          </w:tcPr>
          <w:p>
            <w:pPr>
              <w:rPr>
                <w:rFonts w:hint="eastAsia" w:ascii="楷体" w:hAnsi="楷体" w:eastAsia="楷体"/>
                <w:sz w:val="20"/>
                <w:szCs w:val="20"/>
              </w:rPr>
            </w:pPr>
            <w:r>
              <w:rPr>
                <w:rFonts w:ascii="楷体" w:hAnsi="楷体" w:eastAsia="楷体"/>
                <w:sz w:val="20"/>
                <w:szCs w:val="20"/>
              </w:rPr>
              <w:t>2,000</w:t>
            </w:r>
          </w:p>
        </w:tc>
        <w:tc>
          <w:tcPr>
            <w:tcW w:w="1080" w:type="dxa"/>
            <w:tcMar>
              <w:top w:w="150" w:type="dxa"/>
              <w:left w:w="240" w:type="dxa"/>
              <w:bottom w:w="150" w:type="dxa"/>
              <w:right w:w="240" w:type="dxa"/>
            </w:tcMar>
            <w:vAlign w:val="center"/>
            <w:hideMark w:val="1"/>
          </w:tcPr>
          <w:p>
            <w:pPr>
              <w:rPr>
                <w:rFonts w:hint="eastAsia" w:ascii="楷体" w:hAnsi="楷体" w:eastAsia="楷体"/>
                <w:sz w:val="20"/>
                <w:szCs w:val="20"/>
              </w:rPr>
            </w:pPr>
            <w:r>
              <w:rPr>
                <w:rFonts w:ascii="楷体" w:hAnsi="楷体" w:eastAsia="楷体"/>
                <w:sz w:val="20"/>
                <w:szCs w:val="20"/>
              </w:rPr>
              <w:t>8,000</w:t>
            </w:r>
          </w:p>
        </w:tc>
        <w:tc>
          <w:tcPr>
            <w:tcW w:w="1080" w:type="dxa"/>
            <w:tcMar>
              <w:top w:w="150" w:type="dxa"/>
              <w:left w:w="240" w:type="dxa"/>
              <w:bottom w:w="150" w:type="dxa"/>
              <w:right w:w="240" w:type="dxa"/>
            </w:tcMar>
            <w:vAlign w:val="center"/>
            <w:hideMark w:val="1"/>
          </w:tcPr>
          <w:p>
            <w:pPr>
              <w:rPr>
                <w:rFonts w:hint="eastAsia" w:ascii="楷体" w:hAnsi="楷体" w:eastAsia="楷体"/>
                <w:sz w:val="20"/>
                <w:szCs w:val="20"/>
              </w:rPr>
            </w:pPr>
            <w:r>
              <w:rPr>
                <w:rFonts w:ascii="楷体" w:hAnsi="楷体" w:eastAsia="楷体"/>
                <w:sz w:val="20"/>
                <w:szCs w:val="20"/>
              </w:rPr>
              <w:t>20,000</w:t>
            </w:r>
          </w:p>
        </w:tc>
        <w:tc>
          <w:tcPr>
            <w:tcW w:w="3040" w:type="dxa"/>
            <w:tcMar>
              <w:top w:w="150" w:type="dxa"/>
              <w:left w:w="240" w:type="dxa"/>
              <w:bottom w:w="150" w:type="dxa"/>
              <w:right w:w="0" w:type="dxa"/>
            </w:tcMar>
            <w:vAlign w:val="center"/>
            <w:hideMark w:val="1"/>
          </w:tcPr>
          <w:p>
            <w:pPr>
              <w:rPr>
                <w:rFonts w:hint="eastAsia" w:ascii="楷体" w:hAnsi="楷体" w:eastAsia="楷体"/>
                <w:sz w:val="20"/>
                <w:szCs w:val="20"/>
              </w:rPr>
            </w:pPr>
            <w:r>
              <w:rPr>
                <w:rFonts w:ascii="楷体" w:hAnsi="楷体" w:eastAsia="楷体"/>
                <w:sz w:val="20"/>
                <w:szCs w:val="20"/>
              </w:rPr>
              <w:t>目标市场总量×渗透率</w:t>
            </w:r>
          </w:p>
        </w:tc>
      </w:tr>
      <w:tr>
        <w:trPr>
          <w:jc w:val="center"/>
        </w:trPr>
        <w:tc>
          <w:tcPr>
            <w:tcW w:w="1840" w:type="dxa"/>
            <w:shd w:val="clear" w:color="auto" w:fill="C1E4F5" w:themeFill="accent1" w:themeFillTint="33"/>
            <w:tcMar>
              <w:top w:w="150" w:type="dxa"/>
              <w:left w:w="0" w:type="dxa"/>
              <w:bottom w:w="150" w:type="dxa"/>
              <w:right w:w="240" w:type="dxa"/>
            </w:tcMar>
            <w:vAlign w:val="center"/>
            <w:hideMark w:val="1"/>
          </w:tcPr>
          <w:p>
            <w:pPr>
              <w:rPr>
                <w:rFonts w:hint="eastAsia" w:ascii="楷体" w:hAnsi="楷体" w:eastAsia="楷体"/>
                <w:sz w:val="20"/>
                <w:szCs w:val="20"/>
              </w:rPr>
            </w:pPr>
            <w:r>
              <w:rPr>
                <w:rFonts w:ascii="楷体" w:hAnsi="楷体" w:eastAsia="楷体"/>
                <w:sz w:val="20"/>
                <w:szCs w:val="20"/>
              </w:rPr>
              <w:t>销售收入（万元）</w:t>
            </w:r>
          </w:p>
        </w:tc>
        <w:tc>
          <w:tcPr>
            <w:tcW w:w="1080" w:type="dxa"/>
            <w:tcMar>
              <w:top w:w="150" w:type="dxa"/>
              <w:left w:w="240" w:type="dxa"/>
              <w:bottom w:w="150" w:type="dxa"/>
              <w:right w:w="240" w:type="dxa"/>
            </w:tcMar>
            <w:vAlign w:val="center"/>
            <w:hideMark w:val="1"/>
          </w:tcPr>
          <w:p>
            <w:pPr>
              <w:rPr>
                <w:rFonts w:hint="eastAsia" w:ascii="楷体" w:hAnsi="楷体" w:eastAsia="楷体"/>
                <w:sz w:val="20"/>
                <w:szCs w:val="20"/>
              </w:rPr>
            </w:pPr>
            <w:r>
              <w:rPr>
                <w:rFonts w:ascii="楷体" w:hAnsi="楷体" w:eastAsia="楷体"/>
                <w:sz w:val="20"/>
                <w:szCs w:val="20"/>
              </w:rPr>
              <w:t>276</w:t>
            </w:r>
          </w:p>
        </w:tc>
        <w:tc>
          <w:tcPr>
            <w:tcW w:w="1080" w:type="dxa"/>
            <w:tcMar>
              <w:top w:w="150" w:type="dxa"/>
              <w:left w:w="240" w:type="dxa"/>
              <w:bottom w:w="150" w:type="dxa"/>
              <w:right w:w="240" w:type="dxa"/>
            </w:tcMar>
            <w:vAlign w:val="center"/>
            <w:hideMark w:val="1"/>
          </w:tcPr>
          <w:p>
            <w:pPr>
              <w:rPr>
                <w:rFonts w:hint="eastAsia" w:ascii="楷体" w:hAnsi="楷体" w:eastAsia="楷体"/>
                <w:sz w:val="20"/>
                <w:szCs w:val="20"/>
              </w:rPr>
            </w:pPr>
            <w:r>
              <w:rPr>
                <w:rFonts w:ascii="楷体" w:hAnsi="楷体" w:eastAsia="楷体"/>
                <w:sz w:val="20"/>
                <w:szCs w:val="20"/>
              </w:rPr>
              <w:t>1,104</w:t>
            </w:r>
          </w:p>
        </w:tc>
        <w:tc>
          <w:tcPr>
            <w:tcW w:w="1080" w:type="dxa"/>
            <w:tcMar>
              <w:top w:w="150" w:type="dxa"/>
              <w:left w:w="240" w:type="dxa"/>
              <w:bottom w:w="150" w:type="dxa"/>
              <w:right w:w="240" w:type="dxa"/>
            </w:tcMar>
            <w:vAlign w:val="center"/>
            <w:hideMark w:val="1"/>
          </w:tcPr>
          <w:p>
            <w:pPr>
              <w:rPr>
                <w:rFonts w:hint="eastAsia" w:ascii="楷体" w:hAnsi="楷体" w:eastAsia="楷体"/>
                <w:sz w:val="20"/>
                <w:szCs w:val="20"/>
              </w:rPr>
            </w:pPr>
            <w:r>
              <w:rPr>
                <w:rFonts w:ascii="楷体" w:hAnsi="楷体" w:eastAsia="楷体"/>
                <w:sz w:val="20"/>
                <w:szCs w:val="20"/>
              </w:rPr>
              <w:t>2,760</w:t>
            </w:r>
          </w:p>
        </w:tc>
        <w:tc>
          <w:tcPr>
            <w:tcW w:w="3040" w:type="dxa"/>
            <w:tcMar>
              <w:top w:w="150" w:type="dxa"/>
              <w:left w:w="240" w:type="dxa"/>
              <w:bottom w:w="150" w:type="dxa"/>
              <w:right w:w="0" w:type="dxa"/>
            </w:tcMar>
            <w:vAlign w:val="center"/>
            <w:hideMark w:val="1"/>
          </w:tcPr>
          <w:p>
            <w:pPr>
              <w:rPr>
                <w:rFonts w:hint="eastAsia" w:ascii="楷体" w:hAnsi="楷体" w:eastAsia="楷体"/>
                <w:sz w:val="20"/>
                <w:szCs w:val="20"/>
              </w:rPr>
            </w:pPr>
            <w:r>
              <w:rPr>
                <w:rFonts w:ascii="楷体" w:hAnsi="楷体" w:eastAsia="楷体"/>
                <w:sz w:val="20"/>
                <w:szCs w:val="20"/>
              </w:rPr>
              <w:t>销量×1380元</w:t>
            </w:r>
          </w:p>
        </w:tc>
      </w:tr>
      <w:tr>
        <w:trPr>
          <w:jc w:val="center"/>
        </w:trPr>
        <w:tc>
          <w:tcPr>
            <w:tcW w:w="1840" w:type="dxa"/>
            <w:shd w:val="clear" w:color="auto" w:fill="C1E4F5" w:themeFill="accent1" w:themeFillTint="33"/>
            <w:tcMar>
              <w:top w:w="150" w:type="dxa"/>
              <w:left w:w="0" w:type="dxa"/>
              <w:bottom w:w="150" w:type="dxa"/>
              <w:right w:w="240" w:type="dxa"/>
            </w:tcMar>
            <w:vAlign w:val="center"/>
            <w:hideMark w:val="1"/>
          </w:tcPr>
          <w:p>
            <w:pPr>
              <w:rPr>
                <w:rFonts w:hint="eastAsia" w:ascii="楷体" w:hAnsi="楷体" w:eastAsia="楷体"/>
                <w:sz w:val="20"/>
                <w:szCs w:val="20"/>
              </w:rPr>
            </w:pPr>
            <w:r>
              <w:rPr>
                <w:rFonts w:ascii="楷体" w:hAnsi="楷体" w:eastAsia="楷体"/>
                <w:sz w:val="20"/>
                <w:szCs w:val="20"/>
              </w:rPr>
              <w:t>硬件成本（万元）</w:t>
            </w:r>
          </w:p>
        </w:tc>
        <w:tc>
          <w:tcPr>
            <w:tcW w:w="1080" w:type="dxa"/>
            <w:tcMar>
              <w:top w:w="150" w:type="dxa"/>
              <w:left w:w="240" w:type="dxa"/>
              <w:bottom w:w="150" w:type="dxa"/>
              <w:right w:w="240" w:type="dxa"/>
            </w:tcMar>
            <w:vAlign w:val="center"/>
            <w:hideMark w:val="1"/>
          </w:tcPr>
          <w:p>
            <w:pPr>
              <w:rPr>
                <w:rFonts w:hint="eastAsia" w:ascii="楷体" w:hAnsi="楷体" w:eastAsia="楷体"/>
                <w:sz w:val="20"/>
                <w:szCs w:val="20"/>
              </w:rPr>
            </w:pPr>
            <w:r>
              <w:rPr>
                <w:rFonts w:ascii="楷体" w:hAnsi="楷体" w:eastAsia="楷体"/>
                <w:sz w:val="20"/>
                <w:szCs w:val="20"/>
              </w:rPr>
              <w:t>80</w:t>
            </w:r>
          </w:p>
        </w:tc>
        <w:tc>
          <w:tcPr>
            <w:tcW w:w="1080" w:type="dxa"/>
            <w:tcMar>
              <w:top w:w="150" w:type="dxa"/>
              <w:left w:w="240" w:type="dxa"/>
              <w:bottom w:w="150" w:type="dxa"/>
              <w:right w:w="240" w:type="dxa"/>
            </w:tcMar>
            <w:vAlign w:val="center"/>
            <w:hideMark w:val="1"/>
          </w:tcPr>
          <w:p>
            <w:pPr>
              <w:rPr>
                <w:rFonts w:hint="eastAsia" w:ascii="楷体" w:hAnsi="楷体" w:eastAsia="楷体"/>
                <w:sz w:val="20"/>
                <w:szCs w:val="20"/>
              </w:rPr>
            </w:pPr>
            <w:r>
              <w:rPr>
                <w:rFonts w:ascii="楷体" w:hAnsi="楷体" w:eastAsia="楷体"/>
                <w:sz w:val="20"/>
                <w:szCs w:val="20"/>
              </w:rPr>
              <w:t>320</w:t>
            </w:r>
          </w:p>
        </w:tc>
        <w:tc>
          <w:tcPr>
            <w:tcW w:w="1080" w:type="dxa"/>
            <w:tcMar>
              <w:top w:w="150" w:type="dxa"/>
              <w:left w:w="240" w:type="dxa"/>
              <w:bottom w:w="150" w:type="dxa"/>
              <w:right w:w="240" w:type="dxa"/>
            </w:tcMar>
            <w:vAlign w:val="center"/>
            <w:hideMark w:val="1"/>
          </w:tcPr>
          <w:p>
            <w:pPr>
              <w:rPr>
                <w:rFonts w:hint="eastAsia" w:ascii="楷体" w:hAnsi="楷体" w:eastAsia="楷体"/>
                <w:sz w:val="20"/>
                <w:szCs w:val="20"/>
              </w:rPr>
            </w:pPr>
            <w:r>
              <w:rPr>
                <w:rFonts w:ascii="楷体" w:hAnsi="楷体" w:eastAsia="楷体"/>
                <w:sz w:val="20"/>
                <w:szCs w:val="20"/>
              </w:rPr>
              <w:t>800</w:t>
            </w:r>
          </w:p>
        </w:tc>
        <w:tc>
          <w:tcPr>
            <w:tcW w:w="3040" w:type="dxa"/>
            <w:tcMar>
              <w:top w:w="150" w:type="dxa"/>
              <w:left w:w="240" w:type="dxa"/>
              <w:bottom w:w="150" w:type="dxa"/>
              <w:right w:w="0" w:type="dxa"/>
            </w:tcMar>
            <w:vAlign w:val="center"/>
            <w:hideMark w:val="1"/>
          </w:tcPr>
          <w:p>
            <w:pPr>
              <w:rPr>
                <w:rFonts w:hint="eastAsia" w:ascii="楷体" w:hAnsi="楷体" w:eastAsia="楷体"/>
                <w:sz w:val="20"/>
                <w:szCs w:val="20"/>
              </w:rPr>
            </w:pPr>
            <w:r>
              <w:rPr>
                <w:rFonts w:ascii="楷体" w:hAnsi="楷体" w:eastAsia="楷体"/>
                <w:sz w:val="20"/>
                <w:szCs w:val="20"/>
              </w:rPr>
              <w:t>销量×400元</w:t>
            </w:r>
          </w:p>
        </w:tc>
      </w:tr>
      <w:tr>
        <w:trPr>
          <w:jc w:val="center"/>
        </w:trPr>
        <w:tc>
          <w:tcPr>
            <w:tcW w:w="1840" w:type="dxa"/>
            <w:shd w:val="clear" w:color="auto" w:fill="C1E4F5" w:themeFill="accent1" w:themeFillTint="33"/>
            <w:tcMar>
              <w:top w:w="150" w:type="dxa"/>
              <w:left w:w="0" w:type="dxa"/>
              <w:bottom w:w="150" w:type="dxa"/>
              <w:right w:w="240" w:type="dxa"/>
            </w:tcMar>
            <w:vAlign w:val="center"/>
            <w:hideMark w:val="1"/>
          </w:tcPr>
          <w:p>
            <w:pPr>
              <w:rPr>
                <w:rFonts w:hint="eastAsia" w:ascii="楷体" w:hAnsi="楷体" w:eastAsia="楷体"/>
                <w:sz w:val="20"/>
                <w:szCs w:val="20"/>
              </w:rPr>
            </w:pPr>
            <w:r>
              <w:rPr>
                <w:rFonts w:ascii="楷体" w:hAnsi="楷体" w:eastAsia="楷体"/>
                <w:sz w:val="20"/>
                <w:szCs w:val="20"/>
              </w:rPr>
              <w:t>毛利（万元）</w:t>
            </w:r>
          </w:p>
        </w:tc>
        <w:tc>
          <w:tcPr>
            <w:tcW w:w="1080" w:type="dxa"/>
            <w:tcMar>
              <w:top w:w="150" w:type="dxa"/>
              <w:left w:w="240" w:type="dxa"/>
              <w:bottom w:w="150" w:type="dxa"/>
              <w:right w:w="240" w:type="dxa"/>
            </w:tcMar>
            <w:vAlign w:val="center"/>
            <w:hideMark w:val="1"/>
          </w:tcPr>
          <w:p>
            <w:pPr>
              <w:rPr>
                <w:rFonts w:hint="eastAsia" w:ascii="楷体" w:hAnsi="楷体" w:eastAsia="楷体"/>
                <w:sz w:val="20"/>
                <w:szCs w:val="20"/>
              </w:rPr>
            </w:pPr>
            <w:r>
              <w:rPr>
                <w:rFonts w:ascii="楷体" w:hAnsi="楷体" w:eastAsia="楷体"/>
                <w:sz w:val="20"/>
                <w:szCs w:val="20"/>
              </w:rPr>
              <w:t>196</w:t>
            </w:r>
          </w:p>
        </w:tc>
        <w:tc>
          <w:tcPr>
            <w:tcW w:w="1080" w:type="dxa"/>
            <w:tcMar>
              <w:top w:w="150" w:type="dxa"/>
              <w:left w:w="240" w:type="dxa"/>
              <w:bottom w:w="150" w:type="dxa"/>
              <w:right w:w="240" w:type="dxa"/>
            </w:tcMar>
            <w:vAlign w:val="center"/>
            <w:hideMark w:val="1"/>
          </w:tcPr>
          <w:p>
            <w:pPr>
              <w:rPr>
                <w:rFonts w:hint="eastAsia" w:ascii="楷体" w:hAnsi="楷体" w:eastAsia="楷体"/>
                <w:sz w:val="20"/>
                <w:szCs w:val="20"/>
              </w:rPr>
            </w:pPr>
            <w:r>
              <w:rPr>
                <w:rFonts w:ascii="楷体" w:hAnsi="楷体" w:eastAsia="楷体"/>
                <w:sz w:val="20"/>
                <w:szCs w:val="20"/>
              </w:rPr>
              <w:t>784</w:t>
            </w:r>
          </w:p>
        </w:tc>
        <w:tc>
          <w:tcPr>
            <w:tcW w:w="1080" w:type="dxa"/>
            <w:tcMar>
              <w:top w:w="150" w:type="dxa"/>
              <w:left w:w="240" w:type="dxa"/>
              <w:bottom w:w="150" w:type="dxa"/>
              <w:right w:w="240" w:type="dxa"/>
            </w:tcMar>
            <w:vAlign w:val="center"/>
            <w:hideMark w:val="1"/>
          </w:tcPr>
          <w:p>
            <w:pPr>
              <w:rPr>
                <w:rFonts w:hint="eastAsia" w:ascii="楷体" w:hAnsi="楷体" w:eastAsia="楷体"/>
                <w:sz w:val="20"/>
                <w:szCs w:val="20"/>
              </w:rPr>
            </w:pPr>
            <w:r>
              <w:rPr>
                <w:rFonts w:ascii="楷体" w:hAnsi="楷体" w:eastAsia="楷体"/>
                <w:sz w:val="20"/>
                <w:szCs w:val="20"/>
              </w:rPr>
              <w:t>1,960</w:t>
            </w:r>
          </w:p>
        </w:tc>
        <w:tc>
          <w:tcPr>
            <w:tcW w:w="3040" w:type="dxa"/>
            <w:tcMar>
              <w:top w:w="150" w:type="dxa"/>
              <w:left w:w="240" w:type="dxa"/>
              <w:bottom w:w="150" w:type="dxa"/>
              <w:right w:w="0" w:type="dxa"/>
            </w:tcMar>
            <w:vAlign w:val="center"/>
            <w:hideMark w:val="1"/>
          </w:tcPr>
          <w:p>
            <w:pPr>
              <w:rPr>
                <w:rFonts w:hint="eastAsia" w:ascii="楷体" w:hAnsi="楷体" w:eastAsia="楷体"/>
                <w:sz w:val="20"/>
                <w:szCs w:val="20"/>
              </w:rPr>
            </w:pPr>
            <w:r>
              <w:rPr>
                <w:rFonts w:ascii="楷体" w:hAnsi="楷体" w:eastAsia="楷体"/>
                <w:sz w:val="20"/>
                <w:szCs w:val="20"/>
              </w:rPr>
              <w:t>销售收入-硬件成本</w:t>
            </w:r>
          </w:p>
        </w:tc>
      </w:tr>
      <w:tr>
        <w:trPr>
          <w:jc w:val="center"/>
        </w:trPr>
        <w:tc>
          <w:tcPr>
            <w:tcW w:w="1840" w:type="dxa"/>
            <w:shd w:val="clear" w:color="auto" w:fill="C1E4F5" w:themeFill="accent1" w:themeFillTint="33"/>
            <w:tcMar>
              <w:top w:w="150" w:type="dxa"/>
              <w:left w:w="0" w:type="dxa"/>
              <w:bottom w:w="150" w:type="dxa"/>
              <w:right w:w="240" w:type="dxa"/>
            </w:tcMar>
            <w:vAlign w:val="center"/>
            <w:hideMark w:val="1"/>
          </w:tcPr>
          <w:p>
            <w:pPr>
              <w:rPr>
                <w:rFonts w:hint="eastAsia" w:ascii="楷体" w:hAnsi="楷体" w:eastAsia="楷体"/>
                <w:sz w:val="20"/>
                <w:szCs w:val="20"/>
              </w:rPr>
            </w:pPr>
            <w:r>
              <w:rPr>
                <w:rFonts w:ascii="楷体" w:hAnsi="楷体" w:eastAsia="楷体"/>
                <w:sz w:val="20"/>
                <w:szCs w:val="20"/>
              </w:rPr>
              <w:t>研发费用（万元）</w:t>
            </w:r>
          </w:p>
        </w:tc>
        <w:tc>
          <w:tcPr>
            <w:tcW w:w="1080" w:type="dxa"/>
            <w:tcMar>
              <w:top w:w="150" w:type="dxa"/>
              <w:left w:w="240" w:type="dxa"/>
              <w:bottom w:w="150" w:type="dxa"/>
              <w:right w:w="240" w:type="dxa"/>
            </w:tcMar>
            <w:vAlign w:val="center"/>
            <w:hideMark w:val="1"/>
          </w:tcPr>
          <w:p>
            <w:pPr>
              <w:rPr>
                <w:rFonts w:hint="eastAsia" w:ascii="楷体" w:hAnsi="楷体" w:eastAsia="楷体"/>
                <w:sz w:val="20"/>
                <w:szCs w:val="20"/>
              </w:rPr>
            </w:pPr>
            <w:r>
              <w:rPr>
                <w:rFonts w:ascii="楷体" w:hAnsi="楷体" w:eastAsia="楷体"/>
                <w:sz w:val="20"/>
                <w:szCs w:val="20"/>
              </w:rPr>
              <w:t>100</w:t>
            </w:r>
          </w:p>
        </w:tc>
        <w:tc>
          <w:tcPr>
            <w:tcW w:w="1080" w:type="dxa"/>
            <w:tcMar>
              <w:top w:w="150" w:type="dxa"/>
              <w:left w:w="240" w:type="dxa"/>
              <w:bottom w:w="150" w:type="dxa"/>
              <w:right w:w="240" w:type="dxa"/>
            </w:tcMar>
            <w:vAlign w:val="center"/>
            <w:hideMark w:val="1"/>
          </w:tcPr>
          <w:p>
            <w:pPr>
              <w:rPr>
                <w:rFonts w:hint="eastAsia" w:ascii="楷体" w:hAnsi="楷体" w:eastAsia="楷体"/>
                <w:sz w:val="20"/>
                <w:szCs w:val="20"/>
              </w:rPr>
            </w:pPr>
            <w:r>
              <w:rPr>
                <w:rFonts w:ascii="楷体" w:hAnsi="楷体" w:eastAsia="楷体"/>
                <w:sz w:val="20"/>
                <w:szCs w:val="20"/>
              </w:rPr>
              <w:t>150</w:t>
            </w:r>
          </w:p>
        </w:tc>
        <w:tc>
          <w:tcPr>
            <w:tcW w:w="1080" w:type="dxa"/>
            <w:tcMar>
              <w:top w:w="150" w:type="dxa"/>
              <w:left w:w="240" w:type="dxa"/>
              <w:bottom w:w="150" w:type="dxa"/>
              <w:right w:w="240" w:type="dxa"/>
            </w:tcMar>
            <w:vAlign w:val="center"/>
            <w:hideMark w:val="1"/>
          </w:tcPr>
          <w:p>
            <w:pPr>
              <w:rPr>
                <w:rFonts w:hint="eastAsia" w:ascii="楷体" w:hAnsi="楷体" w:eastAsia="楷体"/>
                <w:sz w:val="20"/>
                <w:szCs w:val="20"/>
              </w:rPr>
            </w:pPr>
            <w:r>
              <w:rPr>
                <w:rFonts w:ascii="楷体" w:hAnsi="楷体" w:eastAsia="楷体"/>
                <w:sz w:val="20"/>
                <w:szCs w:val="20"/>
              </w:rPr>
              <w:t>200</w:t>
            </w:r>
          </w:p>
        </w:tc>
        <w:tc>
          <w:tcPr>
            <w:tcW w:w="3040" w:type="dxa"/>
            <w:tcMar>
              <w:top w:w="150" w:type="dxa"/>
              <w:left w:w="240" w:type="dxa"/>
              <w:bottom w:w="150" w:type="dxa"/>
              <w:right w:w="0" w:type="dxa"/>
            </w:tcMar>
            <w:vAlign w:val="center"/>
            <w:hideMark w:val="1"/>
          </w:tcPr>
          <w:p>
            <w:pPr>
              <w:rPr>
                <w:rFonts w:hint="eastAsia" w:ascii="楷体" w:hAnsi="楷体" w:eastAsia="楷体"/>
                <w:sz w:val="20"/>
                <w:szCs w:val="20"/>
              </w:rPr>
            </w:pPr>
            <w:r>
              <w:rPr>
                <w:rFonts w:ascii="楷体" w:hAnsi="楷体" w:eastAsia="楷体"/>
                <w:sz w:val="20"/>
                <w:szCs w:val="20"/>
              </w:rPr>
              <w:t>产品迭代、认证投入</w:t>
            </w:r>
          </w:p>
        </w:tc>
      </w:tr>
      <w:tr>
        <w:trPr>
          <w:jc w:val="center"/>
        </w:trPr>
        <w:tc>
          <w:tcPr>
            <w:tcW w:w="1840" w:type="dxa"/>
            <w:shd w:val="clear" w:color="auto" w:fill="C1E4F5" w:themeFill="accent1" w:themeFillTint="33"/>
            <w:tcMar>
              <w:top w:w="150" w:type="dxa"/>
              <w:left w:w="0" w:type="dxa"/>
              <w:bottom w:w="150" w:type="dxa"/>
              <w:right w:w="240" w:type="dxa"/>
            </w:tcMar>
            <w:vAlign w:val="center"/>
            <w:hideMark w:val="1"/>
          </w:tcPr>
          <w:p>
            <w:pPr>
              <w:rPr>
                <w:rFonts w:hint="eastAsia" w:ascii="楷体" w:hAnsi="楷体" w:eastAsia="楷体"/>
                <w:sz w:val="20"/>
                <w:szCs w:val="20"/>
              </w:rPr>
            </w:pPr>
            <w:r>
              <w:rPr>
                <w:rFonts w:ascii="楷体" w:hAnsi="楷体" w:eastAsia="楷体"/>
                <w:sz w:val="20"/>
                <w:szCs w:val="20"/>
              </w:rPr>
              <w:t>市场费用（万元）</w:t>
            </w:r>
          </w:p>
        </w:tc>
        <w:tc>
          <w:tcPr>
            <w:tcW w:w="1080" w:type="dxa"/>
            <w:tcMar>
              <w:top w:w="150" w:type="dxa"/>
              <w:left w:w="240" w:type="dxa"/>
              <w:bottom w:w="150" w:type="dxa"/>
              <w:right w:w="240" w:type="dxa"/>
            </w:tcMar>
            <w:vAlign w:val="center"/>
            <w:hideMark w:val="1"/>
          </w:tcPr>
          <w:p>
            <w:pPr>
              <w:rPr>
                <w:rFonts w:hint="eastAsia" w:ascii="楷体" w:hAnsi="楷体" w:eastAsia="楷体"/>
                <w:sz w:val="20"/>
                <w:szCs w:val="20"/>
              </w:rPr>
            </w:pPr>
            <w:r>
              <w:rPr>
                <w:rFonts w:ascii="楷体" w:hAnsi="楷体" w:eastAsia="楷体"/>
                <w:sz w:val="20"/>
                <w:szCs w:val="20"/>
              </w:rPr>
              <w:t>80</w:t>
            </w:r>
          </w:p>
        </w:tc>
        <w:tc>
          <w:tcPr>
            <w:tcW w:w="1080" w:type="dxa"/>
            <w:tcMar>
              <w:top w:w="150" w:type="dxa"/>
              <w:left w:w="240" w:type="dxa"/>
              <w:bottom w:w="150" w:type="dxa"/>
              <w:right w:w="240" w:type="dxa"/>
            </w:tcMar>
            <w:vAlign w:val="center"/>
            <w:hideMark w:val="1"/>
          </w:tcPr>
          <w:p>
            <w:pPr>
              <w:rPr>
                <w:rFonts w:hint="eastAsia" w:ascii="楷体" w:hAnsi="楷体" w:eastAsia="楷体"/>
                <w:sz w:val="20"/>
                <w:szCs w:val="20"/>
              </w:rPr>
            </w:pPr>
            <w:r>
              <w:rPr>
                <w:rFonts w:ascii="楷体" w:hAnsi="楷体" w:eastAsia="楷体"/>
                <w:sz w:val="20"/>
                <w:szCs w:val="20"/>
              </w:rPr>
              <w:t>150</w:t>
            </w:r>
          </w:p>
        </w:tc>
        <w:tc>
          <w:tcPr>
            <w:tcW w:w="1080" w:type="dxa"/>
            <w:tcMar>
              <w:top w:w="150" w:type="dxa"/>
              <w:left w:w="240" w:type="dxa"/>
              <w:bottom w:w="150" w:type="dxa"/>
              <w:right w:w="240" w:type="dxa"/>
            </w:tcMar>
            <w:vAlign w:val="center"/>
            <w:hideMark w:val="1"/>
          </w:tcPr>
          <w:p>
            <w:pPr>
              <w:rPr>
                <w:rFonts w:hint="eastAsia" w:ascii="楷体" w:hAnsi="楷体" w:eastAsia="楷体"/>
                <w:sz w:val="20"/>
                <w:szCs w:val="20"/>
              </w:rPr>
            </w:pPr>
            <w:r>
              <w:rPr>
                <w:rFonts w:ascii="楷体" w:hAnsi="楷体" w:eastAsia="楷体"/>
                <w:sz w:val="20"/>
                <w:szCs w:val="20"/>
              </w:rPr>
              <w:t>300</w:t>
            </w:r>
          </w:p>
        </w:tc>
        <w:tc>
          <w:tcPr>
            <w:tcW w:w="3040" w:type="dxa"/>
            <w:tcMar>
              <w:top w:w="150" w:type="dxa"/>
              <w:left w:w="240" w:type="dxa"/>
              <w:bottom w:w="150" w:type="dxa"/>
              <w:right w:w="0" w:type="dxa"/>
            </w:tcMar>
            <w:vAlign w:val="center"/>
            <w:hideMark w:val="1"/>
          </w:tcPr>
          <w:p>
            <w:pPr>
              <w:rPr>
                <w:rFonts w:hint="eastAsia" w:ascii="楷体" w:hAnsi="楷体" w:eastAsia="楷体"/>
                <w:sz w:val="20"/>
                <w:szCs w:val="20"/>
              </w:rPr>
            </w:pPr>
            <w:r>
              <w:rPr>
                <w:rFonts w:ascii="楷体" w:hAnsi="楷体" w:eastAsia="楷体"/>
                <w:sz w:val="20"/>
                <w:szCs w:val="20"/>
              </w:rPr>
              <w:t>渠道建设、推广活动</w:t>
            </w:r>
          </w:p>
        </w:tc>
      </w:tr>
      <w:tr>
        <w:trPr>
          <w:jc w:val="center"/>
        </w:trPr>
        <w:tc>
          <w:tcPr>
            <w:tcW w:w="1840" w:type="dxa"/>
            <w:shd w:val="clear" w:color="auto" w:fill="C1E4F5" w:themeFill="accent1" w:themeFillTint="33"/>
            <w:tcMar>
              <w:top w:w="150" w:type="dxa"/>
              <w:left w:w="0" w:type="dxa"/>
              <w:bottom w:w="150" w:type="dxa"/>
              <w:right w:w="240" w:type="dxa"/>
            </w:tcMar>
            <w:vAlign w:val="center"/>
            <w:hideMark w:val="1"/>
          </w:tcPr>
          <w:p>
            <w:pPr>
              <w:rPr>
                <w:rFonts w:hint="eastAsia" w:ascii="楷体" w:hAnsi="楷体" w:eastAsia="楷体"/>
                <w:sz w:val="20"/>
                <w:szCs w:val="20"/>
              </w:rPr>
            </w:pPr>
            <w:r>
              <w:rPr>
                <w:rFonts w:ascii="楷体" w:hAnsi="楷体" w:eastAsia="楷体"/>
                <w:sz w:val="20"/>
                <w:szCs w:val="20"/>
              </w:rPr>
              <w:t>管理费用（万元）</w:t>
            </w:r>
          </w:p>
        </w:tc>
        <w:tc>
          <w:tcPr>
            <w:tcW w:w="1080" w:type="dxa"/>
            <w:tcMar>
              <w:top w:w="150" w:type="dxa"/>
              <w:left w:w="240" w:type="dxa"/>
              <w:bottom w:w="150" w:type="dxa"/>
              <w:right w:w="240" w:type="dxa"/>
            </w:tcMar>
            <w:vAlign w:val="center"/>
            <w:hideMark w:val="1"/>
          </w:tcPr>
          <w:p>
            <w:pPr>
              <w:rPr>
                <w:rFonts w:hint="eastAsia" w:ascii="楷体" w:hAnsi="楷体" w:eastAsia="楷体"/>
                <w:sz w:val="20"/>
                <w:szCs w:val="20"/>
              </w:rPr>
            </w:pPr>
            <w:r>
              <w:rPr>
                <w:rFonts w:ascii="楷体" w:hAnsi="楷体" w:eastAsia="楷体"/>
                <w:sz w:val="20"/>
                <w:szCs w:val="20"/>
              </w:rPr>
              <w:t>30</w:t>
            </w:r>
          </w:p>
        </w:tc>
        <w:tc>
          <w:tcPr>
            <w:tcW w:w="1080" w:type="dxa"/>
            <w:tcMar>
              <w:top w:w="150" w:type="dxa"/>
              <w:left w:w="240" w:type="dxa"/>
              <w:bottom w:w="150" w:type="dxa"/>
              <w:right w:w="240" w:type="dxa"/>
            </w:tcMar>
            <w:vAlign w:val="center"/>
            <w:hideMark w:val="1"/>
          </w:tcPr>
          <w:p>
            <w:pPr>
              <w:rPr>
                <w:rFonts w:hint="eastAsia" w:ascii="楷体" w:hAnsi="楷体" w:eastAsia="楷体"/>
                <w:sz w:val="20"/>
                <w:szCs w:val="20"/>
              </w:rPr>
            </w:pPr>
            <w:r>
              <w:rPr>
                <w:rFonts w:ascii="楷体" w:hAnsi="楷体" w:eastAsia="楷体"/>
                <w:sz w:val="20"/>
                <w:szCs w:val="20"/>
              </w:rPr>
              <w:t>50</w:t>
            </w:r>
          </w:p>
        </w:tc>
        <w:tc>
          <w:tcPr>
            <w:tcW w:w="1080" w:type="dxa"/>
            <w:tcMar>
              <w:top w:w="150" w:type="dxa"/>
              <w:left w:w="240" w:type="dxa"/>
              <w:bottom w:w="150" w:type="dxa"/>
              <w:right w:w="240" w:type="dxa"/>
            </w:tcMar>
            <w:vAlign w:val="center"/>
            <w:hideMark w:val="1"/>
          </w:tcPr>
          <w:p>
            <w:pPr>
              <w:rPr>
                <w:rFonts w:hint="eastAsia" w:ascii="楷体" w:hAnsi="楷体" w:eastAsia="楷体"/>
                <w:sz w:val="20"/>
                <w:szCs w:val="20"/>
              </w:rPr>
            </w:pPr>
            <w:r>
              <w:rPr>
                <w:rFonts w:ascii="楷体" w:hAnsi="楷体" w:eastAsia="楷体"/>
                <w:sz w:val="20"/>
                <w:szCs w:val="20"/>
              </w:rPr>
              <w:t>100</w:t>
            </w:r>
          </w:p>
        </w:tc>
        <w:tc>
          <w:tcPr>
            <w:tcW w:w="3040" w:type="dxa"/>
            <w:tcMar>
              <w:top w:w="150" w:type="dxa"/>
              <w:left w:w="240" w:type="dxa"/>
              <w:bottom w:w="150" w:type="dxa"/>
              <w:right w:w="0" w:type="dxa"/>
            </w:tcMar>
            <w:vAlign w:val="center"/>
            <w:hideMark w:val="1"/>
          </w:tcPr>
          <w:p>
            <w:pPr>
              <w:rPr>
                <w:rFonts w:hint="eastAsia" w:ascii="楷体" w:hAnsi="楷体" w:eastAsia="楷体"/>
                <w:sz w:val="20"/>
                <w:szCs w:val="20"/>
              </w:rPr>
            </w:pPr>
            <w:r>
              <w:rPr>
                <w:rFonts w:ascii="楷体" w:hAnsi="楷体" w:eastAsia="楷体"/>
                <w:sz w:val="20"/>
                <w:szCs w:val="20"/>
              </w:rPr>
              <w:t>团队运营</w:t>
            </w:r>
          </w:p>
        </w:tc>
      </w:tr>
      <w:tr>
        <w:trPr>
          <w:jc w:val="center"/>
        </w:trPr>
        <w:tc>
          <w:tcPr>
            <w:tcW w:w="1840" w:type="dxa"/>
            <w:shd w:val="clear" w:color="auto" w:fill="C1E4F5" w:themeFill="accent1" w:themeFillTint="33"/>
            <w:tcMar>
              <w:top w:w="150" w:type="dxa"/>
              <w:left w:w="0" w:type="dxa"/>
              <w:bottom w:w="150" w:type="dxa"/>
              <w:right w:w="240" w:type="dxa"/>
            </w:tcMar>
            <w:vAlign w:val="center"/>
            <w:hideMark w:val="1"/>
          </w:tcPr>
          <w:p>
            <w:pPr>
              <w:rPr>
                <w:rFonts w:hint="eastAsia" w:ascii="楷体" w:hAnsi="楷体" w:eastAsia="楷体"/>
                <w:sz w:val="20"/>
                <w:szCs w:val="20"/>
              </w:rPr>
            </w:pPr>
            <w:r>
              <w:rPr>
                <w:rFonts w:ascii="楷体" w:hAnsi="楷体" w:eastAsia="楷体"/>
                <w:sz w:val="20"/>
                <w:szCs w:val="20"/>
              </w:rPr>
              <w:t>净利润（万元）</w:t>
            </w:r>
          </w:p>
        </w:tc>
        <w:tc>
          <w:tcPr>
            <w:tcW w:w="1080" w:type="dxa"/>
            <w:tcMar>
              <w:top w:w="150" w:type="dxa"/>
              <w:left w:w="240" w:type="dxa"/>
              <w:bottom w:w="150" w:type="dxa"/>
              <w:right w:w="240" w:type="dxa"/>
            </w:tcMar>
            <w:vAlign w:val="center"/>
            <w:hideMark w:val="1"/>
          </w:tcPr>
          <w:p>
            <w:pPr>
              <w:rPr>
                <w:rFonts w:hint="eastAsia" w:ascii="楷体" w:hAnsi="楷体" w:eastAsia="楷体"/>
                <w:sz w:val="20"/>
                <w:szCs w:val="20"/>
              </w:rPr>
            </w:pPr>
            <w:r>
              <w:rPr>
                <w:rFonts w:ascii="楷体" w:hAnsi="楷体" w:eastAsia="楷体"/>
                <w:sz w:val="20"/>
                <w:szCs w:val="20"/>
              </w:rPr>
              <w:t>-14</w:t>
            </w:r>
          </w:p>
        </w:tc>
        <w:tc>
          <w:tcPr>
            <w:tcW w:w="1080" w:type="dxa"/>
            <w:tcMar>
              <w:top w:w="150" w:type="dxa"/>
              <w:left w:w="240" w:type="dxa"/>
              <w:bottom w:w="150" w:type="dxa"/>
              <w:right w:w="240" w:type="dxa"/>
            </w:tcMar>
            <w:vAlign w:val="center"/>
            <w:hideMark w:val="1"/>
          </w:tcPr>
          <w:p>
            <w:pPr>
              <w:rPr>
                <w:rFonts w:hint="eastAsia" w:ascii="楷体" w:hAnsi="楷体" w:eastAsia="楷体"/>
                <w:sz w:val="20"/>
                <w:szCs w:val="20"/>
              </w:rPr>
            </w:pPr>
            <w:r>
              <w:rPr>
                <w:rFonts w:ascii="楷体" w:hAnsi="楷体" w:eastAsia="楷体"/>
                <w:sz w:val="20"/>
                <w:szCs w:val="20"/>
              </w:rPr>
              <w:t>434</w:t>
            </w:r>
          </w:p>
        </w:tc>
        <w:tc>
          <w:tcPr>
            <w:tcW w:w="1080" w:type="dxa"/>
            <w:tcMar>
              <w:top w:w="150" w:type="dxa"/>
              <w:left w:w="240" w:type="dxa"/>
              <w:bottom w:w="150" w:type="dxa"/>
              <w:right w:w="240" w:type="dxa"/>
            </w:tcMar>
            <w:vAlign w:val="center"/>
            <w:hideMark w:val="1"/>
          </w:tcPr>
          <w:p>
            <w:pPr>
              <w:rPr>
                <w:rFonts w:hint="eastAsia" w:ascii="楷体" w:hAnsi="楷体" w:eastAsia="楷体"/>
                <w:sz w:val="20"/>
                <w:szCs w:val="20"/>
              </w:rPr>
            </w:pPr>
            <w:r>
              <w:rPr>
                <w:rFonts w:ascii="楷体" w:hAnsi="楷体" w:eastAsia="楷体"/>
                <w:sz w:val="20"/>
                <w:szCs w:val="20"/>
              </w:rPr>
              <w:t>1,360</w:t>
            </w:r>
          </w:p>
        </w:tc>
        <w:tc>
          <w:tcPr>
            <w:tcW w:w="3040" w:type="dxa"/>
            <w:tcMar>
              <w:top w:w="150" w:type="dxa"/>
              <w:left w:w="240" w:type="dxa"/>
              <w:bottom w:w="150" w:type="dxa"/>
              <w:right w:w="0" w:type="dxa"/>
            </w:tcMar>
            <w:vAlign w:val="center"/>
            <w:hideMark w:val="1"/>
          </w:tcPr>
          <w:p>
            <w:pPr>
              <w:rPr>
                <w:rFonts w:hint="eastAsia" w:ascii="楷体" w:hAnsi="楷体" w:eastAsia="楷体"/>
                <w:sz w:val="20"/>
                <w:szCs w:val="20"/>
              </w:rPr>
            </w:pPr>
            <w:r>
              <w:rPr>
                <w:rFonts w:ascii="楷体" w:hAnsi="楷体" w:eastAsia="楷体"/>
                <w:sz w:val="20"/>
                <w:szCs w:val="20"/>
              </w:rPr>
              <w:t>毛利-各项费用</w:t>
            </w:r>
          </w:p>
        </w:tc>
      </w:tr>
    </w:tbl>
    <w:p>
      <w:pPr>
        <w:spacing w:before="156" w:beforeLines="50"/>
        <w:ind w:firstLine="420"/>
        <w:jc w:val="center"/>
        <w:rPr>
          <w:rFonts w:hint="eastAsia" w:ascii="黑体" w:hAnsi="黑体" w:eastAsia="黑体"/>
          <w:sz w:val="18"/>
          <w:szCs w:val="18"/>
        </w:rPr>
      </w:pPr>
      <w:r>
        <w:rPr>
          <w:rFonts w:hint="eastAsia" w:ascii="黑体" w:hAnsi="黑体" w:eastAsia="黑体"/>
          <w:sz w:val="18"/>
          <w:szCs w:val="18"/>
        </w:rPr>
        <w:t>表6-3-1</w:t>
      </w:r>
    </w:p>
    <w:p>
      <w:pPr>
        <w:spacing w:before="156" w:beforeLines="50"/>
        <w:ind w:firstLine="420"/>
        <w:rPr>
          <w:rFonts w:hint="eastAsia" w:ascii="宋体" w:hAnsi="宋体" w:eastAsia="宋体"/>
          <w:sz w:val="24"/>
          <w:szCs w:val="24"/>
        </w:rPr>
      </w:pPr>
      <w:r>
        <w:rPr>
          <w:rFonts w:ascii="宋体" w:hAnsi="宋体" w:eastAsia="宋体"/>
          <w:noProof w:val="1"/>
          <w:sz w:val="24"/>
          <w:szCs w:val="24"/>
        </w:rPr>
        <w:drawing>
          <wp:anchor distT="0" distB="0" distL="114300" distR="114300" simplePos="0" relativeHeight="251664384" behindDoc="0" locked="0" layoutInCell="1" allowOverlap="1">
            <wp:simplePos x="0" y="0"/>
            <wp:positionH relativeFrom="margin">
              <wp:posOffset>191069</wp:posOffset>
            </wp:positionH>
            <wp:positionV relativeFrom="paragraph">
              <wp:posOffset>660400</wp:posOffset>
            </wp:positionV>
            <wp:extent cx="5274310" cy="2944495"/>
            <wp:effectExtent l="0" t="0" r="2540" b="8255"/>
            <wp:wrapTopAndBottom/>
            <wp:docPr id="20" name="图片 7"/>
            <wp:cNvGraphicFramePr>
              <a:graphicFrameLocks noChangeAspect="1"/>
            </wp:cNvGraphicFramePr>
            <a:graphic>
              <a:graphicData uri="http://schemas.openxmlformats.org/drawingml/2006/picture">
                <pic:pic>
                  <pic:nvPicPr>
                    <pic:cNvPr id="21" name="Picture 7"/>
                    <pic:cNvPicPr>
                      <a:picLocks noChangeAspect="1" noChangeArrowheads="1"/>
                    </pic:cNvPicPr>
                  </pic:nvPicPr>
                  <pic:blipFill>
                    <a:blip r:embed="rId21" cstate="print">
                      <a:extLst>
                        <a:ext uri="{28A0092B-C50C-407E-A947-70E740481C1C}"/>
                      </a:extLst>
                    </a:blip>
                    <a:srcRect/>
                    <a:stretch>
                      <a:fillRect/>
                    </a:stretch>
                  </pic:blipFill>
                  <pic:spPr bwMode="auto">
                    <a:xfrm>
                      <a:off x="0" y="0"/>
                      <a:ext cx="5274310" cy="2944495"/>
                    </a:xfrm>
                    <a:prstGeom prst="rect">
                      <a:avLst/>
                    </a:prstGeom>
                    <a:noFill/>
                    <a:ln>
                      <a:noFill/>
                    </a:ln>
                  </pic:spPr>
                </pic:pic>
              </a:graphicData>
            </a:graphic>
          </wp:anchor>
        </w:drawing>
      </w:r>
      <w:r>
        <w:rPr>
          <w:rFonts w:ascii="宋体" w:hAnsi="宋体" w:eastAsia="宋体"/>
          <w:sz w:val="24"/>
          <w:szCs w:val="24"/>
        </w:rPr>
        <w:t>三年财务趋势如图</w:t>
      </w:r>
      <w:r>
        <w:rPr>
          <w:rFonts w:hint="eastAsia" w:ascii="宋体" w:hAnsi="宋体" w:eastAsia="宋体"/>
          <w:sz w:val="24"/>
          <w:szCs w:val="24"/>
        </w:rPr>
        <w:t>6-3-1</w:t>
      </w:r>
      <w:r>
        <w:rPr>
          <w:rFonts w:ascii="宋体" w:hAnsi="宋体" w:eastAsia="宋体"/>
          <w:sz w:val="24"/>
          <w:szCs w:val="24"/>
        </w:rPr>
        <w:t>（柱形图）所示，第1年因销量未达盈亏平衡点出现小幅亏损，第2年起进入盈利区间。</w:t>
      </w:r>
    </w:p>
    <w:p>
      <w:pPr>
        <w:spacing w:before="156" w:beforeLines="50"/>
        <w:ind w:firstLine="420"/>
        <w:rPr>
          <w:rFonts w:hint="eastAsia" w:ascii="宋体" w:hAnsi="宋体" w:eastAsia="宋体"/>
          <w:sz w:val="24"/>
          <w:szCs w:val="24"/>
        </w:rPr>
      </w:pPr>
    </w:p>
    <w:p>
      <w:pPr>
        <w:spacing w:before="156" w:beforeLines="50"/>
        <w:ind w:firstLine="420"/>
        <w:jc w:val="center"/>
        <w:rPr>
          <w:rFonts w:hint="eastAsia" w:ascii="黑体" w:hAnsi="黑体" w:eastAsia="黑体"/>
          <w:sz w:val="18"/>
          <w:szCs w:val="18"/>
        </w:rPr>
      </w:pPr>
      <w:r>
        <w:rPr>
          <w:rFonts w:hint="eastAsia" w:ascii="黑体" w:hAnsi="黑体" w:eastAsia="黑体"/>
          <w:sz w:val="18"/>
          <w:szCs w:val="18"/>
        </w:rPr>
        <w:t>图6-3-1</w:t>
      </w:r>
    </w:p>
    <w:p>
      <w:pPr>
        <w:rPr>
          <w:rFonts w:hint="eastAsia"/>
          <w:b w:val="1"/>
          <w:bCs w:val="1"/>
        </w:rPr>
      </w:pPr>
    </w:p>
    <w:p>
      <w:pPr>
        <w:spacing w:before="156" w:beforeLines="50"/>
        <w:rPr>
          <w:rFonts w:hint="eastAsia" w:ascii="宋体" w:hAnsi="宋体" w:eastAsia="宋体"/>
          <w:b w:val="1"/>
          <w:bCs w:val="1"/>
          <w:sz w:val="24"/>
          <w:szCs w:val="24"/>
        </w:rPr>
      </w:pPr>
      <w:r>
        <w:rPr>
          <w:rFonts w:hint="eastAsia" w:ascii="宋体" w:hAnsi="宋体" w:eastAsia="宋体"/>
          <w:b w:val="1"/>
          <w:bCs w:val="1"/>
          <w:sz w:val="24"/>
          <w:szCs w:val="24"/>
        </w:rPr>
        <w:t>（二）</w:t>
      </w:r>
      <w:r>
        <w:rPr>
          <w:rFonts w:ascii="宋体" w:hAnsi="宋体" w:eastAsia="宋体"/>
          <w:b w:val="1"/>
          <w:bCs w:val="1"/>
          <w:sz w:val="24"/>
          <w:szCs w:val="24"/>
        </w:rPr>
        <w:t>盈亏平衡分析</w:t>
      </w:r>
    </w:p>
    <w:p>
      <w:pPr>
        <w:spacing w:before="156" w:beforeLines="50"/>
        <w:ind w:firstLine="420"/>
        <w:rPr>
          <w:rFonts w:hint="eastAsia" w:ascii="宋体" w:hAnsi="宋体" w:eastAsia="宋体"/>
          <w:sz w:val="24"/>
          <w:szCs w:val="24"/>
        </w:rPr>
      </w:pPr>
      <w:r>
        <w:rPr>
          <w:rFonts w:ascii="宋体" w:hAnsi="宋体" w:eastAsia="宋体"/>
          <w:sz w:val="24"/>
          <w:szCs w:val="24"/>
        </w:rPr>
        <w:t>按单位边际贡献980元/套（售价1380元-单位成本400元）、年固定成本200万元测算，盈亏平衡销量为：</w:t>
      </w:r>
    </w:p>
    <w:p>
      <w:pPr>
        <w:spacing w:before="156" w:beforeLines="50"/>
        <w:ind w:firstLine="420"/>
        <w:rPr>
          <w:rFonts w:hint="eastAsia" w:ascii="宋体" w:hAnsi="宋体" w:eastAsia="宋体"/>
          <w:sz w:val="24"/>
          <w:szCs w:val="24"/>
        </w:rPr>
      </w:pPr>
      <m:oMath>
        <m:r>
          <m:rPr/>
          <w:rPr>
            <w:rFonts w:ascii="宋体" w:hAnsi="宋体" w:eastAsia="宋体"/>
            <w:sz w:val="24"/>
            <w:szCs w:val="24"/>
          </w:rPr>
          <m:t>盈亏平衡销量</m:t>
        </m:r>
        <m:r>
          <m:rPr/>
          <w:rPr>
            <w:rFonts w:ascii="Cambria Math" w:hAnsi="Cambria Math" w:eastAsia="宋体"/>
            <w:sz w:val="24"/>
            <w:szCs w:val="24"/>
          </w:rPr>
          <m:t>=</m:t>
        </m:r>
        <m:f>
          <m:fPr>
            <m:ctrlPr>
              <w:rPr>
                <w:rFonts w:ascii="Cambria Math" w:hAnsi="Cambria Math" w:eastAsia="宋体"/>
                <w:sz w:val="24"/>
                <w:szCs w:val="24"/>
              </w:rPr>
            </m:ctrlPr>
          </m:fPr>
          <m:num>
            <m:r>
              <m:rPr/>
              <w:rPr>
                <w:rFonts w:ascii="Cambria Math" w:hAnsi="Cambria Math" w:eastAsia="宋体"/>
                <w:sz w:val="24"/>
                <w:szCs w:val="24"/>
              </w:rPr>
              <m:t>2,000,000</m:t>
            </m:r>
          </m:num>
          <m:den>
            <m:r>
              <m:rPr/>
              <w:rPr>
                <w:rFonts w:ascii="Cambria Math" w:hAnsi="Cambria Math" w:eastAsia="宋体"/>
                <w:sz w:val="24"/>
                <w:szCs w:val="24"/>
              </w:rPr>
              <m:t>980</m:t>
            </m:r>
          </m:den>
        </m:f>
        <m:r>
          <m:rPr/>
          <w:rPr>
            <w:rFonts w:ascii="Cambria Math" w:hAnsi="Cambria Math" w:eastAsia="宋体"/>
            <w:sz w:val="24"/>
            <w:szCs w:val="24"/>
          </w:rPr>
          <m:t>≈2041</m:t>
        </m:r>
        <m:r>
          <m:rPr/>
          <w:rPr>
            <w:rFonts w:ascii="宋体" w:hAnsi="宋体" w:eastAsia="宋体"/>
            <w:sz w:val="24"/>
            <w:szCs w:val="24"/>
          </w:rPr>
          <m:t>套</m:t>
        </m:r>
        <m:r>
          <m:rPr/>
          <w:rPr>
            <w:rFonts w:hint="eastAsia" w:ascii="宋体" w:hAnsi="宋体" w:eastAsia="宋体"/>
            <w:sz w:val="24"/>
            <w:szCs w:val="24"/>
          </w:rPr>
          <w:br w:type="textWrapping"/>
        </m:r>
      </m:oMath>
    </w:p>
    <w:p>
      <w:pPr>
        <w:spacing w:before="156" w:beforeLines="50"/>
        <w:ind w:firstLine="420"/>
        <w:rPr>
          <w:rFonts w:hint="eastAsia" w:ascii="宋体" w:hAnsi="宋体" w:eastAsia="宋体"/>
          <w:sz w:val="24"/>
          <w:szCs w:val="24"/>
        </w:rPr>
      </w:pPr>
      <w:r>
        <w:rPr>
          <w:rFonts w:ascii="宋体" w:hAnsi="宋体" w:eastAsia="宋体"/>
          <w:noProof w:val="1"/>
          <w:sz w:val="24"/>
          <w:szCs w:val="24"/>
        </w:rPr>
        <w:drawing>
          <wp:inline distT="0" distB="0" distL="0" distR="0">
            <wp:extent cx="5274310" cy="2877185"/>
            <wp:effectExtent l="0" t="0" r="2540" b="0"/>
            <wp:docPr id="23" name="图片 8"/>
            <wp:cNvGraphicFramePr>
              <a:graphicFrameLocks noChangeAspect="1"/>
            </wp:cNvGraphicFramePr>
            <a:graphic>
              <a:graphicData uri="http://schemas.openxmlformats.org/drawingml/2006/picture">
                <pic:pic>
                  <pic:nvPicPr>
                    <pic:cNvPr id="24" name="Picture 8"/>
                    <pic:cNvPicPr>
                      <a:picLocks noChangeAspect="1" noChangeArrowheads="1"/>
                    </pic:cNvPicPr>
                  </pic:nvPicPr>
                  <pic:blipFill>
                    <a:blip r:embed="rId22" cstate="print">
                      <a:extLst>
                        <a:ext uri="{28A0092B-C50C-407E-A947-70E740481C1C}"/>
                      </a:extLst>
                    </a:blip>
                    <a:srcRect/>
                    <a:stretch>
                      <a:fillRect/>
                    </a:stretch>
                  </pic:blipFill>
                  <pic:spPr bwMode="auto">
                    <a:xfrm>
                      <a:off x="0" y="0"/>
                      <a:ext cx="5274310" cy="2877185"/>
                    </a:xfrm>
                    <a:prstGeom prst="rect">
                      <a:avLst/>
                    </a:prstGeom>
                    <a:noFill/>
                    <a:ln>
                      <a:noFill/>
                    </a:ln>
                  </pic:spPr>
                </pic:pic>
              </a:graphicData>
            </a:graphic>
          </wp:inline>
        </w:drawing>
      </w:r>
    </w:p>
    <w:p>
      <w:pPr>
        <w:spacing w:before="156" w:beforeLines="50"/>
        <w:ind w:firstLine="420"/>
        <w:jc w:val="center"/>
        <w:rPr>
          <w:rFonts w:hint="eastAsia" w:ascii="黑体" w:hAnsi="黑体" w:eastAsia="黑体"/>
          <w:sz w:val="18"/>
          <w:szCs w:val="18"/>
        </w:rPr>
      </w:pPr>
      <w:r>
        <w:rPr>
          <w:rFonts w:hint="eastAsia" w:ascii="黑体" w:hAnsi="黑体" w:eastAsia="黑体"/>
          <w:sz w:val="18"/>
          <w:szCs w:val="18"/>
        </w:rPr>
        <w:t>图6-3-2</w:t>
      </w:r>
    </w:p>
    <w:p>
      <w:pPr>
        <w:spacing w:before="156" w:beforeLines="50"/>
        <w:ind w:firstLine="420"/>
        <w:rPr>
          <w:rFonts w:hint="eastAsia" w:ascii="宋体" w:hAnsi="宋体" w:eastAsia="宋体"/>
          <w:sz w:val="24"/>
          <w:szCs w:val="24"/>
        </w:rPr>
      </w:pPr>
      <w:r>
        <w:rPr>
          <w:rFonts w:ascii="宋体" w:hAnsi="宋体" w:eastAsia="宋体"/>
          <w:sz w:val="24"/>
          <w:szCs w:val="24"/>
        </w:rPr>
        <w:t>如图</w:t>
      </w:r>
      <w:r>
        <w:rPr>
          <w:rFonts w:hint="eastAsia" w:ascii="宋体" w:hAnsi="宋体" w:eastAsia="宋体"/>
          <w:sz w:val="24"/>
          <w:szCs w:val="24"/>
        </w:rPr>
        <w:t>6-3-2</w:t>
      </w:r>
      <w:r>
        <w:rPr>
          <w:rFonts w:ascii="宋体" w:hAnsi="宋体" w:eastAsia="宋体"/>
          <w:sz w:val="24"/>
          <w:szCs w:val="24"/>
        </w:rPr>
        <w:t>（盈亏平衡折线图）所示，当销量达到2041套时，总收入等于总成本；第1年销量2000套略低于平衡点，对应微亏14万元；第2年8000套远超平衡点，边际贡献开始大量转化为利润。</w:t>
      </w:r>
    </w:p>
    <w:p>
      <w:pPr>
        <w:spacing w:before="156" w:beforeLines="50"/>
        <w:ind w:firstLine="420"/>
        <w:rPr>
          <w:rFonts w:hint="eastAsia" w:ascii="宋体" w:hAnsi="宋体" w:eastAsia="宋体"/>
          <w:sz w:val="24"/>
          <w:szCs w:val="24"/>
        </w:rPr>
      </w:pPr>
    </w:p>
    <w:p>
      <w:pPr>
        <w:spacing w:before="156" w:beforeLines="50"/>
        <w:ind w:firstLine="420"/>
        <w:rPr>
          <w:rFonts w:hint="eastAsia" w:ascii="宋体" w:hAnsi="宋体" w:eastAsia="宋体"/>
          <w:sz w:val="24"/>
          <w:szCs w:val="24"/>
        </w:rPr>
      </w:pPr>
    </w:p>
    <w:p>
      <w:pPr>
        <w:spacing w:before="156" w:beforeLines="50"/>
        <w:ind w:firstLine="420"/>
        <w:rPr>
          <w:rFonts w:hint="eastAsia" w:ascii="宋体" w:hAnsi="宋体" w:eastAsia="宋体"/>
          <w:sz w:val="24"/>
          <w:szCs w:val="24"/>
        </w:rPr>
      </w:pPr>
    </w:p>
    <w:p>
      <w:pPr>
        <w:spacing w:before="156" w:beforeLines="50"/>
        <w:ind w:firstLine="420"/>
        <w:rPr>
          <w:rFonts w:hint="eastAsia" w:ascii="宋体" w:hAnsi="宋体" w:eastAsia="宋体"/>
          <w:sz w:val="24"/>
          <w:szCs w:val="24"/>
        </w:rPr>
      </w:pPr>
    </w:p>
    <w:p>
      <w:pPr>
        <w:spacing w:before="156" w:beforeLines="50"/>
        <w:ind w:firstLine="420"/>
        <w:rPr>
          <w:rFonts w:hint="eastAsia" w:ascii="宋体" w:hAnsi="宋体" w:eastAsia="宋体"/>
          <w:sz w:val="24"/>
          <w:szCs w:val="24"/>
        </w:rPr>
      </w:pPr>
    </w:p>
    <w:p>
      <w:pPr>
        <w:spacing w:before="156" w:beforeLines="50"/>
        <w:ind w:firstLine="420"/>
        <w:rPr>
          <w:rFonts w:hint="eastAsia" w:ascii="宋体" w:hAnsi="宋体" w:eastAsia="宋体"/>
          <w:sz w:val="24"/>
          <w:szCs w:val="24"/>
        </w:rPr>
      </w:pPr>
    </w:p>
    <w:p>
      <w:pPr>
        <w:spacing w:before="156" w:beforeLines="50"/>
        <w:ind w:firstLine="420"/>
        <w:rPr>
          <w:rFonts w:hint="eastAsia" w:ascii="宋体" w:hAnsi="宋体" w:eastAsia="宋体"/>
          <w:sz w:val="24"/>
          <w:szCs w:val="24"/>
        </w:rPr>
      </w:pPr>
    </w:p>
    <w:p>
      <w:pPr>
        <w:spacing w:before="156" w:beforeLines="50"/>
        <w:ind w:firstLine="420"/>
        <w:rPr>
          <w:rFonts w:hint="eastAsia" w:ascii="宋体" w:hAnsi="宋体" w:eastAsia="宋体"/>
          <w:sz w:val="24"/>
          <w:szCs w:val="24"/>
        </w:rPr>
      </w:pPr>
    </w:p>
    <w:p>
      <w:pPr>
        <w:spacing w:before="156" w:beforeLines="50"/>
        <w:ind w:firstLine="420"/>
        <w:rPr>
          <w:rFonts w:hint="eastAsia" w:ascii="宋体" w:hAnsi="宋体" w:eastAsia="宋体"/>
          <w:sz w:val="24"/>
          <w:szCs w:val="24"/>
        </w:rPr>
      </w:pPr>
    </w:p>
    <w:p>
      <w:pPr>
        <w:spacing w:before="156" w:beforeLines="50"/>
        <w:ind w:firstLine="420"/>
        <w:rPr>
          <w:rFonts w:hint="eastAsia" w:ascii="宋体" w:hAnsi="宋体" w:eastAsia="宋体"/>
          <w:sz w:val="24"/>
          <w:szCs w:val="24"/>
        </w:rPr>
      </w:pPr>
    </w:p>
    <w:p>
      <w:pPr>
        <w:spacing w:before="156" w:beforeLines="50"/>
        <w:ind w:firstLine="420"/>
        <w:rPr>
          <w:rFonts w:hint="eastAsia" w:ascii="宋体" w:hAnsi="宋体" w:eastAsia="宋体"/>
          <w:sz w:val="24"/>
          <w:szCs w:val="24"/>
        </w:rPr>
      </w:pPr>
    </w:p>
    <w:p>
      <w:pPr>
        <w:spacing w:before="156" w:beforeLines="50"/>
        <w:ind w:firstLine="420"/>
        <w:rPr>
          <w:rFonts w:hint="eastAsia" w:ascii="宋体" w:hAnsi="宋体" w:eastAsia="宋体"/>
          <w:sz w:val="24"/>
          <w:szCs w:val="24"/>
        </w:rPr>
      </w:pPr>
    </w:p>
    <w:p>
      <w:pPr>
        <w:spacing w:before="156" w:beforeLines="50"/>
        <w:ind w:firstLine="420"/>
        <w:rPr>
          <w:rFonts w:hint="eastAsia" w:ascii="宋体" w:hAnsi="宋体" w:eastAsia="宋体"/>
          <w:sz w:val="24"/>
          <w:szCs w:val="24"/>
        </w:rPr>
      </w:pPr>
    </w:p>
    <w:p>
      <w:pPr>
        <w:spacing w:before="156" w:beforeLines="50"/>
        <w:ind w:firstLine="420"/>
        <w:rPr>
          <w:rFonts w:hint="eastAsia" w:ascii="宋体" w:hAnsi="宋体" w:eastAsia="宋体"/>
          <w:sz w:val="24"/>
          <w:szCs w:val="24"/>
        </w:rPr>
      </w:pPr>
    </w:p>
    <w:p>
      <w:pPr>
        <w:spacing w:before="156" w:beforeLines="50"/>
        <w:ind w:firstLine="420"/>
        <w:rPr>
          <w:rFonts w:hint="eastAsia" w:ascii="宋体" w:hAnsi="宋体" w:eastAsia="宋体"/>
          <w:sz w:val="24"/>
          <w:szCs w:val="24"/>
        </w:rPr>
      </w:pPr>
    </w:p>
    <w:p>
      <w:pPr>
        <w:spacing w:before="156" w:beforeLines="50"/>
        <w:ind w:firstLine="420"/>
        <w:rPr>
          <w:rFonts w:hint="eastAsia" w:ascii="宋体" w:hAnsi="宋体" w:eastAsia="宋体"/>
          <w:sz w:val="24"/>
          <w:szCs w:val="24"/>
        </w:rPr>
      </w:pPr>
    </w:p>
    <w:p>
      <w:pPr>
        <w:pStyle w:val="0000a4"/>
        <w:numPr>
          <w:ilvl w:val="0"/>
          <w:numId w:val="3"/>
        </w:numPr>
        <w:spacing w:before="156" w:beforeLines="50"/>
        <w:rPr>
          <w:rFonts w:hint="eastAsia" w:ascii="黑体" w:hAnsi="黑体" w:eastAsia="黑体"/>
          <w:b w:val="1"/>
          <w:bCs w:val="1"/>
          <w:sz w:val="28"/>
          <w:szCs w:val="28"/>
        </w:rPr>
      </w:pPr>
      <w:r>
        <w:rPr>
          <w:rFonts w:ascii="黑体" w:hAnsi="黑体" w:eastAsia="黑体"/>
          <w:b w:val="1"/>
          <w:bCs w:val="1"/>
          <w:sz w:val="28"/>
          <w:szCs w:val="28"/>
        </w:rPr>
        <w:t>融资需求</w:t>
      </w:r>
    </w:p>
    <w:p>
      <w:pPr>
        <w:spacing w:before="156" w:beforeLines="50"/>
        <w:ind w:firstLine="420"/>
        <w:rPr>
          <w:rFonts w:hint="eastAsia" w:ascii="宋体" w:hAnsi="宋体" w:eastAsia="宋体"/>
          <w:sz w:val="24"/>
          <w:szCs w:val="24"/>
        </w:rPr>
      </w:pPr>
      <w:r>
        <w:rPr>
          <w:rFonts w:ascii="宋体" w:hAnsi="宋体" w:eastAsia="宋体"/>
          <w:noProof w:val="1"/>
          <w:sz w:val="24"/>
          <w:szCs w:val="24"/>
        </w:rPr>
        <w:drawing>
          <wp:anchor distT="0" distB="0" distL="114300" distR="114300" simplePos="0" relativeHeight="251665408" behindDoc="1" locked="0" layoutInCell="1" allowOverlap="1">
            <wp:simplePos x="0" y="0"/>
            <wp:positionH relativeFrom="margin">
              <wp:posOffset>988022</wp:posOffset>
            </wp:positionH>
            <wp:positionV relativeFrom="paragraph">
              <wp:posOffset>664109</wp:posOffset>
            </wp:positionV>
            <wp:extent cx="3912870" cy="2855595"/>
            <wp:effectExtent l="0" t="0" r="0" b="1905"/>
            <wp:wrapTopAndBottom/>
            <wp:docPr id="26" name="图片 9"/>
            <wp:cNvGraphicFramePr>
              <a:graphicFrameLocks noChangeAspect="1"/>
            </wp:cNvGraphicFramePr>
            <a:graphic>
              <a:graphicData uri="http://schemas.openxmlformats.org/drawingml/2006/picture">
                <pic:pic>
                  <pic:nvPicPr>
                    <pic:cNvPr id="27" name="Picture 9"/>
                    <pic:cNvPicPr>
                      <a:picLocks noChangeAspect="1" noChangeArrowheads="1"/>
                    </pic:cNvPicPr>
                  </pic:nvPicPr>
                  <pic:blipFill>
                    <a:blip r:embed="rId23" cstate="print">
                      <a:extLst>
                        <a:ext uri="{28A0092B-C50C-407E-A947-70E740481C1C}"/>
                      </a:extLst>
                    </a:blip>
                    <a:srcRect/>
                    <a:stretch>
                      <a:fillRect/>
                    </a:stretch>
                  </pic:blipFill>
                  <pic:spPr bwMode="auto">
                    <a:xfrm>
                      <a:off x="0" y="0"/>
                      <a:ext cx="3912870" cy="28555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宋体" w:hAnsi="宋体" w:eastAsia="宋体"/>
          <w:sz w:val="24"/>
          <w:szCs w:val="24"/>
        </w:rPr>
        <w:t>计划融资500万元，用于产品认证、二代研发及市场推广，具体分配如图</w:t>
      </w:r>
      <w:r>
        <w:rPr>
          <w:rFonts w:hint="eastAsia" w:ascii="宋体" w:hAnsi="宋体" w:eastAsia="宋体"/>
          <w:sz w:val="24"/>
          <w:szCs w:val="24"/>
        </w:rPr>
        <w:t>6-4-1</w:t>
      </w:r>
      <w:r>
        <w:rPr>
          <w:rFonts w:ascii="宋体" w:hAnsi="宋体" w:eastAsia="宋体"/>
          <w:sz w:val="24"/>
          <w:szCs w:val="24"/>
        </w:rPr>
        <w:t>（融资用途饼图）所示：</w:t>
      </w:r>
    </w:p>
    <w:tbl>
      <w:tblPr>
        <w:tblpPr w:leftFromText="180" w:rightFromText="180" w:vertAnchor="page" w:horzAnchor="margin" w:tblpY="8691"/>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0" w:type="dxa"/>
          <w:right w:w="0" w:type="dxa"/>
        </w:tblCellMar>
        <w:tblLook w:firstRow="1" w:lastRow="0" w:firstColumn="1" w:lastColumn="0" w:noHBand="0" w:noVBand="1" w:val="04A0"/>
      </w:tblPr>
      <w:tblGrid>
        <w:gridCol w:w="1202"/>
        <w:gridCol w:w="1490"/>
        <w:gridCol w:w="5604"/>
      </w:tblGrid>
      <w:tr>
        <w:trPr>
          <w:tblHeader w:val="1"/>
        </w:trPr>
        <w:tc>
          <w:tcPr>
            <w:tcW w:w="1202" w:type="dxa"/>
            <w:shd w:val="clear" w:color="auto" w:fill="C1E4F5" w:themeFill="accent1" w:themeFillTint="33"/>
            <w:tcMar>
              <w:top w:w="150" w:type="dxa"/>
              <w:left w:w="0" w:type="dxa"/>
              <w:bottom w:w="150" w:type="dxa"/>
              <w:right w:w="240" w:type="dxa"/>
            </w:tcMar>
            <w:vAlign w:val="center"/>
            <w:hideMark w:val="1"/>
          </w:tcPr>
          <w:p>
            <w:pPr>
              <w:rPr>
                <w:rFonts w:hint="eastAsia" w:ascii="楷体" w:hAnsi="楷体" w:eastAsia="楷体"/>
                <w:sz w:val="20"/>
                <w:szCs w:val="20"/>
              </w:rPr>
            </w:pPr>
            <w:r>
              <w:rPr>
                <w:rFonts w:ascii="楷体" w:hAnsi="楷体" w:eastAsia="楷体"/>
                <w:sz w:val="20"/>
                <w:szCs w:val="20"/>
              </w:rPr>
              <w:t>用途</w:t>
            </w:r>
          </w:p>
        </w:tc>
        <w:tc>
          <w:tcPr>
            <w:tcW w:w="1490" w:type="dxa"/>
            <w:shd w:val="clear" w:color="auto" w:fill="C1E4F5" w:themeFill="accent1" w:themeFillTint="33"/>
            <w:tcMar>
              <w:top w:w="150" w:type="dxa"/>
              <w:left w:w="240" w:type="dxa"/>
              <w:bottom w:w="150" w:type="dxa"/>
              <w:right w:w="240" w:type="dxa"/>
            </w:tcMar>
            <w:vAlign w:val="center"/>
            <w:hideMark w:val="1"/>
          </w:tcPr>
          <w:p>
            <w:pPr>
              <w:rPr>
                <w:rFonts w:hint="eastAsia" w:ascii="楷体" w:hAnsi="楷体" w:eastAsia="楷体"/>
                <w:sz w:val="20"/>
                <w:szCs w:val="20"/>
              </w:rPr>
            </w:pPr>
            <w:r>
              <w:rPr>
                <w:rFonts w:ascii="楷体" w:hAnsi="楷体" w:eastAsia="楷体"/>
                <w:sz w:val="20"/>
                <w:szCs w:val="20"/>
              </w:rPr>
              <w:t>金额（万元）</w:t>
            </w:r>
          </w:p>
        </w:tc>
        <w:tc>
          <w:tcPr>
            <w:tcW w:w="5604" w:type="dxa"/>
            <w:shd w:val="clear" w:color="auto" w:fill="C1E4F5" w:themeFill="accent1" w:themeFillTint="33"/>
            <w:tcMar>
              <w:top w:w="150" w:type="dxa"/>
              <w:left w:w="240" w:type="dxa"/>
              <w:bottom w:w="150" w:type="dxa"/>
              <w:right w:w="240" w:type="dxa"/>
            </w:tcMar>
            <w:vAlign w:val="center"/>
            <w:hideMark w:val="1"/>
          </w:tcPr>
          <w:p>
            <w:pPr>
              <w:rPr>
                <w:rFonts w:hint="eastAsia" w:ascii="楷体" w:hAnsi="楷体" w:eastAsia="楷体"/>
                <w:sz w:val="20"/>
                <w:szCs w:val="20"/>
              </w:rPr>
            </w:pPr>
            <w:r>
              <w:rPr>
                <w:rFonts w:ascii="楷体" w:hAnsi="楷体" w:eastAsia="楷体"/>
                <w:sz w:val="20"/>
                <w:szCs w:val="20"/>
              </w:rPr>
              <w:t>说明</w:t>
            </w:r>
          </w:p>
        </w:tc>
      </w:tr>
      <w:tr>
        <w:trPr/>
        <w:tc>
          <w:tcPr>
            <w:tcW w:w="1202" w:type="dxa"/>
            <w:shd w:val="clear" w:color="auto" w:fill="C1E4F5" w:themeFill="accent1" w:themeFillTint="33"/>
            <w:tcMar>
              <w:top w:w="150" w:type="dxa"/>
              <w:left w:w="0" w:type="dxa"/>
              <w:bottom w:w="150" w:type="dxa"/>
              <w:right w:w="240" w:type="dxa"/>
            </w:tcMar>
            <w:vAlign w:val="center"/>
            <w:hideMark w:val="1"/>
          </w:tcPr>
          <w:p>
            <w:pPr>
              <w:rPr>
                <w:rFonts w:hint="eastAsia" w:ascii="楷体" w:hAnsi="楷体" w:eastAsia="楷体"/>
                <w:sz w:val="20"/>
                <w:szCs w:val="20"/>
              </w:rPr>
            </w:pPr>
            <w:r>
              <w:rPr>
                <w:rFonts w:ascii="楷体" w:hAnsi="楷体" w:eastAsia="楷体"/>
                <w:sz w:val="20"/>
                <w:szCs w:val="20"/>
              </w:rPr>
              <w:t>产品认证</w:t>
            </w:r>
          </w:p>
        </w:tc>
        <w:tc>
          <w:tcPr>
            <w:tcW w:w="1490" w:type="dxa"/>
            <w:tcMar>
              <w:top w:w="150" w:type="dxa"/>
              <w:left w:w="240" w:type="dxa"/>
              <w:bottom w:w="150" w:type="dxa"/>
              <w:right w:w="240" w:type="dxa"/>
            </w:tcMar>
            <w:vAlign w:val="center"/>
            <w:hideMark w:val="1"/>
          </w:tcPr>
          <w:p>
            <w:pPr>
              <w:rPr>
                <w:rFonts w:hint="eastAsia" w:ascii="楷体" w:hAnsi="楷体" w:eastAsia="楷体"/>
                <w:sz w:val="20"/>
                <w:szCs w:val="20"/>
              </w:rPr>
            </w:pPr>
            <w:r>
              <w:rPr>
                <w:rFonts w:ascii="楷体" w:hAnsi="楷体" w:eastAsia="楷体"/>
                <w:sz w:val="20"/>
                <w:szCs w:val="20"/>
              </w:rPr>
              <w:t>80</w:t>
            </w:r>
          </w:p>
        </w:tc>
        <w:tc>
          <w:tcPr>
            <w:tcW w:w="5604" w:type="dxa"/>
            <w:tcMar>
              <w:top w:w="150" w:type="dxa"/>
              <w:left w:w="240" w:type="dxa"/>
              <w:bottom w:w="150" w:type="dxa"/>
              <w:right w:w="0" w:type="dxa"/>
            </w:tcMar>
            <w:vAlign w:val="center"/>
            <w:hideMark w:val="1"/>
          </w:tcPr>
          <w:p>
            <w:pPr>
              <w:jc w:val="left"/>
              <w:rPr>
                <w:rFonts w:hint="eastAsia" w:ascii="楷体" w:hAnsi="楷体" w:eastAsia="楷体"/>
                <w:sz w:val="20"/>
                <w:szCs w:val="20"/>
              </w:rPr>
            </w:pPr>
            <w:r>
              <w:rPr>
                <w:rFonts w:ascii="楷体" w:hAnsi="楷体" w:eastAsia="楷体"/>
                <w:sz w:val="20"/>
                <w:szCs w:val="20"/>
              </w:rPr>
              <w:t>国内法规符合性验证、第三方检测报告</w:t>
            </w:r>
          </w:p>
        </w:tc>
      </w:tr>
      <w:tr>
        <w:trPr/>
        <w:tc>
          <w:tcPr>
            <w:tcW w:w="1202" w:type="dxa"/>
            <w:shd w:val="clear" w:color="auto" w:fill="C1E4F5" w:themeFill="accent1" w:themeFillTint="33"/>
            <w:tcMar>
              <w:top w:w="150" w:type="dxa"/>
              <w:left w:w="0" w:type="dxa"/>
              <w:bottom w:w="150" w:type="dxa"/>
              <w:right w:w="240" w:type="dxa"/>
            </w:tcMar>
            <w:vAlign w:val="center"/>
            <w:hideMark w:val="1"/>
          </w:tcPr>
          <w:p>
            <w:pPr>
              <w:rPr>
                <w:rFonts w:hint="eastAsia" w:ascii="楷体" w:hAnsi="楷体" w:eastAsia="楷体"/>
                <w:sz w:val="20"/>
                <w:szCs w:val="20"/>
              </w:rPr>
            </w:pPr>
            <w:r>
              <w:rPr>
                <w:rFonts w:ascii="楷体" w:hAnsi="楷体" w:eastAsia="楷体"/>
                <w:sz w:val="20"/>
                <w:szCs w:val="20"/>
              </w:rPr>
              <w:t>二代产品研发</w:t>
            </w:r>
          </w:p>
        </w:tc>
        <w:tc>
          <w:tcPr>
            <w:tcW w:w="1490" w:type="dxa"/>
            <w:tcMar>
              <w:top w:w="150" w:type="dxa"/>
              <w:left w:w="240" w:type="dxa"/>
              <w:bottom w:w="150" w:type="dxa"/>
              <w:right w:w="240" w:type="dxa"/>
            </w:tcMar>
            <w:vAlign w:val="center"/>
            <w:hideMark w:val="1"/>
          </w:tcPr>
          <w:p>
            <w:pPr>
              <w:rPr>
                <w:rFonts w:hint="eastAsia" w:ascii="楷体" w:hAnsi="楷体" w:eastAsia="楷体"/>
                <w:sz w:val="20"/>
                <w:szCs w:val="20"/>
              </w:rPr>
            </w:pPr>
            <w:r>
              <w:rPr>
                <w:rFonts w:ascii="楷体" w:hAnsi="楷体" w:eastAsia="楷体"/>
                <w:sz w:val="20"/>
                <w:szCs w:val="20"/>
              </w:rPr>
              <w:t>200</w:t>
            </w:r>
          </w:p>
        </w:tc>
        <w:tc>
          <w:tcPr>
            <w:tcW w:w="5604" w:type="dxa"/>
            <w:tcMar>
              <w:top w:w="150" w:type="dxa"/>
              <w:left w:w="240" w:type="dxa"/>
              <w:bottom w:w="150" w:type="dxa"/>
              <w:right w:w="0" w:type="dxa"/>
            </w:tcMar>
            <w:vAlign w:val="center"/>
            <w:hideMark w:val="1"/>
          </w:tcPr>
          <w:p>
            <w:pPr>
              <w:jc w:val="left"/>
              <w:rPr>
                <w:rFonts w:hint="eastAsia" w:ascii="楷体" w:hAnsi="楷体" w:eastAsia="楷体"/>
                <w:sz w:val="20"/>
                <w:szCs w:val="20"/>
              </w:rPr>
            </w:pPr>
            <w:r>
              <w:rPr>
                <w:rFonts w:ascii="楷体" w:hAnsi="楷体" w:eastAsia="楷体"/>
                <w:sz w:val="20"/>
                <w:szCs w:val="20"/>
              </w:rPr>
              <w:t>其中视觉融合模块开发80万元，云端平台建设70万元，算法迭代优化50万元</w:t>
            </w:r>
          </w:p>
        </w:tc>
      </w:tr>
      <w:tr>
        <w:trPr/>
        <w:tc>
          <w:tcPr>
            <w:tcW w:w="1202" w:type="dxa"/>
            <w:shd w:val="clear" w:color="auto" w:fill="C1E4F5" w:themeFill="accent1" w:themeFillTint="33"/>
            <w:tcMar>
              <w:top w:w="150" w:type="dxa"/>
              <w:left w:w="0" w:type="dxa"/>
              <w:bottom w:w="150" w:type="dxa"/>
              <w:right w:w="240" w:type="dxa"/>
            </w:tcMar>
            <w:vAlign w:val="center"/>
            <w:hideMark w:val="1"/>
          </w:tcPr>
          <w:p>
            <w:pPr>
              <w:rPr>
                <w:rFonts w:hint="eastAsia" w:ascii="楷体" w:hAnsi="楷体" w:eastAsia="楷体"/>
                <w:sz w:val="20"/>
                <w:szCs w:val="20"/>
              </w:rPr>
            </w:pPr>
            <w:r>
              <w:rPr>
                <w:rFonts w:ascii="楷体" w:hAnsi="楷体" w:eastAsia="楷体"/>
                <w:sz w:val="20"/>
                <w:szCs w:val="20"/>
              </w:rPr>
              <w:t>市场推广</w:t>
            </w:r>
          </w:p>
        </w:tc>
        <w:tc>
          <w:tcPr>
            <w:tcW w:w="1490" w:type="dxa"/>
            <w:tcMar>
              <w:top w:w="150" w:type="dxa"/>
              <w:left w:w="240" w:type="dxa"/>
              <w:bottom w:w="150" w:type="dxa"/>
              <w:right w:w="240" w:type="dxa"/>
            </w:tcMar>
            <w:vAlign w:val="center"/>
            <w:hideMark w:val="1"/>
          </w:tcPr>
          <w:p>
            <w:pPr>
              <w:rPr>
                <w:rFonts w:hint="eastAsia" w:ascii="楷体" w:hAnsi="楷体" w:eastAsia="楷体"/>
                <w:sz w:val="20"/>
                <w:szCs w:val="20"/>
              </w:rPr>
            </w:pPr>
            <w:r>
              <w:rPr>
                <w:rFonts w:ascii="楷体" w:hAnsi="楷体" w:eastAsia="楷体"/>
                <w:sz w:val="20"/>
                <w:szCs w:val="20"/>
              </w:rPr>
              <w:t>150</w:t>
            </w:r>
          </w:p>
        </w:tc>
        <w:tc>
          <w:tcPr>
            <w:tcW w:w="5604" w:type="dxa"/>
            <w:tcMar>
              <w:top w:w="150" w:type="dxa"/>
              <w:left w:w="240" w:type="dxa"/>
              <w:bottom w:w="150" w:type="dxa"/>
              <w:right w:w="0" w:type="dxa"/>
            </w:tcMar>
            <w:vAlign w:val="center"/>
            <w:hideMark w:val="1"/>
          </w:tcPr>
          <w:p>
            <w:pPr>
              <w:jc w:val="left"/>
              <w:rPr>
                <w:rFonts w:hint="eastAsia" w:ascii="楷体" w:hAnsi="楷体" w:eastAsia="楷体"/>
                <w:sz w:val="20"/>
                <w:szCs w:val="20"/>
              </w:rPr>
            </w:pPr>
            <w:r>
              <w:rPr>
                <w:rFonts w:ascii="楷体" w:hAnsi="楷体" w:eastAsia="楷体"/>
                <w:sz w:val="20"/>
                <w:szCs w:val="20"/>
              </w:rPr>
              <w:t>渠道建设、试点项目、行业展会</w:t>
            </w:r>
          </w:p>
        </w:tc>
      </w:tr>
      <w:tr>
        <w:trPr/>
        <w:tc>
          <w:tcPr>
            <w:tcW w:w="1202" w:type="dxa"/>
            <w:shd w:val="clear" w:color="auto" w:fill="C1E4F5" w:themeFill="accent1" w:themeFillTint="33"/>
            <w:tcMar>
              <w:top w:w="150" w:type="dxa"/>
              <w:left w:w="0" w:type="dxa"/>
              <w:bottom w:w="150" w:type="dxa"/>
              <w:right w:w="240" w:type="dxa"/>
            </w:tcMar>
            <w:vAlign w:val="center"/>
            <w:hideMark w:val="1"/>
          </w:tcPr>
          <w:p>
            <w:pPr>
              <w:rPr>
                <w:rFonts w:hint="eastAsia" w:ascii="楷体" w:hAnsi="楷体" w:eastAsia="楷体"/>
                <w:sz w:val="20"/>
                <w:szCs w:val="20"/>
              </w:rPr>
            </w:pPr>
            <w:r>
              <w:rPr>
                <w:rFonts w:ascii="楷体" w:hAnsi="楷体" w:eastAsia="楷体"/>
                <w:sz w:val="20"/>
                <w:szCs w:val="20"/>
              </w:rPr>
              <w:t>团队扩充</w:t>
            </w:r>
          </w:p>
        </w:tc>
        <w:tc>
          <w:tcPr>
            <w:tcW w:w="1490" w:type="dxa"/>
            <w:tcMar>
              <w:top w:w="150" w:type="dxa"/>
              <w:left w:w="240" w:type="dxa"/>
              <w:bottom w:w="150" w:type="dxa"/>
              <w:right w:w="240" w:type="dxa"/>
            </w:tcMar>
            <w:vAlign w:val="center"/>
            <w:hideMark w:val="1"/>
          </w:tcPr>
          <w:p>
            <w:pPr>
              <w:rPr>
                <w:rFonts w:hint="eastAsia" w:ascii="楷体" w:hAnsi="楷体" w:eastAsia="楷体"/>
                <w:sz w:val="20"/>
                <w:szCs w:val="20"/>
              </w:rPr>
            </w:pPr>
            <w:r>
              <w:rPr>
                <w:rFonts w:ascii="楷体" w:hAnsi="楷体" w:eastAsia="楷体"/>
                <w:sz w:val="20"/>
                <w:szCs w:val="20"/>
              </w:rPr>
              <w:t>70</w:t>
            </w:r>
          </w:p>
        </w:tc>
        <w:tc>
          <w:tcPr>
            <w:tcW w:w="5604" w:type="dxa"/>
            <w:tcMar>
              <w:top w:w="150" w:type="dxa"/>
              <w:left w:w="240" w:type="dxa"/>
              <w:bottom w:w="150" w:type="dxa"/>
              <w:right w:w="0" w:type="dxa"/>
            </w:tcMar>
            <w:vAlign w:val="center"/>
            <w:hideMark w:val="1"/>
          </w:tcPr>
          <w:p>
            <w:pPr>
              <w:jc w:val="left"/>
              <w:rPr>
                <w:rFonts w:hint="eastAsia" w:ascii="楷体" w:hAnsi="楷体" w:eastAsia="楷体"/>
                <w:sz w:val="20"/>
                <w:szCs w:val="20"/>
              </w:rPr>
            </w:pPr>
            <w:r>
              <w:rPr>
                <w:rFonts w:ascii="楷体" w:hAnsi="楷体" w:eastAsia="楷体"/>
                <w:sz w:val="20"/>
                <w:szCs w:val="20"/>
              </w:rPr>
              <w:t>引进技术、市场、运营人员</w:t>
            </w:r>
          </w:p>
        </w:tc>
      </w:tr>
      <w:tr>
        <w:trPr/>
        <w:tc>
          <w:tcPr>
            <w:tcW w:w="1202" w:type="dxa"/>
            <w:shd w:val="clear" w:color="auto" w:fill="C1E4F5" w:themeFill="accent1" w:themeFillTint="33"/>
            <w:tcMar>
              <w:top w:w="150" w:type="dxa"/>
              <w:left w:w="0" w:type="dxa"/>
              <w:bottom w:w="150" w:type="dxa"/>
              <w:right w:w="240" w:type="dxa"/>
            </w:tcMar>
            <w:vAlign w:val="center"/>
            <w:hideMark w:val="1"/>
          </w:tcPr>
          <w:p>
            <w:pPr>
              <w:rPr>
                <w:rFonts w:hint="eastAsia" w:ascii="楷体" w:hAnsi="楷体" w:eastAsia="楷体"/>
                <w:sz w:val="20"/>
                <w:szCs w:val="20"/>
              </w:rPr>
            </w:pPr>
            <w:r>
              <w:rPr>
                <w:rFonts w:ascii="楷体" w:hAnsi="楷体" w:eastAsia="楷体"/>
                <w:sz w:val="20"/>
                <w:szCs w:val="20"/>
              </w:rPr>
              <w:t>总计</w:t>
            </w:r>
          </w:p>
        </w:tc>
        <w:tc>
          <w:tcPr>
            <w:tcW w:w="1490" w:type="dxa"/>
            <w:tcMar>
              <w:top w:w="150" w:type="dxa"/>
              <w:left w:w="240" w:type="dxa"/>
              <w:bottom w:w="150" w:type="dxa"/>
              <w:right w:w="240" w:type="dxa"/>
            </w:tcMar>
            <w:vAlign w:val="center"/>
            <w:hideMark w:val="1"/>
          </w:tcPr>
          <w:p>
            <w:pPr>
              <w:rPr>
                <w:rFonts w:hint="eastAsia" w:ascii="楷体" w:hAnsi="楷体" w:eastAsia="楷体"/>
                <w:sz w:val="20"/>
                <w:szCs w:val="20"/>
              </w:rPr>
            </w:pPr>
            <w:r>
              <w:rPr>
                <w:rFonts w:ascii="楷体" w:hAnsi="楷体" w:eastAsia="楷体"/>
                <w:sz w:val="20"/>
                <w:szCs w:val="20"/>
              </w:rPr>
              <w:t>500</w:t>
            </w:r>
          </w:p>
        </w:tc>
        <w:tc>
          <w:tcPr>
            <w:tcW w:w="5604" w:type="dxa"/>
            <w:tcMar>
              <w:top w:w="150" w:type="dxa"/>
              <w:left w:w="240" w:type="dxa"/>
              <w:bottom w:w="150" w:type="dxa"/>
              <w:right w:w="0" w:type="dxa"/>
            </w:tcMar>
            <w:vAlign w:val="center"/>
            <w:hideMark w:val="1"/>
          </w:tcPr>
          <w:p>
            <w:pPr>
              <w:jc w:val="left"/>
              <w:rPr>
                <w:rFonts w:hint="eastAsia" w:ascii="楷体" w:hAnsi="楷体" w:eastAsia="楷体"/>
                <w:sz w:val="20"/>
                <w:szCs w:val="20"/>
              </w:rPr>
            </w:pPr>
            <w:r>
              <w:rPr>
                <w:rFonts w:ascii="楷体" w:hAnsi="楷体" w:eastAsia="楷体"/>
                <w:sz w:val="20"/>
                <w:szCs w:val="20"/>
              </w:rPr>
              <w:t>计划融资额度</w:t>
            </w:r>
          </w:p>
        </w:tc>
      </w:tr>
    </w:tbl>
    <w:p>
      <w:pPr>
        <w:spacing w:before="156" w:beforeLines="50"/>
        <w:ind w:firstLine="420"/>
        <w:jc w:val="center"/>
        <w:rPr>
          <w:rFonts w:hint="eastAsia" w:ascii="黑体" w:hAnsi="黑体" w:eastAsia="黑体"/>
          <w:sz w:val="18"/>
          <w:szCs w:val="18"/>
        </w:rPr>
      </w:pPr>
      <w:r>
        <w:rPr>
          <w:rFonts w:hint="eastAsia" w:ascii="黑体" w:hAnsi="黑体" w:eastAsia="黑体"/>
          <w:sz w:val="18"/>
          <w:szCs w:val="18"/>
        </w:rPr>
        <w:t>图6-4-1</w:t>
      </w:r>
    </w:p>
    <w:p>
      <w:pPr>
        <w:spacing w:before="156" w:beforeLines="50"/>
        <w:ind w:firstLine="420"/>
        <w:jc w:val="center"/>
        <w:rPr>
          <w:rFonts w:hint="eastAsia" w:ascii="黑体" w:hAnsi="黑体" w:eastAsia="黑体"/>
          <w:sz w:val="18"/>
          <w:szCs w:val="18"/>
        </w:rPr>
      </w:pPr>
      <w:r>
        <w:rPr>
          <w:rFonts w:hint="eastAsia" w:ascii="黑体" w:hAnsi="黑体" w:eastAsia="黑体"/>
          <w:sz w:val="18"/>
          <w:szCs w:val="18"/>
        </w:rPr>
        <w:t>表6-4-1</w:t>
      </w:r>
    </w:p>
    <w:p>
      <w:pPr>
        <w:spacing w:before="156" w:beforeLines="50"/>
        <w:ind w:firstLine="420"/>
        <w:rPr>
          <w:rFonts w:hint="eastAsia" w:ascii="宋体" w:hAnsi="宋体" w:eastAsia="宋体"/>
          <w:sz w:val="24"/>
          <w:szCs w:val="24"/>
        </w:rPr>
      </w:pPr>
      <w:r>
        <w:rPr>
          <w:rFonts w:ascii="宋体" w:hAnsi="宋体" w:eastAsia="宋体"/>
          <w:sz w:val="24"/>
          <w:szCs w:val="24"/>
        </w:rPr>
        <w:t>资金使用周期：预计12-18个月。</w:t>
      </w:r>
    </w:p>
    <w:p>
      <w:pPr>
        <w:jc w:val="center"/>
        <w:rPr>
          <w:rFonts w:hint="eastAsia" w:ascii="黑体" w:hAnsi="黑体" w:eastAsia="黑体"/>
          <w:b w:val="1"/>
          <w:bCs w:val="1"/>
          <w:sz w:val="36"/>
          <w:szCs w:val="36"/>
        </w:rPr>
      </w:pPr>
    </w:p>
    <w:p>
      <w:pPr>
        <w:rPr>
          <w:rFonts w:hint="eastAsia" w:ascii="黑体" w:hAnsi="黑体" w:eastAsia="黑体"/>
          <w:b w:val="1"/>
          <w:bCs w:val="1"/>
          <w:sz w:val="36"/>
          <w:szCs w:val="36"/>
        </w:rPr>
      </w:pPr>
    </w:p>
    <w:p>
      <w:pPr>
        <w:jc w:val="center"/>
        <w:rPr>
          <w:rFonts w:hint="eastAsia" w:ascii="黑体" w:hAnsi="黑体" w:eastAsia="黑体"/>
          <w:b w:val="1"/>
          <w:bCs w:val="1"/>
          <w:sz w:val="36"/>
          <w:szCs w:val="36"/>
        </w:rPr>
      </w:pPr>
    </w:p>
    <w:p>
      <w:pPr>
        <w:jc w:val="center"/>
        <w:rPr>
          <w:rFonts w:hint="eastAsia" w:ascii="黑体" w:hAnsi="黑体" w:eastAsia="黑体"/>
          <w:b w:val="1"/>
          <w:bCs w:val="1"/>
          <w:color w:val="215E99" w:themeColor="text2" w:themeTint="BF"/>
          <w:sz w:val="36"/>
          <w:szCs w:val="36"/>
        </w:rPr>
      </w:pPr>
      <w:r>
        <w:rPr>
          <w:rFonts w:hint="eastAsia" w:ascii="黑体" w:hAnsi="黑体" w:eastAsia="黑体"/>
          <w:b w:val="1"/>
          <w:bCs w:val="1"/>
          <w:color w:val="215E99" w:themeColor="text2" w:themeTint="BF"/>
          <w:sz w:val="36"/>
          <w:szCs w:val="36"/>
          <w14:shadow w14:blurRad="50800" w14:dist="38100" w14:dir="2700000" w14:sx="100000" w14:sy="100000" w14:kx="0" w14:ky="0" w14:algn="tl">
            <w14:srgbClr w14:val="000000">
              <w14:alpha w14:val="60000"/>
            </w14:srgbClr>
          </w14:shadow>
        </w:rPr>
        <w:t>第七部分：风险分析与对策</w:t>
      </w:r>
    </w:p>
    <w:p>
      <w:pPr>
        <w:spacing w:before="156" w:beforeLines="50"/>
        <w:ind w:firstLine="420"/>
        <w:rPr>
          <w:rFonts w:hint="eastAsia" w:ascii="宋体" w:hAnsi="宋体"/>
          <w:sz w:val="24"/>
          <w:szCs w:val="24"/>
        </w:rPr>
      </w:pPr>
      <w:r>
        <w:rPr>
          <w:rFonts w:hint="eastAsia" w:ascii="宋体" w:hAnsi="宋体" w:eastAsia="宋体"/>
          <w:sz w:val="24"/>
          <w:szCs w:val="24"/>
        </w:rPr>
        <w:t xml:space="preserve">本项目聚焦商用车内轮差安全预警领域，核心产品基于 </w:t>
      </w:r>
      <w:r>
        <w:rPr>
          <w:rFonts w:hint="eastAsia" w:ascii="宋体" w:hAnsi="宋体" w:eastAsia="宋体"/>
          <w:b w:val="1"/>
          <w:bCs w:val="1"/>
          <w:color w:val="215E99" w:themeColor="text2" w:themeTint="BF"/>
          <w:sz w:val="24"/>
          <w:szCs w:val="24"/>
        </w:rPr>
        <w:t xml:space="preserve">“动态轨迹预测物理模型 + ESP32 轻量化硬件” </w:t>
      </w:r>
      <w:r>
        <w:rPr>
          <w:rFonts w:hint="eastAsia" w:ascii="宋体" w:hAnsi="宋体" w:eastAsia="宋体"/>
          <w:sz w:val="24"/>
          <w:szCs w:val="24"/>
        </w:rPr>
        <w:t>打造，业务覆盖商用车企、物流车队、交通管理部门等多主体，运营过程中面临政策、市场、技术、环境等多维度外部风险与供应链、内部管理等内部风险。本部分采用</w:t>
      </w:r>
      <w:r>
        <w:rPr>
          <w:rFonts w:hint="eastAsia" w:ascii="宋体" w:hAnsi="宋体" w:eastAsia="宋体"/>
          <w:b w:val="1"/>
          <w:bCs w:val="1"/>
          <w:color w:val="215E99" w:themeColor="text2" w:themeTint="BF"/>
          <w:sz w:val="24"/>
          <w:szCs w:val="24"/>
        </w:rPr>
        <w:t>PESTEL 分析框架结合行业特性，系统识别核心风险，并补充供应链专项风险防控，形成 “风险定位 - 根源分析 - 落地对策” 的完整闭环</w:t>
      </w:r>
      <w:r>
        <w:rPr>
          <w:rFonts w:hint="eastAsia" w:ascii="宋体" w:hAnsi="宋体" w:eastAsia="宋体"/>
          <w:sz w:val="24"/>
          <w:szCs w:val="24"/>
        </w:rPr>
        <w:t>，确保项目稳健推进。</w:t>
      </w:r>
    </w:p>
    <w:p>
      <w:pPr>
        <w:spacing w:before="156" w:beforeLines="50"/>
        <w:ind w:firstLine="420"/>
        <w:jc w:val="center"/>
        <w:rPr>
          <w:rFonts w:hint="eastAsia" w:ascii="黑体" w:hAnsi="黑体" w:eastAsia="黑体"/>
          <w:sz w:val="18"/>
          <w:szCs w:val="18"/>
        </w:rPr>
      </w:pPr>
      <w:r>
        <w:rPr>
          <w:rFonts w:hint="eastAsia" w:ascii="宋体" w:hAnsi="宋体"/>
          <w:noProof w:val="1"/>
          <w:sz w:val="24"/>
          <w:szCs w:val="24"/>
        </w:rPr>
        <w:drawing>
          <wp:inline distT="0" distB="0" distL="0" distR="0">
            <wp:extent cx="5046345" cy="4381500"/>
            <wp:effectExtent l="0" t="0" r="1905" b="0"/>
            <wp:docPr id="29" name="图片 21" descr="a05d3df37a8512c5b1ad6f88cc32b245"/>
            <wp:cNvGraphicFramePr/>
            <a:graphic>
              <a:graphicData uri="http://schemas.openxmlformats.org/drawingml/2006/picture">
                <pic:pic>
                  <pic:nvPicPr>
                    <pic:cNvPr id="30" name="图片 21" descr="a05d3df37a8512c5b1ad6f88cc32b245"/>
                    <pic:cNvPicPr/>
                  </pic:nvPicPr>
                  <pic:blipFill>
                    <a:blip r:embed="rId24" cstate="print"/>
                    <a:srcRect/>
                    <a:stretch>
                      <a:fillRect/>
                    </a:stretch>
                  </pic:blipFill>
                  <pic:spPr>
                    <a:xfrm>
                      <a:off x="0" y="0"/>
                      <a:ext cx="5046345" cy="4381500"/>
                    </a:xfrm>
                    <a:prstGeom prst="rect">
                      <a:avLst/>
                    </a:prstGeom>
                  </pic:spPr>
                </pic:pic>
              </a:graphicData>
            </a:graphic>
          </wp:inline>
        </w:drawing>
      </w:r>
      <w:r>
        <w:rPr>
          <w:rFonts w:hint="eastAsia" w:ascii="黑体" w:hAnsi="黑体" w:eastAsia="黑体"/>
          <w:sz w:val="18"/>
          <w:szCs w:val="18"/>
        </w:rPr>
        <w:t xml:space="preserve">图7-1 </w:t>
      </w:r>
    </w:p>
    <w:p>
      <w:pPr>
        <w:spacing w:before="156" w:beforeLines="50"/>
        <w:ind w:firstLine="420"/>
        <w:jc w:val="center"/>
        <w:rPr>
          <w:rFonts w:hint="eastAsia" w:ascii="黑体" w:hAnsi="黑体" w:eastAsia="黑体"/>
          <w:sz w:val="18"/>
          <w:szCs w:val="18"/>
        </w:rPr>
      </w:pPr>
    </w:p>
    <w:p>
      <w:pPr>
        <w:spacing w:before="156" w:beforeLines="50"/>
        <w:ind w:firstLine="420"/>
        <w:jc w:val="center"/>
        <w:rPr>
          <w:rFonts w:hint="eastAsia" w:ascii="黑体" w:hAnsi="黑体" w:eastAsia="黑体"/>
          <w:sz w:val="18"/>
          <w:szCs w:val="18"/>
        </w:rPr>
      </w:pPr>
    </w:p>
    <w:p>
      <w:pPr>
        <w:spacing w:before="156" w:beforeLines="50"/>
        <w:ind w:firstLine="420"/>
        <w:jc w:val="center"/>
        <w:rPr>
          <w:rFonts w:hint="eastAsia" w:ascii="黑体" w:hAnsi="黑体" w:eastAsia="黑体"/>
          <w:sz w:val="18"/>
          <w:szCs w:val="18"/>
        </w:rPr>
      </w:pPr>
    </w:p>
    <w:p>
      <w:pPr>
        <w:spacing w:before="156" w:beforeLines="50"/>
        <w:ind w:firstLine="420"/>
        <w:jc w:val="center"/>
        <w:rPr>
          <w:rFonts w:hint="eastAsia" w:ascii="黑体" w:hAnsi="黑体" w:eastAsia="黑体"/>
          <w:sz w:val="18"/>
          <w:szCs w:val="18"/>
        </w:rPr>
      </w:pPr>
    </w:p>
    <w:p>
      <w:pPr>
        <w:spacing w:before="156" w:beforeLines="50"/>
        <w:ind w:firstLine="420"/>
        <w:jc w:val="center"/>
        <w:rPr>
          <w:rFonts w:hint="eastAsia" w:ascii="黑体" w:hAnsi="黑体" w:eastAsia="黑体"/>
          <w:sz w:val="18"/>
          <w:szCs w:val="18"/>
        </w:rPr>
      </w:pPr>
    </w:p>
    <w:p>
      <w:pPr>
        <w:spacing w:before="156" w:beforeLines="50"/>
        <w:ind w:firstLine="420"/>
        <w:jc w:val="center"/>
        <w:rPr>
          <w:rFonts w:hint="eastAsia" w:ascii="黑体" w:hAnsi="黑体" w:eastAsia="黑体"/>
          <w:sz w:val="18"/>
          <w:szCs w:val="18"/>
        </w:rPr>
      </w:pPr>
    </w:p>
    <w:p>
      <w:pPr>
        <w:spacing w:before="156" w:beforeLines="50"/>
        <w:ind w:firstLine="420"/>
        <w:jc w:val="center"/>
        <w:rPr>
          <w:rFonts w:hint="eastAsia" w:ascii="黑体" w:hAnsi="黑体" w:eastAsia="黑体"/>
          <w:sz w:val="18"/>
          <w:szCs w:val="18"/>
        </w:rPr>
      </w:pPr>
    </w:p>
    <w:p>
      <w:pPr>
        <w:numPr>
          <w:ilvl w:val="0"/>
          <w:numId w:val="4"/>
        </w:numPr>
        <w:spacing w:before="156" w:beforeLines="50"/>
        <w:rPr>
          <w:rFonts w:hint="eastAsia" w:ascii="黑体" w:hAnsi="黑体" w:eastAsia="黑体"/>
          <w:b w:val="1"/>
          <w:bCs w:val="1"/>
          <w:sz w:val="28"/>
          <w:szCs w:val="28"/>
        </w:rPr>
      </w:pPr>
      <w:r>
        <w:rPr>
          <w:rFonts w:hint="eastAsia" w:ascii="黑体" w:hAnsi="黑体" w:eastAsia="黑体"/>
          <w:b w:val="1"/>
          <w:bCs w:val="1"/>
          <w:sz w:val="28"/>
          <w:szCs w:val="28"/>
        </w:rPr>
        <w:t>PESTEL框架下的核心风险与防控对策</w:t>
      </w:r>
    </w:p>
    <w:p>
      <w:pPr>
        <w:numPr>
          <w:ilvl w:val="0"/>
          <w:numId w:val="5"/>
        </w:numPr>
        <w:spacing w:before="156" w:beforeLines="50"/>
        <w:rPr>
          <w:rFonts w:hint="eastAsia" w:ascii="宋体" w:hAnsi="宋体" w:eastAsia="宋体"/>
          <w:b w:val="1"/>
          <w:bCs w:val="1"/>
          <w:sz w:val="24"/>
          <w:szCs w:val="24"/>
        </w:rPr>
      </w:pPr>
      <w:r>
        <w:rPr>
          <w:rFonts w:hint="eastAsia" w:ascii="宋体" w:hAnsi="宋体" w:eastAsia="宋体"/>
          <w:b w:val="1"/>
          <w:bCs w:val="1"/>
          <w:sz w:val="24"/>
          <w:szCs w:val="24"/>
        </w:rPr>
        <w:t>政治风险</w:t>
      </w:r>
    </w:p>
    <w:p>
      <w:pPr>
        <w:numPr>
          <w:ilvl w:val="0"/>
          <w:numId w:val="6"/>
        </w:numPr>
        <w:spacing w:before="156" w:beforeLines="50"/>
        <w:ind w:firstLine="480" w:firstLineChars="200"/>
        <w:rPr>
          <w:rFonts w:hint="eastAsia" w:ascii="宋体" w:hAnsi="宋体" w:eastAsia="宋体"/>
          <w:sz w:val="24"/>
          <w:szCs w:val="24"/>
        </w:rPr>
      </w:pPr>
      <w:r>
        <w:rPr>
          <w:rFonts w:hint="eastAsia" w:ascii="宋体" w:hAnsi="宋体" w:eastAsia="宋体"/>
          <w:sz w:val="24"/>
          <w:szCs w:val="24"/>
        </w:rPr>
        <w:t>核心风险识别</w:t>
      </w:r>
    </w:p>
    <w:p>
      <w:pPr>
        <w:numPr>
          <w:ilvl w:val="0"/>
          <w:numId w:val="7"/>
        </w:numPr>
        <w:spacing w:before="156" w:beforeLines="50"/>
        <w:ind w:firstLine="480" w:firstLineChars="200"/>
        <w:rPr>
          <w:rFonts w:hint="eastAsia" w:ascii="宋体" w:hAnsi="宋体"/>
          <w:sz w:val="24"/>
          <w:szCs w:val="24"/>
        </w:rPr>
      </w:pPr>
      <w:r>
        <w:rPr>
          <w:rFonts w:hint="eastAsia" w:ascii="宋体" w:hAnsi="宋体" w:eastAsia="宋体"/>
          <w:sz w:val="24"/>
          <w:szCs w:val="24"/>
        </w:rPr>
        <w:t>国内商用车安全装置相关国标（如 GB7258）、行业标准迭代更新，新增动态预警、功能安全认证等强制要求，产品需重新适配整改，增加研发成本与落地周期；</w:t>
      </w:r>
    </w:p>
    <w:p>
      <w:pPr>
        <w:numPr>
          <w:ilvl w:val="0"/>
          <w:numId w:val="7"/>
        </w:numPr>
        <w:spacing w:before="156" w:beforeLines="50"/>
        <w:ind w:firstLine="482" w:firstLineChars="200"/>
        <w:rPr>
          <w:rFonts w:hint="eastAsia" w:ascii="宋体" w:hAnsi="宋体"/>
          <w:sz w:val="24"/>
          <w:szCs w:val="24"/>
        </w:rPr>
      </w:pPr>
      <w:r>
        <w:rPr>
          <w:rFonts w:hint="eastAsia" w:ascii="宋体" w:hAnsi="宋体" w:eastAsia="宋体"/>
          <w:b w:val="1"/>
          <w:bCs w:val="1"/>
          <w:color w:val="215E99" w:themeColor="text2" w:themeTint="BF"/>
          <w:sz w:val="24"/>
          <w:szCs w:val="24"/>
        </w:rPr>
        <w:t>各地交管部门对车载安全预警设备的准入标准不统一</w:t>
      </w:r>
      <w:r>
        <w:rPr>
          <w:rFonts w:hint="eastAsia" w:ascii="宋体" w:hAnsi="宋体" w:eastAsia="宋体"/>
          <w:sz w:val="24"/>
          <w:szCs w:val="24"/>
        </w:rPr>
        <w:t>，部分地区要求额外备案或检测，形成区域推广壁垒；</w:t>
      </w:r>
    </w:p>
    <w:p>
      <w:pPr>
        <w:numPr>
          <w:ilvl w:val="0"/>
          <w:numId w:val="7"/>
        </w:numPr>
        <w:spacing w:before="156" w:beforeLines="50"/>
        <w:ind w:firstLine="480" w:firstLineChars="200"/>
        <w:rPr>
          <w:rFonts w:hint="eastAsia" w:ascii="宋体" w:hAnsi="宋体"/>
          <w:sz w:val="24"/>
          <w:szCs w:val="24"/>
        </w:rPr>
      </w:pPr>
      <w:r>
        <w:rPr>
          <w:rFonts w:hint="eastAsia" w:ascii="宋体" w:hAnsi="宋体" w:eastAsia="宋体"/>
          <w:sz w:val="24"/>
          <w:szCs w:val="24"/>
        </w:rPr>
        <w:t>国家对商用车新能源化、智能化的政策倾斜，可能导致传统燃油车安全设备采购需求短期收缩，影响存量市场拓展。</w:t>
      </w:r>
    </w:p>
    <w:p>
      <w:pPr>
        <w:numPr>
          <w:ilvl w:val="0"/>
          <w:numId w:val="6"/>
        </w:numPr>
        <w:spacing w:before="156" w:beforeLines="50"/>
        <w:ind w:firstLine="480" w:firstLineChars="200"/>
        <w:rPr>
          <w:rFonts w:hint="eastAsia" w:ascii="宋体" w:hAnsi="宋体"/>
          <w:sz w:val="24"/>
          <w:szCs w:val="24"/>
        </w:rPr>
      </w:pPr>
      <w:r>
        <w:rPr>
          <w:rFonts w:hint="eastAsia" w:ascii="宋体" w:hAnsi="宋体" w:eastAsia="宋体"/>
          <w:sz w:val="24"/>
          <w:szCs w:val="24"/>
        </w:rPr>
        <w:t>应对策略</w:t>
      </w:r>
    </w:p>
    <w:p>
      <w:pPr>
        <w:numPr>
          <w:ilvl w:val="0"/>
          <w:numId w:val="8"/>
        </w:numPr>
        <w:spacing w:before="156" w:beforeLines="50"/>
        <w:ind w:firstLine="480" w:firstLineChars="200"/>
        <w:rPr>
          <w:rFonts w:hint="eastAsia" w:ascii="宋体" w:hAnsi="宋体"/>
          <w:sz w:val="24"/>
          <w:szCs w:val="24"/>
        </w:rPr>
      </w:pPr>
      <w:r>
        <w:rPr>
          <w:rFonts w:hint="eastAsia" w:ascii="宋体" w:hAnsi="宋体" w:eastAsia="宋体"/>
          <w:sz w:val="24"/>
          <w:szCs w:val="24"/>
        </w:rPr>
        <w:t>成立</w:t>
      </w:r>
      <w:r>
        <w:rPr>
          <w:rFonts w:hint="eastAsia" w:ascii="宋体" w:hAnsi="宋体" w:eastAsia="宋体"/>
          <w:b w:val="1"/>
          <w:bCs w:val="1"/>
          <w:color w:val="215E99" w:themeColor="text2" w:themeTint="BF"/>
          <w:sz w:val="24"/>
          <w:szCs w:val="24"/>
        </w:rPr>
        <w:t>政策研究专项小组</w:t>
      </w:r>
      <w:r>
        <w:rPr>
          <w:rFonts w:hint="eastAsia" w:ascii="宋体" w:hAnsi="宋体" w:eastAsia="宋体"/>
          <w:sz w:val="24"/>
          <w:szCs w:val="24"/>
        </w:rPr>
        <w:t>，与</w:t>
      </w:r>
      <w:r>
        <w:rPr>
          <w:rFonts w:hint="eastAsia" w:ascii="宋体" w:hAnsi="宋体" w:eastAsia="宋体"/>
          <w:b w:val="1"/>
          <w:bCs w:val="1"/>
          <w:color w:val="215E99" w:themeColor="text2" w:themeTint="BF"/>
          <w:sz w:val="24"/>
          <w:szCs w:val="24"/>
        </w:rPr>
        <w:t>交通运输标准化研究院、地方交管部门建立常态化沟通机制</w:t>
      </w:r>
      <w:r>
        <w:rPr>
          <w:rFonts w:hint="eastAsia" w:ascii="宋体" w:hAnsi="宋体" w:eastAsia="宋体"/>
          <w:sz w:val="24"/>
          <w:szCs w:val="24"/>
        </w:rPr>
        <w:t>，提前参与内轮差预警相关行业标准研讨，确保产品研发方向与政策导向同步，预留技术适配接口（如预留新能源车型 CAN 总线协议兼容模块）；</w:t>
      </w:r>
    </w:p>
    <w:p>
      <w:pPr>
        <w:numPr>
          <w:ilvl w:val="0"/>
          <w:numId w:val="8"/>
        </w:numPr>
        <w:spacing w:before="156" w:beforeLines="50"/>
        <w:ind w:firstLine="480" w:firstLineChars="200"/>
        <w:rPr>
          <w:rFonts w:hint="eastAsia" w:ascii="宋体" w:hAnsi="宋体"/>
          <w:sz w:val="24"/>
          <w:szCs w:val="24"/>
        </w:rPr>
      </w:pPr>
      <w:r>
        <w:rPr>
          <w:rFonts w:hint="eastAsia" w:ascii="宋体" w:hAnsi="宋体" w:eastAsia="宋体"/>
          <w:sz w:val="24"/>
          <w:szCs w:val="24"/>
        </w:rPr>
        <w:t>产品研发阶段严格对标UNECE R151/R159（国际标准）、GB7258-2022（国标） 等现行规范，完成 CNAS 认证、机动车产品检测等合规性验证，打造 “一证通配” 的产品资质体系，减少区域备案重复工作；</w:t>
      </w:r>
    </w:p>
    <w:p>
      <w:pPr>
        <w:numPr>
          <w:ilvl w:val="0"/>
          <w:numId w:val="8"/>
        </w:numPr>
        <w:spacing w:before="156" w:beforeLines="50"/>
        <w:ind w:firstLine="482" w:firstLineChars="200"/>
        <w:rPr>
          <w:rFonts w:hint="eastAsia" w:ascii="宋体" w:hAnsi="宋体"/>
          <w:sz w:val="24"/>
          <w:szCs w:val="24"/>
        </w:rPr>
      </w:pPr>
      <w:r>
        <w:rPr>
          <w:rFonts w:hint="eastAsia" w:ascii="宋体" w:hAnsi="宋体" w:eastAsia="宋体"/>
          <w:b w:val="1"/>
          <w:bCs w:val="1"/>
          <w:color w:val="215E99" w:themeColor="text2" w:themeTint="BF"/>
          <w:sz w:val="24"/>
          <w:szCs w:val="24"/>
        </w:rPr>
        <w:t>同步布局新能源商用车适配版本</w:t>
      </w:r>
      <w:r>
        <w:rPr>
          <w:rFonts w:hint="eastAsia" w:ascii="宋体" w:hAnsi="宋体" w:eastAsia="宋体"/>
          <w:sz w:val="24"/>
          <w:szCs w:val="24"/>
        </w:rPr>
        <w:t>，针对新能源车型的电源架构、电控系统优化硬件设计与软件算法，抓住新能源商用车年增 300 万辆的市场红利，对冲传统燃油车市场波动风险。</w:t>
      </w:r>
    </w:p>
    <w:p>
      <w:pPr>
        <w:numPr>
          <w:ilvl w:val="0"/>
          <w:numId w:val="5"/>
        </w:numPr>
        <w:spacing w:before="156" w:beforeLines="50"/>
        <w:rPr>
          <w:rFonts w:hint="eastAsia" w:ascii="宋体" w:hAnsi="宋体" w:eastAsia="宋体"/>
          <w:b w:val="1"/>
          <w:bCs w:val="1"/>
          <w:sz w:val="24"/>
          <w:szCs w:val="24"/>
        </w:rPr>
      </w:pPr>
      <w:r>
        <w:rPr>
          <w:rFonts w:hint="eastAsia" w:ascii="宋体" w:hAnsi="宋体" w:eastAsia="宋体"/>
          <w:b w:val="1"/>
          <w:bCs w:val="1"/>
          <w:sz w:val="24"/>
          <w:szCs w:val="24"/>
        </w:rPr>
        <w:t>经济风险</w:t>
      </w:r>
    </w:p>
    <w:p>
      <w:pPr>
        <w:numPr>
          <w:ilvl w:val="0"/>
          <w:numId w:val="9"/>
        </w:numPr>
        <w:spacing w:before="156" w:beforeLines="50"/>
        <w:ind w:firstLine="480" w:firstLineChars="200"/>
        <w:rPr>
          <w:rFonts w:hint="eastAsia" w:ascii="宋体" w:hAnsi="宋体" w:eastAsia="宋体"/>
          <w:sz w:val="24"/>
          <w:szCs w:val="24"/>
        </w:rPr>
      </w:pPr>
      <w:r>
        <w:rPr>
          <w:rFonts w:hint="eastAsia" w:ascii="宋体" w:hAnsi="宋体" w:eastAsia="宋体"/>
          <w:sz w:val="24"/>
          <w:szCs w:val="24"/>
        </w:rPr>
        <w:t>核心风险识别</w:t>
      </w:r>
    </w:p>
    <w:p>
      <w:pPr>
        <w:numPr>
          <w:ilvl w:val="0"/>
          <w:numId w:val="10"/>
        </w:numPr>
        <w:spacing w:before="156" w:beforeLines="50"/>
        <w:ind w:firstLine="480" w:firstLineChars="200"/>
        <w:rPr>
          <w:rFonts w:hint="eastAsia" w:ascii="宋体" w:hAnsi="宋体"/>
          <w:sz w:val="24"/>
          <w:szCs w:val="24"/>
        </w:rPr>
      </w:pPr>
      <w:r>
        <w:rPr>
          <w:rFonts w:hint="eastAsia" w:ascii="宋体" w:hAnsi="宋体" w:eastAsia="宋体"/>
          <w:sz w:val="24"/>
          <w:szCs w:val="24"/>
        </w:rPr>
        <w:t>物流、货运行业受宏观经济影响出现下行，车队企业压缩安全设备采购预算，对产品价格敏感度显著提升；</w:t>
      </w:r>
    </w:p>
    <w:p>
      <w:pPr>
        <w:numPr>
          <w:ilvl w:val="0"/>
          <w:numId w:val="10"/>
        </w:numPr>
        <w:spacing w:before="156" w:beforeLines="50"/>
        <w:ind w:firstLine="480" w:firstLineChars="200"/>
        <w:rPr>
          <w:rFonts w:hint="eastAsia" w:ascii="宋体" w:hAnsi="宋体"/>
          <w:sz w:val="24"/>
          <w:szCs w:val="24"/>
        </w:rPr>
      </w:pPr>
      <w:r>
        <w:rPr>
          <w:rFonts w:hint="eastAsia" w:ascii="宋体" w:hAnsi="宋体" w:eastAsia="宋体"/>
          <w:sz w:val="24"/>
          <w:szCs w:val="24"/>
        </w:rPr>
        <w:t>行业竞品发起低价竞争，以低质低成本产品抢占中小车队市场，冲击本项目的定价体系与市场份额；</w:t>
      </w:r>
    </w:p>
    <w:p>
      <w:pPr>
        <w:numPr>
          <w:ilvl w:val="0"/>
          <w:numId w:val="10"/>
        </w:numPr>
        <w:spacing w:before="156" w:beforeLines="50"/>
        <w:ind w:firstLine="480" w:firstLineChars="200"/>
        <w:rPr>
          <w:rFonts w:hint="eastAsia" w:ascii="宋体" w:hAnsi="宋体"/>
          <w:sz w:val="24"/>
          <w:szCs w:val="24"/>
        </w:rPr>
      </w:pPr>
      <w:r>
        <w:rPr>
          <w:rFonts w:hint="eastAsia" w:ascii="宋体" w:hAnsi="宋体" w:eastAsia="宋体"/>
          <w:sz w:val="24"/>
          <w:szCs w:val="24"/>
        </w:rPr>
        <w:t>芯片（ESP32）、毫米波雷达（LD2450）、角度传感器（AS5600）等核心元器件价格受供应链波动影响上涨，压缩产品利润空间。</w:t>
      </w:r>
    </w:p>
    <w:p>
      <w:pPr>
        <w:numPr>
          <w:ilvl w:val="0"/>
          <w:numId w:val="9"/>
        </w:numPr>
        <w:spacing w:before="156" w:beforeLines="50"/>
        <w:ind w:firstLine="480" w:firstLineChars="200"/>
        <w:rPr>
          <w:rFonts w:hint="eastAsia" w:ascii="宋体" w:hAnsi="宋体"/>
          <w:sz w:val="24"/>
          <w:szCs w:val="24"/>
        </w:rPr>
      </w:pPr>
      <w:r>
        <w:rPr>
          <w:rFonts w:hint="eastAsia" w:ascii="宋体" w:hAnsi="宋体" w:eastAsia="宋体"/>
          <w:sz w:val="24"/>
          <w:szCs w:val="24"/>
        </w:rPr>
        <w:t>应对策略</w:t>
      </w:r>
    </w:p>
    <w:p>
      <w:pPr>
        <w:numPr>
          <w:ilvl w:val="0"/>
          <w:numId w:val="11"/>
        </w:numPr>
        <w:spacing w:before="156" w:beforeLines="50"/>
        <w:ind w:firstLine="482" w:firstLineChars="200"/>
        <w:rPr>
          <w:rFonts w:hint="eastAsia" w:ascii="宋体" w:hAnsi="宋体"/>
          <w:sz w:val="24"/>
          <w:szCs w:val="24"/>
        </w:rPr>
      </w:pPr>
      <w:r>
        <w:rPr>
          <w:rFonts w:hint="eastAsia" w:ascii="宋体" w:hAnsi="宋体" w:eastAsia="宋体"/>
          <w:b w:val="1"/>
          <w:bCs w:val="1"/>
          <w:color w:val="215E99" w:themeColor="text2" w:themeTint="BF"/>
          <w:sz w:val="24"/>
          <w:szCs w:val="24"/>
        </w:rPr>
        <w:t>推出分级定价体系：</w:t>
      </w:r>
      <w:r>
        <w:rPr>
          <w:rFonts w:hint="eastAsia" w:ascii="宋体" w:hAnsi="宋体" w:eastAsia="宋体"/>
          <w:sz w:val="24"/>
          <w:szCs w:val="24"/>
        </w:rPr>
        <w:t>针对中小车队推出 “基础款”（仅核心预警功能），针对大型物流集团推出 “旗舰款”（含车路联动、数据管理），灵活匹配不同客户预算，避免单一价格带竞争；</w:t>
      </w:r>
    </w:p>
    <w:p>
      <w:pPr>
        <w:numPr>
          <w:ilvl w:val="0"/>
          <w:numId w:val="11"/>
        </w:numPr>
        <w:spacing w:before="156" w:beforeLines="50"/>
        <w:ind w:firstLine="482" w:firstLineChars="200"/>
        <w:rPr>
          <w:rFonts w:hint="eastAsia"/>
        </w:rPr>
      </w:pPr>
      <w:r>
        <w:rPr>
          <w:rFonts w:hint="eastAsia" w:ascii="宋体" w:hAnsi="宋体" w:eastAsia="宋体"/>
          <w:b w:val="1"/>
          <w:bCs w:val="1"/>
          <w:color w:val="215E99" w:themeColor="text2" w:themeTint="BF"/>
          <w:sz w:val="24"/>
          <w:szCs w:val="24"/>
        </w:rPr>
        <w:t>强化价值导向营销，不参与低价战：</w:t>
      </w:r>
      <w:r>
        <w:rPr>
          <w:rFonts w:hint="eastAsia" w:ascii="宋体" w:hAnsi="宋体" w:eastAsia="宋体"/>
          <w:sz w:val="24"/>
          <w:szCs w:val="24"/>
        </w:rPr>
        <w:t>通过 “事故降低率 92%+ 年均单车减损 50 万元” 的实测数据，突出产品的风险管控价值，同时与保险公司合作推出 “安装即享保费优惠 10%-20%” 政策，降低客户实际使用成本；</w:t>
      </w:r>
    </w:p>
    <w:p>
      <w:pPr>
        <w:numPr>
          <w:ilvl w:val="0"/>
          <w:numId w:val="11"/>
        </w:numPr>
        <w:spacing w:before="156" w:beforeLines="50"/>
        <w:ind w:firstLine="482" w:firstLineChars="200"/>
        <w:rPr>
          <w:rFonts w:hint="eastAsia" w:ascii="宋体" w:hAnsi="宋体"/>
          <w:sz w:val="24"/>
          <w:szCs w:val="24"/>
        </w:rPr>
      </w:pPr>
      <w:r>
        <w:rPr>
          <w:rFonts w:hint="eastAsia" w:ascii="宋体" w:hAnsi="宋体" w:eastAsia="宋体"/>
          <w:b w:val="1"/>
          <w:bCs w:val="1"/>
          <w:color w:val="215E99" w:themeColor="text2" w:themeTint="BF"/>
          <w:sz w:val="24"/>
          <w:szCs w:val="24"/>
        </w:rPr>
        <w:t>建立成本动态管控体系：</w:t>
      </w:r>
      <w:r>
        <w:rPr>
          <w:rFonts w:hint="eastAsia" w:ascii="宋体" w:hAnsi="宋体" w:eastAsia="宋体"/>
          <w:sz w:val="24"/>
          <w:szCs w:val="24"/>
        </w:rPr>
        <w:t>与核心元器件供应商签订长期锁价协议，通过批量采购降低单价；同时搭建国产替代供应链（如 ESP32 国内替代型号、国产毫米波雷达），当元器件价格涨幅超过 5% 时，启动替代方案切换。</w:t>
      </w:r>
    </w:p>
    <w:p>
      <w:pPr>
        <w:numPr>
          <w:ilvl w:val="0"/>
          <w:numId w:val="5"/>
        </w:numPr>
        <w:spacing w:before="156" w:beforeLines="50"/>
        <w:rPr>
          <w:rFonts w:hint="eastAsia" w:ascii="宋体" w:hAnsi="宋体" w:eastAsia="宋体"/>
          <w:b w:val="1"/>
          <w:bCs w:val="1"/>
          <w:sz w:val="24"/>
          <w:szCs w:val="24"/>
        </w:rPr>
      </w:pPr>
      <w:r>
        <w:rPr>
          <w:rFonts w:hint="eastAsia" w:ascii="宋体" w:hAnsi="宋体" w:eastAsia="宋体"/>
          <w:b w:val="1"/>
          <w:bCs w:val="1"/>
          <w:sz w:val="24"/>
          <w:szCs w:val="24"/>
        </w:rPr>
        <w:t>社会风险</w:t>
      </w:r>
    </w:p>
    <w:p>
      <w:pPr>
        <w:numPr>
          <w:ilvl w:val="0"/>
          <w:numId w:val="12"/>
        </w:numPr>
        <w:spacing w:before="156" w:beforeLines="50"/>
        <w:ind w:firstLine="480" w:firstLineChars="200"/>
        <w:rPr>
          <w:rFonts w:hint="eastAsia" w:ascii="宋体" w:hAnsi="宋体" w:eastAsia="宋体"/>
          <w:sz w:val="24"/>
          <w:szCs w:val="24"/>
        </w:rPr>
      </w:pPr>
      <w:r>
        <w:rPr>
          <w:rFonts w:hint="eastAsia" w:ascii="宋体" w:hAnsi="宋体" w:eastAsia="宋体"/>
          <w:sz w:val="24"/>
          <w:szCs w:val="24"/>
        </w:rPr>
        <w:t>核心风险识别</w:t>
      </w:r>
    </w:p>
    <w:p>
      <w:pPr>
        <w:numPr>
          <w:ilvl w:val="0"/>
          <w:numId w:val="13"/>
        </w:numPr>
        <w:spacing w:before="156" w:beforeLines="50"/>
        <w:ind w:firstLine="480" w:firstLineChars="200"/>
        <w:rPr>
          <w:rFonts w:hint="eastAsia" w:ascii="宋体" w:hAnsi="宋体"/>
          <w:sz w:val="24"/>
          <w:szCs w:val="24"/>
        </w:rPr>
      </w:pPr>
      <w:r>
        <w:rPr>
          <w:rFonts w:hint="eastAsia" w:ascii="宋体" w:hAnsi="宋体" w:eastAsia="宋体"/>
          <w:sz w:val="24"/>
          <w:szCs w:val="24"/>
        </w:rPr>
        <w:t xml:space="preserve">公众对内轮差 “死亡弯月” </w:t>
      </w:r>
      <w:r>
        <w:rPr>
          <w:rFonts w:hint="eastAsia" w:ascii="宋体" w:hAnsi="宋体" w:eastAsia="宋体"/>
          <w:b w:val="1"/>
          <w:bCs w:val="1"/>
          <w:color w:val="215E99" w:themeColor="text2" w:themeTint="BF"/>
          <w:sz w:val="24"/>
          <w:szCs w:val="24"/>
        </w:rPr>
        <w:t>风险认知不足</w:t>
      </w:r>
      <w:r>
        <w:rPr>
          <w:rFonts w:hint="eastAsia" w:ascii="宋体" w:hAnsi="宋体" w:eastAsia="宋体"/>
          <w:sz w:val="24"/>
          <w:szCs w:val="24"/>
        </w:rPr>
        <w:t>，部分行人、非机动车驾驶员对预警信号（声光、激光投影）视而不见，影响产品实际防护效果；</w:t>
      </w:r>
    </w:p>
    <w:p>
      <w:pPr>
        <w:numPr>
          <w:ilvl w:val="0"/>
          <w:numId w:val="14"/>
        </w:numPr>
        <w:spacing w:before="156" w:beforeLines="50"/>
        <w:ind w:firstLine="480" w:firstLineChars="200"/>
        <w:rPr>
          <w:rFonts w:hint="eastAsia" w:ascii="宋体" w:hAnsi="宋体"/>
          <w:sz w:val="24"/>
          <w:szCs w:val="24"/>
        </w:rPr>
      </w:pPr>
      <w:r>
        <w:rPr>
          <w:rFonts w:hint="eastAsia" w:ascii="宋体" w:hAnsi="宋体" w:eastAsia="宋体"/>
          <w:sz w:val="24"/>
          <w:szCs w:val="24"/>
        </w:rPr>
        <w:t>商用车司机操作</w:t>
      </w:r>
      <w:r>
        <w:rPr>
          <w:rFonts w:hint="eastAsia" w:ascii="宋体" w:hAnsi="宋体" w:eastAsia="宋体"/>
          <w:b w:val="1"/>
          <w:bCs w:val="1"/>
          <w:color w:val="215E99" w:themeColor="text2" w:themeTint="BF"/>
          <w:sz w:val="24"/>
          <w:szCs w:val="24"/>
        </w:rPr>
        <w:t>习惯固化</w:t>
      </w:r>
      <w:r>
        <w:rPr>
          <w:rFonts w:hint="eastAsia" w:ascii="宋体" w:hAnsi="宋体" w:eastAsia="宋体"/>
          <w:sz w:val="24"/>
          <w:szCs w:val="24"/>
        </w:rPr>
        <w:t xml:space="preserve">，部分司机因传统预警设备误报率高形成 </w:t>
      </w:r>
      <w:r>
        <w:rPr>
          <w:rFonts w:hint="eastAsia" w:ascii="宋体" w:hAnsi="宋体" w:eastAsia="宋体"/>
          <w:b w:val="1"/>
          <w:bCs w:val="1"/>
          <w:color w:val="215E99" w:themeColor="text2" w:themeTint="BF"/>
          <w:sz w:val="24"/>
          <w:szCs w:val="24"/>
        </w:rPr>
        <w:t>“听觉疲劳”</w:t>
      </w:r>
      <w:r>
        <w:rPr>
          <w:rFonts w:hint="eastAsia" w:ascii="宋体" w:hAnsi="宋体" w:eastAsia="宋体"/>
          <w:sz w:val="24"/>
          <w:szCs w:val="24"/>
        </w:rPr>
        <w:t>，可能刻意关闭本项目预警功能；</w:t>
      </w:r>
    </w:p>
    <w:p>
      <w:pPr>
        <w:numPr>
          <w:ilvl w:val="0"/>
          <w:numId w:val="14"/>
        </w:numPr>
        <w:spacing w:before="156" w:beforeLines="50"/>
        <w:ind w:firstLine="480" w:firstLineChars="200"/>
        <w:rPr>
          <w:rFonts w:hint="eastAsia" w:ascii="宋体" w:hAnsi="宋体"/>
          <w:sz w:val="24"/>
          <w:szCs w:val="24"/>
        </w:rPr>
      </w:pPr>
      <w:r>
        <w:rPr>
          <w:rFonts w:hint="eastAsia" w:ascii="宋体" w:hAnsi="宋体" w:eastAsia="宋体"/>
          <w:sz w:val="24"/>
          <w:szCs w:val="24"/>
        </w:rPr>
        <w:t>社会对车载安全设备的功能期望过高，易因极端场景（如暴雨天雷达探测受限）的偶发漏报产生</w:t>
      </w:r>
      <w:r>
        <w:rPr>
          <w:rFonts w:hint="eastAsia" w:ascii="宋体" w:hAnsi="宋体" w:eastAsia="宋体"/>
          <w:b w:val="1"/>
          <w:bCs w:val="1"/>
          <w:color w:val="215E99" w:themeColor="text2" w:themeTint="BF"/>
          <w:sz w:val="24"/>
          <w:szCs w:val="24"/>
        </w:rPr>
        <w:t>负面舆情</w:t>
      </w:r>
      <w:r>
        <w:rPr>
          <w:rFonts w:hint="eastAsia" w:ascii="宋体" w:hAnsi="宋体" w:eastAsia="宋体"/>
          <w:sz w:val="24"/>
          <w:szCs w:val="24"/>
        </w:rPr>
        <w:t>。</w:t>
      </w:r>
    </w:p>
    <w:p>
      <w:pPr>
        <w:numPr>
          <w:ilvl w:val="0"/>
          <w:numId w:val="12"/>
        </w:numPr>
        <w:spacing w:before="156" w:beforeLines="50"/>
        <w:ind w:firstLine="480" w:firstLineChars="200"/>
        <w:rPr>
          <w:rFonts w:hint="eastAsia" w:ascii="宋体" w:hAnsi="宋体"/>
          <w:sz w:val="24"/>
          <w:szCs w:val="24"/>
        </w:rPr>
      </w:pPr>
      <w:r>
        <w:rPr>
          <w:rFonts w:hint="eastAsia" w:ascii="宋体" w:hAnsi="宋体" w:eastAsia="宋体"/>
          <w:sz w:val="24"/>
          <w:szCs w:val="24"/>
        </w:rPr>
        <w:t>应对策略</w:t>
      </w:r>
    </w:p>
    <w:p>
      <w:pPr>
        <w:numPr>
          <w:ilvl w:val="0"/>
          <w:numId w:val="15"/>
        </w:numPr>
        <w:spacing w:before="156" w:beforeLines="50"/>
        <w:ind w:firstLine="482" w:firstLineChars="200"/>
        <w:rPr>
          <w:rFonts w:hint="eastAsia" w:ascii="宋体" w:hAnsi="宋体"/>
          <w:sz w:val="24"/>
          <w:szCs w:val="24"/>
        </w:rPr>
      </w:pPr>
      <w:r>
        <w:rPr>
          <w:rFonts w:hint="eastAsia" w:ascii="宋体" w:hAnsi="宋体" w:eastAsia="宋体"/>
          <w:b w:val="1"/>
          <w:bCs w:val="1"/>
          <w:color w:val="215E99" w:themeColor="text2" w:themeTint="BF"/>
          <w:sz w:val="24"/>
          <w:szCs w:val="24"/>
        </w:rPr>
        <w:t>联合交管部门、物流协会开展公益科普行动：</w:t>
      </w:r>
      <w:r>
        <w:rPr>
          <w:rFonts w:hint="eastAsia" w:ascii="宋体" w:hAnsi="宋体" w:eastAsia="宋体"/>
          <w:sz w:val="24"/>
          <w:szCs w:val="24"/>
        </w:rPr>
        <w:t>通过路口公益警示屏、短视频科普、司机安全培训等形式，提升公众对 “死亡弯月” 的认知，同时将产品预警信号与路口交通信号灯、地面警示标识联动，强化信号权威性；</w:t>
      </w:r>
    </w:p>
    <w:p>
      <w:pPr>
        <w:numPr>
          <w:ilvl w:val="0"/>
          <w:numId w:val="15"/>
        </w:numPr>
        <w:spacing w:before="156" w:beforeLines="50"/>
        <w:ind w:firstLine="482" w:firstLineChars="200"/>
        <w:rPr>
          <w:rFonts w:hint="eastAsia" w:ascii="宋体" w:hAnsi="宋体"/>
          <w:sz w:val="24"/>
          <w:szCs w:val="24"/>
        </w:rPr>
      </w:pPr>
      <w:r>
        <w:rPr>
          <w:rFonts w:hint="eastAsia" w:ascii="宋体" w:hAnsi="宋体" w:eastAsia="宋体"/>
          <w:b w:val="1"/>
          <w:bCs w:val="1"/>
          <w:color w:val="215E99" w:themeColor="text2" w:themeTint="BF"/>
          <w:sz w:val="24"/>
          <w:szCs w:val="24"/>
        </w:rPr>
        <w:t>优化产品交互设计：</w:t>
      </w:r>
      <w:r>
        <w:rPr>
          <w:rFonts w:hint="eastAsia" w:ascii="宋体" w:hAnsi="宋体" w:eastAsia="宋体"/>
          <w:sz w:val="24"/>
          <w:szCs w:val="24"/>
        </w:rPr>
        <w:t>采用 “分级轻量预警”（低风险提示音、高风险声光 + 震动），避免频繁报警；同时为车队提供设备使用培训，将设备使用率与司机绩效考核挂钩，配套 “误报反馈快速响应机制”，24 小时内优化算法参数；</w:t>
      </w:r>
    </w:p>
    <w:p>
      <w:pPr>
        <w:numPr>
          <w:ilvl w:val="0"/>
          <w:numId w:val="15"/>
        </w:numPr>
        <w:spacing w:before="156" w:beforeLines="50"/>
        <w:ind w:firstLine="482" w:firstLineChars="200"/>
        <w:rPr>
          <w:rFonts w:hint="eastAsia" w:ascii="宋体" w:hAnsi="宋体"/>
          <w:sz w:val="24"/>
          <w:szCs w:val="24"/>
        </w:rPr>
      </w:pPr>
      <w:r>
        <w:rPr>
          <w:rFonts w:hint="eastAsia" w:ascii="宋体" w:hAnsi="宋体" w:eastAsia="宋体"/>
          <w:b w:val="1"/>
          <w:bCs w:val="1"/>
          <w:color w:val="215E99" w:themeColor="text2" w:themeTint="BF"/>
          <w:sz w:val="24"/>
          <w:szCs w:val="24"/>
        </w:rPr>
        <w:t>明确产品功能边界：</w:t>
      </w:r>
      <w:r>
        <w:rPr>
          <w:rFonts w:hint="eastAsia" w:ascii="宋体" w:hAnsi="宋体" w:eastAsia="宋体"/>
          <w:sz w:val="24"/>
          <w:szCs w:val="24"/>
        </w:rPr>
        <w:t>在产品手册、宣传资料中如实标注适用场景（如雷达探测距离上限、极端天气预警精度），同时建立客户售后沟通群，对极端场景问题快速响应，通过算法迭代优化化解负面舆情。</w:t>
      </w:r>
    </w:p>
    <w:p>
      <w:pPr>
        <w:numPr>
          <w:ilvl w:val="0"/>
          <w:numId w:val="5"/>
        </w:numPr>
        <w:spacing w:before="156" w:beforeLines="50"/>
        <w:rPr>
          <w:rFonts w:hint="eastAsia" w:ascii="宋体" w:hAnsi="宋体" w:eastAsia="宋体"/>
          <w:b w:val="1"/>
          <w:bCs w:val="1"/>
          <w:sz w:val="24"/>
          <w:szCs w:val="24"/>
        </w:rPr>
      </w:pPr>
      <w:r>
        <w:rPr>
          <w:rFonts w:hint="eastAsia" w:ascii="宋体" w:hAnsi="宋体" w:eastAsia="宋体"/>
          <w:b w:val="1"/>
          <w:bCs w:val="1"/>
          <w:sz w:val="24"/>
          <w:szCs w:val="24"/>
        </w:rPr>
        <w:t>技术风险</w:t>
      </w:r>
    </w:p>
    <w:p>
      <w:pPr>
        <w:spacing w:before="156" w:beforeLines="50"/>
        <w:ind w:left="480"/>
        <w:rPr>
          <w:rFonts w:hint="eastAsia" w:ascii="宋体" w:hAnsi="宋体" w:eastAsia="宋体"/>
          <w:b w:val="1"/>
          <w:bCs w:val="1"/>
          <w:sz w:val="24"/>
          <w:szCs w:val="24"/>
        </w:rPr>
      </w:pPr>
      <w:r>
        <w:rPr>
          <w:rFonts w:hint="eastAsia" w:ascii="宋体" w:hAnsi="宋体" w:eastAsia="宋体"/>
          <w:sz w:val="24"/>
          <w:szCs w:val="24"/>
        </w:rPr>
        <w:t>1.核心风险识别</w:t>
      </w:r>
    </w:p>
    <w:p>
      <w:pPr>
        <w:numPr>
          <w:ilvl w:val="0"/>
          <w:numId w:val="16"/>
        </w:numPr>
        <w:spacing w:before="156" w:beforeLines="50"/>
        <w:ind w:firstLine="480" w:firstLineChars="200"/>
        <w:rPr>
          <w:rFonts w:hint="eastAsia" w:ascii="宋体" w:hAnsi="宋体"/>
          <w:sz w:val="24"/>
          <w:szCs w:val="24"/>
        </w:rPr>
      </w:pPr>
      <w:r>
        <w:rPr>
          <w:rFonts w:hint="eastAsia" w:ascii="宋体" w:hAnsi="宋体" w:eastAsia="宋体"/>
          <w:sz w:val="24"/>
          <w:szCs w:val="24"/>
        </w:rPr>
        <w:t>核心动态轨迹预测算法、ICCT+TF 内轮差定义被竞品模仿，技术壁垒被突破；</w:t>
      </w:r>
    </w:p>
    <w:p>
      <w:pPr>
        <w:numPr>
          <w:ilvl w:val="0"/>
          <w:numId w:val="16"/>
        </w:numPr>
        <w:spacing w:before="156" w:beforeLines="50"/>
        <w:ind w:firstLine="480" w:firstLineChars="200"/>
        <w:rPr>
          <w:rFonts w:hint="eastAsia" w:ascii="宋体" w:hAnsi="宋体"/>
          <w:sz w:val="24"/>
          <w:szCs w:val="24"/>
        </w:rPr>
      </w:pPr>
      <w:r>
        <w:rPr>
          <w:rFonts w:hint="eastAsia" w:ascii="宋体" w:hAnsi="宋体" w:eastAsia="宋体"/>
          <w:sz w:val="24"/>
          <w:szCs w:val="24"/>
        </w:rPr>
        <w:t>纯雷达方案在复杂路口（行人与栏杆混行、非机动车快速横穿）的目标识别精度，弱于视觉 AI 方案，存在少量误报 / 漏报；</w:t>
      </w:r>
    </w:p>
    <w:p>
      <w:pPr>
        <w:numPr>
          <w:ilvl w:val="0"/>
          <w:numId w:val="16"/>
        </w:numPr>
        <w:spacing w:before="156" w:beforeLines="50"/>
        <w:ind w:firstLine="480" w:firstLineChars="200"/>
        <w:rPr>
          <w:rFonts w:hint="eastAsia" w:ascii="宋体" w:hAnsi="宋体"/>
          <w:sz w:val="24"/>
          <w:szCs w:val="24"/>
        </w:rPr>
      </w:pPr>
      <w:r>
        <w:rPr>
          <w:rFonts w:hint="eastAsia" w:ascii="宋体" w:hAnsi="宋体" w:eastAsia="宋体"/>
          <w:sz w:val="24"/>
          <w:szCs w:val="24"/>
        </w:rPr>
        <w:t>头部企业推出 “视觉 + 雷达 + AI” 一体化方案，技术迭代速度超过本项目研发进度。</w:t>
      </w:r>
    </w:p>
    <w:p>
      <w:pPr>
        <w:spacing w:before="156" w:beforeLines="50"/>
        <w:ind w:left="480"/>
        <w:rPr>
          <w:rFonts w:hint="eastAsia" w:ascii="宋体" w:hAnsi="宋体"/>
          <w:sz w:val="24"/>
          <w:szCs w:val="24"/>
        </w:rPr>
      </w:pPr>
      <w:r>
        <w:rPr>
          <w:rFonts w:hint="eastAsia" w:ascii="宋体" w:hAnsi="宋体" w:eastAsia="宋体"/>
          <w:sz w:val="24"/>
          <w:szCs w:val="24"/>
        </w:rPr>
        <w:t>2.应对策略</w:t>
      </w:r>
    </w:p>
    <w:p>
      <w:pPr>
        <w:numPr>
          <w:ilvl w:val="0"/>
          <w:numId w:val="17"/>
        </w:numPr>
        <w:spacing w:before="156" w:beforeLines="50"/>
        <w:ind w:firstLine="482" w:firstLineChars="200"/>
        <w:rPr>
          <w:rFonts w:hint="eastAsia" w:ascii="宋体" w:hAnsi="宋体"/>
          <w:sz w:val="24"/>
          <w:szCs w:val="24"/>
        </w:rPr>
      </w:pPr>
      <w:r>
        <w:rPr>
          <w:rFonts w:hint="eastAsia" w:ascii="宋体" w:hAnsi="宋体" w:eastAsia="宋体"/>
          <w:b w:val="1"/>
          <w:bCs w:val="1"/>
          <w:color w:val="215E99" w:themeColor="text2" w:themeTint="BF"/>
          <w:sz w:val="24"/>
          <w:szCs w:val="24"/>
        </w:rPr>
        <w:t>加快知识产权布局：</w:t>
      </w:r>
      <w:r>
        <w:rPr>
          <w:rFonts w:hint="eastAsia" w:ascii="宋体" w:hAnsi="宋体" w:eastAsia="宋体"/>
          <w:sz w:val="24"/>
          <w:szCs w:val="24"/>
        </w:rPr>
        <w:t>为动态轨迹预测算法、物理模型建模方法申请发明专利，为嵌入式代码、硬件设计申请软件著作权与实用新型专利，构建 “算法 - 硬件 - 软件” 的全链条知识产权保护体系；</w:t>
      </w:r>
    </w:p>
    <w:p>
      <w:pPr>
        <w:numPr>
          <w:ilvl w:val="0"/>
          <w:numId w:val="17"/>
        </w:numPr>
        <w:spacing w:before="156" w:beforeLines="50"/>
        <w:ind w:firstLine="482" w:firstLineChars="200"/>
        <w:rPr>
          <w:rFonts w:hint="eastAsia" w:ascii="宋体" w:hAnsi="宋体"/>
          <w:sz w:val="24"/>
          <w:szCs w:val="24"/>
        </w:rPr>
      </w:pPr>
      <w:r>
        <w:rPr>
          <w:rFonts w:hint="eastAsia" w:ascii="宋体" w:hAnsi="宋体" w:eastAsia="宋体"/>
          <w:b w:val="1"/>
          <w:bCs w:val="1"/>
          <w:color w:val="215E99" w:themeColor="text2" w:themeTint="BF"/>
          <w:sz w:val="24"/>
          <w:szCs w:val="24"/>
        </w:rPr>
        <w:t>启动二代产品研发：</w:t>
      </w:r>
      <w:r>
        <w:rPr>
          <w:rFonts w:hint="eastAsia" w:ascii="宋体" w:hAnsi="宋体" w:eastAsia="宋体"/>
          <w:sz w:val="24"/>
          <w:szCs w:val="24"/>
        </w:rPr>
        <w:t>在现有雷达方案基础上增加低成本单目视觉模块，实现 “雷达 + 视觉” 融合感知，提升目标识别精度；同时保留物理模型可解释性优势，避免陷入纯黑盒 AI 的合规风险；</w:t>
      </w:r>
    </w:p>
    <w:p>
      <w:pPr>
        <w:numPr>
          <w:ilvl w:val="0"/>
          <w:numId w:val="17"/>
        </w:numPr>
        <w:spacing w:before="156" w:beforeLines="50"/>
        <w:ind w:firstLine="482" w:firstLineChars="200"/>
        <w:rPr>
          <w:rFonts w:hint="eastAsia" w:ascii="宋体" w:hAnsi="宋体"/>
          <w:sz w:val="24"/>
          <w:szCs w:val="24"/>
        </w:rPr>
      </w:pPr>
      <w:r>
        <w:rPr>
          <w:rFonts w:hint="eastAsia" w:ascii="宋体" w:hAnsi="宋体" w:eastAsia="宋体"/>
          <w:b w:val="1"/>
          <w:bCs w:val="1"/>
          <w:color w:val="215E99" w:themeColor="text2" w:themeTint="BF"/>
          <w:sz w:val="24"/>
          <w:szCs w:val="24"/>
        </w:rPr>
        <w:t>采用 “轻量化迭代” 策略：</w:t>
      </w:r>
      <w:r>
        <w:rPr>
          <w:rFonts w:hint="eastAsia" w:ascii="宋体" w:hAnsi="宋体" w:eastAsia="宋体"/>
          <w:sz w:val="24"/>
          <w:szCs w:val="24"/>
        </w:rPr>
        <w:t>组建快速研发团队，保持每月 1 次算法小版本更新、每季度 1 次硬件优化，聚焦 “低成本、高适配性” 核心定位，不盲目追求高算力，针对商用车实际场景打造差异化技术优势。</w:t>
      </w:r>
    </w:p>
    <w:p>
      <w:pPr>
        <w:numPr>
          <w:ilvl w:val="0"/>
          <w:numId w:val="5"/>
        </w:numPr>
        <w:spacing w:before="156" w:beforeLines="50"/>
        <w:rPr>
          <w:rFonts w:hint="eastAsia" w:ascii="宋体" w:hAnsi="宋体" w:eastAsia="宋体"/>
          <w:b w:val="1"/>
          <w:bCs w:val="1"/>
          <w:sz w:val="24"/>
          <w:szCs w:val="24"/>
        </w:rPr>
      </w:pPr>
      <w:r>
        <w:rPr>
          <w:rFonts w:hint="eastAsia" w:ascii="宋体" w:hAnsi="宋体" w:eastAsia="宋体"/>
          <w:b w:val="1"/>
          <w:bCs w:val="1"/>
          <w:sz w:val="24"/>
          <w:szCs w:val="24"/>
        </w:rPr>
        <w:t>环境风险</w:t>
      </w:r>
    </w:p>
    <w:p>
      <w:pPr>
        <w:spacing w:before="156" w:beforeLines="50"/>
        <w:ind w:left="480"/>
        <w:rPr>
          <w:rFonts w:hint="eastAsia" w:ascii="宋体" w:hAnsi="宋体" w:eastAsia="宋体"/>
          <w:b w:val="1"/>
          <w:bCs w:val="1"/>
          <w:sz w:val="24"/>
          <w:szCs w:val="24"/>
        </w:rPr>
      </w:pPr>
      <w:r>
        <w:rPr>
          <w:rFonts w:hint="eastAsia" w:ascii="宋体" w:hAnsi="宋体" w:eastAsia="宋体"/>
          <w:sz w:val="24"/>
          <w:szCs w:val="24"/>
        </w:rPr>
        <w:t>1.核心风险识别</w:t>
      </w:r>
    </w:p>
    <w:p>
      <w:pPr>
        <w:numPr>
          <w:ilvl w:val="0"/>
          <w:numId w:val="18"/>
        </w:numPr>
        <w:spacing w:before="156" w:beforeLines="50"/>
        <w:ind w:firstLine="480" w:firstLineChars="200"/>
        <w:rPr>
          <w:rFonts w:hint="eastAsia" w:ascii="宋体" w:hAnsi="宋体"/>
          <w:sz w:val="24"/>
          <w:szCs w:val="24"/>
        </w:rPr>
      </w:pPr>
      <w:r>
        <w:rPr>
          <w:rFonts w:hint="eastAsia" w:ascii="宋体" w:hAnsi="宋体" w:eastAsia="宋体"/>
          <w:sz w:val="24"/>
          <w:szCs w:val="24"/>
        </w:rPr>
        <w:t>车载环境存在强电磁干扰（发动机、车载电台）、电源电压剧烈波动（12V-24V 切换）、恶劣天气（雨雾、强光、扬尘）等问题，影响传感器、雷达的采集精度，导致预警误差；</w:t>
      </w:r>
    </w:p>
    <w:p>
      <w:pPr>
        <w:numPr>
          <w:ilvl w:val="0"/>
          <w:numId w:val="18"/>
        </w:numPr>
        <w:spacing w:before="156" w:beforeLines="50"/>
        <w:ind w:firstLine="480" w:firstLineChars="200"/>
        <w:rPr>
          <w:rFonts w:hint="eastAsia" w:ascii="宋体" w:hAnsi="宋体"/>
          <w:sz w:val="24"/>
          <w:szCs w:val="24"/>
        </w:rPr>
      </w:pPr>
      <w:r>
        <w:rPr>
          <w:rFonts w:hint="eastAsia" w:ascii="宋体" w:hAnsi="宋体" w:eastAsia="宋体"/>
          <w:sz w:val="24"/>
          <w:szCs w:val="24"/>
        </w:rPr>
        <w:t>不同地区道路工况差异大（如山区窄路、城市环岛、矿区陡坡路口），动态轨迹预测模型无法全场景适配，部分场景预警精度下降。</w:t>
      </w:r>
    </w:p>
    <w:p>
      <w:pPr>
        <w:spacing w:before="156" w:beforeLines="50"/>
        <w:ind w:left="480"/>
        <w:rPr>
          <w:rFonts w:hint="eastAsia" w:ascii="宋体" w:hAnsi="宋体"/>
          <w:sz w:val="24"/>
          <w:szCs w:val="24"/>
        </w:rPr>
      </w:pPr>
      <w:r>
        <w:rPr>
          <w:rFonts w:hint="eastAsia" w:ascii="宋体" w:hAnsi="宋体" w:eastAsia="宋体"/>
          <w:sz w:val="24"/>
          <w:szCs w:val="24"/>
        </w:rPr>
        <w:t>2.应对策略</w:t>
      </w:r>
    </w:p>
    <w:p>
      <w:pPr>
        <w:numPr>
          <w:ilvl w:val="0"/>
          <w:numId w:val="19"/>
        </w:numPr>
        <w:spacing w:before="156" w:beforeLines="50"/>
        <w:ind w:firstLine="482" w:firstLineChars="200"/>
        <w:rPr>
          <w:rFonts w:hint="eastAsia" w:ascii="宋体" w:hAnsi="宋体"/>
          <w:sz w:val="24"/>
          <w:szCs w:val="24"/>
        </w:rPr>
      </w:pPr>
      <w:r>
        <w:rPr>
          <w:rFonts w:hint="eastAsia" w:ascii="宋体" w:hAnsi="宋体" w:eastAsia="宋体"/>
          <w:b w:val="1"/>
          <w:bCs w:val="1"/>
          <w:color w:val="215E99" w:themeColor="text2" w:themeTint="BF"/>
          <w:sz w:val="24"/>
          <w:szCs w:val="24"/>
        </w:rPr>
        <w:t>硬件层面优化抗干扰设计：</w:t>
      </w:r>
      <w:r>
        <w:rPr>
          <w:rFonts w:hint="eastAsia" w:ascii="宋体" w:hAnsi="宋体" w:eastAsia="宋体"/>
          <w:sz w:val="24"/>
          <w:szCs w:val="24"/>
        </w:rPr>
        <w:t>传感器接口增加 RC 滤波电路，CAN 总线添加终端电阻与电磁屏蔽层，电源模块采用宽电压输入（9V-36V）与浪涌保护；软件层面加入环境自适应算法，根据雷达信号强度、电压稳定性动态调整预警阈值；</w:t>
      </w:r>
    </w:p>
    <w:p>
      <w:pPr>
        <w:numPr>
          <w:ilvl w:val="0"/>
          <w:numId w:val="19"/>
        </w:numPr>
        <w:spacing w:before="156" w:beforeLines="50"/>
        <w:ind w:firstLine="482" w:firstLineChars="200"/>
        <w:rPr>
          <w:rFonts w:hint="eastAsia" w:ascii="宋体" w:hAnsi="宋体"/>
          <w:sz w:val="24"/>
          <w:szCs w:val="24"/>
        </w:rPr>
      </w:pPr>
      <w:r>
        <w:rPr>
          <w:rFonts w:hint="eastAsia" w:ascii="宋体" w:hAnsi="宋体" w:eastAsia="宋体"/>
          <w:b w:val="1"/>
          <w:bCs w:val="1"/>
          <w:color w:val="215E99" w:themeColor="text2" w:themeTint="BF"/>
          <w:sz w:val="24"/>
          <w:szCs w:val="24"/>
        </w:rPr>
        <w:t>建立多场景数据库：</w:t>
      </w:r>
      <w:r>
        <w:rPr>
          <w:rFonts w:hint="eastAsia" w:ascii="宋体" w:hAnsi="宋体" w:eastAsia="宋体"/>
          <w:sz w:val="24"/>
          <w:szCs w:val="24"/>
        </w:rPr>
        <w:t>收集全国 20 + 省份的路口工况数据（窄路、环岛、陡坡等），对动态轨迹预测模型进行分场景训练与优化，推出区域定制化版本；同时为客户提供现场调试服务，根据本地道路特点微调算法参数。</w:t>
      </w:r>
    </w:p>
    <w:p>
      <w:pPr>
        <w:numPr>
          <w:ilvl w:val="0"/>
          <w:numId w:val="5"/>
        </w:numPr>
        <w:spacing w:before="156" w:beforeLines="50"/>
        <w:rPr>
          <w:rFonts w:hint="eastAsia" w:ascii="宋体" w:hAnsi="宋体" w:eastAsia="宋体"/>
          <w:b w:val="1"/>
          <w:bCs w:val="1"/>
          <w:sz w:val="24"/>
          <w:szCs w:val="24"/>
        </w:rPr>
      </w:pPr>
      <w:r>
        <w:rPr>
          <w:rFonts w:hint="eastAsia" w:ascii="宋体" w:hAnsi="宋体" w:eastAsia="宋体"/>
          <w:b w:val="1"/>
          <w:bCs w:val="1"/>
          <w:sz w:val="24"/>
          <w:szCs w:val="24"/>
        </w:rPr>
        <w:t>法律风险</w:t>
      </w:r>
    </w:p>
    <w:p>
      <w:pPr>
        <w:spacing w:before="156" w:beforeLines="50"/>
        <w:ind w:left="480"/>
        <w:rPr>
          <w:rFonts w:hint="eastAsia" w:ascii="宋体" w:hAnsi="宋体" w:eastAsia="宋体"/>
          <w:b w:val="1"/>
          <w:bCs w:val="1"/>
          <w:sz w:val="24"/>
          <w:szCs w:val="24"/>
        </w:rPr>
      </w:pPr>
      <w:r>
        <w:rPr>
          <w:rFonts w:hint="eastAsia" w:ascii="宋体" w:hAnsi="宋体" w:eastAsia="宋体"/>
          <w:sz w:val="24"/>
          <w:szCs w:val="24"/>
        </w:rPr>
        <w:t>1.核心风险识别</w:t>
      </w:r>
    </w:p>
    <w:p>
      <w:pPr>
        <w:numPr>
          <w:ilvl w:val="0"/>
          <w:numId w:val="20"/>
        </w:numPr>
        <w:spacing w:before="156" w:beforeLines="50"/>
        <w:ind w:firstLine="480" w:firstLineChars="200"/>
        <w:rPr>
          <w:rFonts w:hint="eastAsia" w:ascii="宋体" w:hAnsi="宋体"/>
          <w:sz w:val="24"/>
          <w:szCs w:val="24"/>
        </w:rPr>
      </w:pPr>
      <w:r>
        <w:rPr>
          <w:rFonts w:hint="eastAsia" w:ascii="宋体" w:hAnsi="宋体" w:eastAsia="宋体"/>
          <w:sz w:val="24"/>
          <w:szCs w:val="24"/>
        </w:rPr>
        <w:t>产品因硬件故障或算法误差导致交通事故，面临客户的法律索赔与诉讼；</w:t>
      </w:r>
    </w:p>
    <w:p>
      <w:pPr>
        <w:numPr>
          <w:ilvl w:val="0"/>
          <w:numId w:val="20"/>
        </w:numPr>
        <w:spacing w:before="156" w:beforeLines="50"/>
        <w:ind w:firstLine="480" w:firstLineChars="200"/>
        <w:rPr>
          <w:rFonts w:hint="eastAsia" w:ascii="宋体" w:hAnsi="宋体"/>
          <w:sz w:val="24"/>
          <w:szCs w:val="24"/>
        </w:rPr>
      </w:pPr>
      <w:r>
        <w:rPr>
          <w:rFonts w:hint="eastAsia" w:ascii="宋体" w:hAnsi="宋体" w:eastAsia="宋体"/>
          <w:sz w:val="24"/>
          <w:szCs w:val="24"/>
        </w:rPr>
        <w:t>知识产权布局不全面，遭遇竞品专利侵权诉讼，或自身无意识侵犯他人技术专利；</w:t>
      </w:r>
    </w:p>
    <w:p>
      <w:pPr>
        <w:numPr>
          <w:ilvl w:val="0"/>
          <w:numId w:val="20"/>
        </w:numPr>
        <w:spacing w:before="156" w:beforeLines="50"/>
        <w:ind w:firstLine="480" w:firstLineChars="200"/>
        <w:rPr>
          <w:rFonts w:hint="eastAsia" w:ascii="宋体" w:hAnsi="宋体"/>
          <w:sz w:val="24"/>
          <w:szCs w:val="24"/>
        </w:rPr>
      </w:pPr>
      <w:r>
        <w:rPr>
          <w:rFonts w:hint="eastAsia" w:ascii="宋体" w:hAnsi="宋体" w:eastAsia="宋体"/>
          <w:sz w:val="24"/>
          <w:szCs w:val="24"/>
        </w:rPr>
        <w:t>产品采集商用车车速、转向角、行驶轨迹等数据，可能违反《数据安全法》《个人信息保护法》，存在数据合规风险。</w:t>
      </w:r>
    </w:p>
    <w:p>
      <w:pPr>
        <w:spacing w:before="156" w:beforeLines="50"/>
        <w:ind w:left="480"/>
        <w:rPr>
          <w:rFonts w:hint="eastAsia" w:ascii="宋体" w:hAnsi="宋体"/>
          <w:sz w:val="24"/>
          <w:szCs w:val="24"/>
        </w:rPr>
      </w:pPr>
      <w:r>
        <w:rPr>
          <w:rFonts w:hint="eastAsia" w:ascii="宋体" w:hAnsi="宋体" w:eastAsia="宋体"/>
          <w:sz w:val="24"/>
          <w:szCs w:val="24"/>
        </w:rPr>
        <w:t>2.应对策略</w:t>
      </w:r>
    </w:p>
    <w:p>
      <w:pPr>
        <w:numPr>
          <w:ilvl w:val="0"/>
          <w:numId w:val="21"/>
        </w:numPr>
        <w:spacing w:before="156" w:beforeLines="50"/>
        <w:ind w:firstLine="480" w:firstLineChars="200"/>
        <w:rPr>
          <w:rFonts w:hint="eastAsia" w:ascii="宋体" w:hAnsi="宋体"/>
          <w:sz w:val="24"/>
          <w:szCs w:val="24"/>
        </w:rPr>
      </w:pPr>
      <w:r>
        <w:rPr>
          <w:rFonts w:hint="eastAsia" w:ascii="宋体" w:hAnsi="宋体" w:eastAsia="宋体"/>
          <w:sz w:val="24"/>
          <w:szCs w:val="24"/>
        </w:rPr>
        <w:t>产品上市前</w:t>
      </w:r>
      <w:r>
        <w:rPr>
          <w:rFonts w:hint="eastAsia" w:ascii="宋体" w:hAnsi="宋体" w:eastAsia="宋体"/>
          <w:b w:val="1"/>
          <w:bCs w:val="1"/>
          <w:color w:val="215E99" w:themeColor="text2" w:themeTint="BF"/>
          <w:sz w:val="24"/>
          <w:szCs w:val="24"/>
        </w:rPr>
        <w:t>购买产品质量责任险</w:t>
      </w:r>
      <w:r>
        <w:rPr>
          <w:rFonts w:hint="eastAsia" w:ascii="宋体" w:hAnsi="宋体" w:eastAsia="宋体"/>
          <w:sz w:val="24"/>
          <w:szCs w:val="24"/>
        </w:rPr>
        <w:t>（保额 500 万元 / 单），降低事故索赔经济损失；同时建立严格的品控体系，将产品故障率控制在 0.1% 以下，留存完整的测试数据与质量报告，作为法律抗辩依据；</w:t>
      </w:r>
    </w:p>
    <w:p>
      <w:pPr>
        <w:numPr>
          <w:ilvl w:val="0"/>
          <w:numId w:val="21"/>
        </w:numPr>
        <w:spacing w:before="156" w:beforeLines="50"/>
        <w:ind w:firstLine="480" w:firstLineChars="200"/>
        <w:rPr>
          <w:rFonts w:hint="eastAsia" w:ascii="宋体" w:hAnsi="宋体"/>
          <w:sz w:val="24"/>
          <w:szCs w:val="24"/>
        </w:rPr>
      </w:pPr>
      <w:r>
        <w:rPr>
          <w:rFonts w:hint="eastAsia" w:ascii="宋体" w:hAnsi="宋体" w:eastAsia="宋体"/>
          <w:sz w:val="24"/>
          <w:szCs w:val="24"/>
        </w:rPr>
        <w:t>聘请专业知识产权律师，开展专利查新与风险排查，避免侵犯他人专利；对核心技术及时申请发明专利，发现竞品侵权时，通过法律途径维护权益；</w:t>
      </w:r>
    </w:p>
    <w:p>
      <w:pPr>
        <w:numPr>
          <w:ilvl w:val="0"/>
          <w:numId w:val="21"/>
        </w:numPr>
        <w:spacing w:before="156" w:beforeLines="50"/>
        <w:ind w:firstLine="482" w:firstLineChars="200"/>
        <w:rPr>
          <w:rFonts w:hint="eastAsia" w:ascii="宋体" w:hAnsi="宋体"/>
          <w:sz w:val="24"/>
          <w:szCs w:val="24"/>
        </w:rPr>
      </w:pPr>
      <w:r>
        <w:rPr>
          <w:rFonts w:hint="eastAsia" w:ascii="宋体" w:hAnsi="宋体" w:eastAsia="宋体"/>
          <w:b w:val="1"/>
          <w:bCs w:val="1"/>
          <w:color w:val="215E99" w:themeColor="text2" w:themeTint="BF"/>
          <w:sz w:val="24"/>
          <w:szCs w:val="24"/>
        </w:rPr>
        <w:t>严格遵守数据合规要求：</w:t>
      </w:r>
      <w:r>
        <w:rPr>
          <w:rFonts w:hint="eastAsia" w:ascii="宋体" w:hAnsi="宋体" w:eastAsia="宋体"/>
          <w:sz w:val="24"/>
          <w:szCs w:val="24"/>
        </w:rPr>
        <w:t>仅采集预警必需的车辆动态数据（车速、转向角等），不收集司机个人信息；数据以本地存储为主，云端传输采用 AES-256 加密协议；为客户提供数据删除、导出功能，配合监管部门合规检查。</w:t>
      </w:r>
    </w:p>
    <w:p>
      <w:pPr>
        <w:numPr>
          <w:ilvl w:val="0"/>
          <w:numId w:val="4"/>
        </w:numPr>
        <w:spacing w:before="156" w:beforeLines="50"/>
        <w:rPr>
          <w:rFonts w:hint="eastAsia" w:ascii="黑体" w:hAnsi="黑体" w:eastAsia="黑体"/>
          <w:b w:val="1"/>
          <w:bCs w:val="1"/>
          <w:sz w:val="28"/>
          <w:szCs w:val="28"/>
        </w:rPr>
      </w:pPr>
      <w:r>
        <w:rPr>
          <w:rFonts w:hint="eastAsia" w:ascii="黑体" w:hAnsi="黑体" w:eastAsia="黑体" w:cs="宋体"/>
          <w:b w:val="1"/>
          <w:bCs w:val="1"/>
          <w:sz w:val="28"/>
          <w:szCs w:val="28"/>
        </w:rPr>
        <w:t>供应链专项风险与防控对策</w:t>
      </w:r>
    </w:p>
    <w:p>
      <w:pPr>
        <w:numPr>
          <w:ilvl w:val="0"/>
          <w:numId w:val="22"/>
        </w:numPr>
        <w:spacing w:before="156" w:beforeLines="50"/>
        <w:rPr>
          <w:rFonts w:hint="eastAsia" w:ascii="宋体" w:hAnsi="宋体" w:eastAsia="宋体"/>
          <w:b w:val="1"/>
          <w:bCs w:val="1"/>
          <w:sz w:val="24"/>
          <w:szCs w:val="24"/>
        </w:rPr>
      </w:pPr>
      <w:r>
        <w:rPr>
          <w:rFonts w:hint="eastAsia" w:ascii="宋体" w:hAnsi="宋体" w:eastAsia="宋体" w:cs="宋体"/>
          <w:b w:val="1"/>
          <w:bCs w:val="1"/>
          <w:sz w:val="24"/>
          <w:szCs w:val="24"/>
        </w:rPr>
        <w:t>核心风险识别</w:t>
      </w:r>
    </w:p>
    <w:p>
      <w:pPr>
        <w:numPr>
          <w:ilvl w:val="0"/>
          <w:numId w:val="23"/>
        </w:numPr>
        <w:spacing w:before="156" w:beforeLines="50"/>
        <w:ind w:firstLine="482" w:firstLineChars="200"/>
        <w:rPr>
          <w:rFonts w:hint="eastAsia" w:ascii="宋体" w:hAnsi="宋体"/>
          <w:sz w:val="24"/>
          <w:szCs w:val="24"/>
        </w:rPr>
      </w:pPr>
      <w:r>
        <w:rPr>
          <w:rFonts w:hint="eastAsia" w:ascii="宋体" w:hAnsi="宋体" w:eastAsia="宋体" w:cs="宋体"/>
          <w:b w:val="1"/>
          <w:bCs w:val="1"/>
          <w:color w:val="215E99" w:themeColor="text2" w:themeTint="BF"/>
          <w:sz w:val="24"/>
          <w:szCs w:val="24"/>
        </w:rPr>
        <w:t>核心元器件供应商单一：</w:t>
      </w:r>
      <w:r>
        <w:rPr>
          <w:rFonts w:hint="eastAsia" w:ascii="宋体" w:hAnsi="宋体" w:eastAsia="宋体" w:cs="宋体"/>
          <w:sz w:val="24"/>
          <w:szCs w:val="24"/>
        </w:rPr>
        <w:t>ESP32-S3 芯片、LD2450 毫米波雷达、AS5600 角度传感器等核心元器件依赖单一供应商，存在缺货、断供风险，导致量产受阻（高概率、高影响）；</w:t>
      </w:r>
    </w:p>
    <w:p>
      <w:pPr>
        <w:numPr>
          <w:ilvl w:val="0"/>
          <w:numId w:val="23"/>
        </w:numPr>
        <w:spacing w:before="156" w:beforeLines="50"/>
        <w:ind w:firstLine="482" w:firstLineChars="200"/>
        <w:rPr>
          <w:rFonts w:hint="eastAsia" w:ascii="宋体" w:hAnsi="宋体"/>
          <w:sz w:val="24"/>
          <w:szCs w:val="24"/>
        </w:rPr>
      </w:pPr>
      <w:r>
        <w:rPr>
          <w:rFonts w:hint="eastAsia" w:ascii="宋体" w:hAnsi="宋体" w:eastAsia="宋体" w:cs="宋体"/>
          <w:b w:val="1"/>
          <w:bCs w:val="1"/>
          <w:color w:val="215E99" w:themeColor="text2" w:themeTint="BF"/>
          <w:sz w:val="24"/>
          <w:szCs w:val="24"/>
        </w:rPr>
        <w:t>供应商产能不足 / 交期延长：</w:t>
      </w:r>
      <w:r>
        <w:rPr>
          <w:rFonts w:hint="eastAsia" w:ascii="宋体" w:hAnsi="宋体" w:eastAsia="宋体" w:cs="宋体"/>
          <w:sz w:val="24"/>
          <w:szCs w:val="24"/>
        </w:rPr>
        <w:t>核心供应商产能有限或交货周期大幅延长（如芯片交付从 4 周增至 12 周），影响项目市场推广进度（中概率、高影响）；</w:t>
      </w:r>
    </w:p>
    <w:p>
      <w:pPr>
        <w:numPr>
          <w:ilvl w:val="0"/>
          <w:numId w:val="23"/>
        </w:numPr>
        <w:spacing w:before="156" w:beforeLines="50"/>
        <w:ind w:firstLine="482" w:firstLineChars="200"/>
        <w:rPr>
          <w:rFonts w:hint="eastAsia" w:ascii="宋体" w:hAnsi="宋体"/>
          <w:b w:val="1"/>
          <w:bCs w:val="1"/>
          <w:sz w:val="24"/>
          <w:szCs w:val="24"/>
        </w:rPr>
      </w:pPr>
      <w:r>
        <w:rPr>
          <w:rFonts w:hint="eastAsia" w:ascii="宋体" w:hAnsi="宋体" w:eastAsia="宋体" w:cs="宋体"/>
          <w:b w:val="1"/>
          <w:bCs w:val="1"/>
          <w:color w:val="215E99" w:themeColor="text2" w:themeTint="BF"/>
          <w:sz w:val="24"/>
          <w:szCs w:val="24"/>
        </w:rPr>
        <w:t>次级供应商元器件质量参差不齐：</w:t>
      </w:r>
      <w:r>
        <w:rPr>
          <w:rFonts w:hint="eastAsia" w:ascii="宋体" w:hAnsi="宋体" w:eastAsia="宋体" w:cs="宋体"/>
          <w:sz w:val="24"/>
          <w:szCs w:val="24"/>
        </w:rPr>
        <w:t>电阻、电容等次级元器件供应商的产品质量不稳定，导致硬件成品良品率下降（中概率、中影响）。</w:t>
      </w:r>
    </w:p>
    <w:p>
      <w:pPr>
        <w:numPr>
          <w:ilvl w:val="0"/>
          <w:numId w:val="22"/>
        </w:numPr>
        <w:spacing w:before="156" w:beforeLines="50"/>
        <w:rPr>
          <w:rFonts w:hint="eastAsia" w:ascii="宋体" w:hAnsi="宋体" w:eastAsia="宋体"/>
          <w:b w:val="1"/>
          <w:bCs w:val="1"/>
          <w:sz w:val="24"/>
          <w:szCs w:val="24"/>
        </w:rPr>
      </w:pPr>
      <w:r>
        <w:rPr>
          <w:rFonts w:hint="eastAsia" w:ascii="宋体" w:hAnsi="宋体" w:eastAsia="宋体" w:cs="宋体"/>
          <w:b w:val="1"/>
          <w:bCs w:val="1"/>
          <w:sz w:val="24"/>
          <w:szCs w:val="24"/>
        </w:rPr>
        <w:t>针对性防控对策</w:t>
      </w:r>
    </w:p>
    <w:p>
      <w:pPr>
        <w:numPr>
          <w:ilvl w:val="0"/>
          <w:numId w:val="24"/>
        </w:numPr>
        <w:spacing w:before="156" w:beforeLines="50"/>
        <w:ind w:firstLine="482" w:firstLineChars="200"/>
        <w:rPr>
          <w:rFonts w:hint="eastAsia" w:ascii="宋体" w:hAnsi="宋体"/>
          <w:sz w:val="24"/>
          <w:szCs w:val="24"/>
        </w:rPr>
      </w:pPr>
      <w:r>
        <w:rPr>
          <w:rFonts w:hint="eastAsia" w:ascii="宋体" w:hAnsi="宋体" w:eastAsia="宋体" w:cs="宋体"/>
          <w:b w:val="1"/>
          <w:bCs w:val="1"/>
          <w:color w:val="215E99" w:themeColor="text2" w:themeTint="BF"/>
          <w:sz w:val="24"/>
          <w:szCs w:val="24"/>
        </w:rPr>
        <w:t>建立核心元器件双供应商体系：</w:t>
      </w:r>
      <w:r>
        <w:rPr>
          <w:rFonts w:hint="eastAsia" w:ascii="宋体" w:hAnsi="宋体" w:eastAsia="宋体" w:cs="宋体"/>
          <w:sz w:val="24"/>
          <w:szCs w:val="24"/>
        </w:rPr>
        <w:t>为每个核心元器件匹配 2-3 家供应商（含 1 家国产替代供应商），例如 ESP32 芯片同时对接乐鑫科技与国内替代厂商；产品研发阶段预留硬件接口兼容性设计，确保不同供应商元器件可无缝替换；</w:t>
      </w:r>
    </w:p>
    <w:p>
      <w:pPr>
        <w:numPr>
          <w:ilvl w:val="0"/>
          <w:numId w:val="24"/>
        </w:numPr>
        <w:spacing w:before="156" w:beforeLines="50"/>
        <w:ind w:firstLine="482" w:firstLineChars="200"/>
        <w:rPr>
          <w:rFonts w:hint="eastAsia" w:ascii="宋体" w:hAnsi="宋体"/>
          <w:sz w:val="24"/>
          <w:szCs w:val="24"/>
        </w:rPr>
      </w:pPr>
      <w:r>
        <w:rPr>
          <w:rFonts w:hint="eastAsia" w:ascii="宋体" w:hAnsi="宋体" w:eastAsia="宋体" w:cs="宋体"/>
          <w:b w:val="1"/>
          <w:bCs w:val="1"/>
          <w:color w:val="215E99" w:themeColor="text2" w:themeTint="BF"/>
          <w:sz w:val="24"/>
          <w:szCs w:val="24"/>
        </w:rPr>
        <w:t>构建产能保障与安全库存体系：</w:t>
      </w:r>
      <w:r>
        <w:rPr>
          <w:rFonts w:hint="eastAsia" w:ascii="宋体" w:hAnsi="宋体" w:eastAsia="宋体" w:cs="宋体"/>
          <w:sz w:val="24"/>
          <w:szCs w:val="24"/>
        </w:rPr>
        <w:t>与核心供应商提前锁定半年产能，支付 10% 预付款确保供货优先级；建立核心元器件安全库存，库存规模满足 1 个月量产需求，应对短期断供风险；</w:t>
      </w:r>
    </w:p>
    <w:p>
      <w:pPr>
        <w:numPr>
          <w:ilvl w:val="0"/>
          <w:numId w:val="24"/>
        </w:numPr>
        <w:spacing w:before="156" w:beforeLines="50"/>
        <w:ind w:firstLine="482" w:firstLineChars="200"/>
        <w:rPr>
          <w:rFonts w:hint="eastAsia" w:ascii="宋体" w:hAnsi="宋体"/>
          <w:sz w:val="24"/>
          <w:szCs w:val="24"/>
        </w:rPr>
      </w:pPr>
      <w:r>
        <w:rPr>
          <w:rFonts w:hint="eastAsia" w:ascii="宋体" w:hAnsi="宋体" w:eastAsia="宋体" w:cs="宋体"/>
          <w:b w:val="1"/>
          <w:bCs w:val="1"/>
          <w:color w:val="215E99" w:themeColor="text2" w:themeTint="BF"/>
          <w:sz w:val="24"/>
          <w:szCs w:val="24"/>
        </w:rPr>
        <w:t>完善供应商全流程管理体系：</w:t>
      </w:r>
      <w:r>
        <w:rPr>
          <w:rFonts w:hint="eastAsia" w:ascii="宋体" w:hAnsi="宋体" w:eastAsia="宋体" w:cs="宋体"/>
          <w:sz w:val="24"/>
          <w:szCs w:val="24"/>
        </w:rPr>
        <w:t>制定严格的供应商准入标准，对候选供应商开展实地考察（生产能力、质量管控流程）；批量采购前进行样品1000 小时稳定性测试；生产过程中严格执行来料检验（IQC），对质量不合格的供应商及时淘汰，确保硬件成品良品率≥99%。</w:t>
      </w:r>
    </w:p>
    <w:p>
      <w:pPr>
        <w:spacing w:before="156" w:beforeLines="50"/>
        <w:rPr>
          <w:rFonts w:hint="eastAsia" w:ascii="宋体" w:hAnsi="宋体"/>
          <w:sz w:val="24"/>
          <w:szCs w:val="24"/>
        </w:rPr>
      </w:pPr>
    </w:p>
    <w:p>
      <w:pPr>
        <w:spacing w:before="156" w:beforeLines="50"/>
        <w:rPr>
          <w:rFonts w:hint="eastAsia" w:ascii="宋体" w:hAnsi="宋体"/>
          <w:sz w:val="24"/>
          <w:szCs w:val="24"/>
        </w:rPr>
      </w:pPr>
    </w:p>
    <w:p>
      <w:pPr>
        <w:spacing w:before="156" w:beforeLines="50"/>
        <w:rPr>
          <w:rFonts w:hint="eastAsia" w:ascii="宋体" w:hAnsi="宋体"/>
          <w:sz w:val="24"/>
          <w:szCs w:val="24"/>
        </w:rPr>
      </w:pPr>
    </w:p>
    <w:p>
      <w:pPr>
        <w:spacing w:before="156" w:beforeLines="50"/>
        <w:rPr>
          <w:rFonts w:hint="eastAsia" w:ascii="宋体" w:hAnsi="宋体"/>
          <w:sz w:val="24"/>
          <w:szCs w:val="24"/>
        </w:rPr>
      </w:pPr>
    </w:p>
    <w:p>
      <w:pPr>
        <w:spacing w:before="156" w:beforeLines="50"/>
        <w:rPr>
          <w:rFonts w:hint="eastAsia" w:ascii="宋体" w:hAnsi="宋体"/>
          <w:sz w:val="24"/>
          <w:szCs w:val="24"/>
        </w:rPr>
      </w:pPr>
    </w:p>
    <w:p>
      <w:pPr>
        <w:spacing w:before="156" w:beforeLines="50"/>
        <w:rPr>
          <w:rFonts w:hint="eastAsia" w:ascii="宋体" w:hAnsi="宋体"/>
          <w:sz w:val="24"/>
          <w:szCs w:val="24"/>
        </w:rPr>
      </w:pPr>
    </w:p>
    <w:p>
      <w:pPr>
        <w:spacing w:before="156" w:beforeLines="50"/>
        <w:rPr>
          <w:rFonts w:hint="eastAsia" w:ascii="宋体" w:hAnsi="宋体"/>
          <w:sz w:val="24"/>
          <w:szCs w:val="24"/>
        </w:rPr>
      </w:pPr>
    </w:p>
    <w:p>
      <w:pPr>
        <w:spacing w:before="156" w:beforeLines="50"/>
        <w:rPr>
          <w:rFonts w:hint="eastAsia" w:ascii="宋体" w:hAnsi="宋体"/>
          <w:sz w:val="24"/>
          <w:szCs w:val="24"/>
        </w:rPr>
      </w:pPr>
    </w:p>
    <w:p>
      <w:pPr>
        <w:spacing w:before="156" w:beforeLines="50"/>
        <w:rPr>
          <w:rFonts w:hint="eastAsia" w:ascii="宋体" w:hAnsi="宋体"/>
          <w:sz w:val="24"/>
          <w:szCs w:val="24"/>
        </w:rPr>
      </w:pPr>
    </w:p>
    <w:p>
      <w:pPr>
        <w:spacing w:before="156" w:beforeLines="50"/>
        <w:rPr>
          <w:rFonts w:hint="eastAsia" w:ascii="宋体" w:hAnsi="宋体"/>
          <w:sz w:val="24"/>
          <w:szCs w:val="24"/>
        </w:rPr>
      </w:pPr>
    </w:p>
    <w:p>
      <w:pPr>
        <w:spacing w:before="156" w:beforeLines="50"/>
        <w:rPr>
          <w:rFonts w:hint="eastAsia" w:ascii="宋体" w:hAnsi="宋体"/>
          <w:sz w:val="24"/>
          <w:szCs w:val="24"/>
        </w:rPr>
      </w:pPr>
    </w:p>
    <w:p>
      <w:pPr>
        <w:numPr>
          <w:ilvl w:val="0"/>
          <w:numId w:val="4"/>
        </w:numPr>
        <w:spacing w:before="156" w:beforeLines="50"/>
        <w:rPr>
          <w:rFonts w:hint="eastAsia" w:ascii="黑体" w:hAnsi="黑体" w:eastAsia="黑体"/>
          <w:b w:val="1"/>
          <w:bCs w:val="1"/>
          <w:sz w:val="28"/>
          <w:szCs w:val="28"/>
        </w:rPr>
      </w:pPr>
      <w:r>
        <w:rPr>
          <w:rFonts w:hint="eastAsia" w:ascii="黑体" w:hAnsi="黑体" w:eastAsia="黑体" w:cs="宋体"/>
          <w:b w:val="1"/>
          <w:bCs w:val="1"/>
          <w:sz w:val="28"/>
          <w:szCs w:val="28"/>
        </w:rPr>
        <w:t>风险防控整体保障措施</w:t>
      </w:r>
    </w:p>
    <w:p>
      <w:pPr>
        <w:pStyle w:val="0000a4"/>
        <w:numPr>
          <w:ilvl w:val="0"/>
          <w:numId w:val="25"/>
        </w:numPr>
        <w:spacing w:before="156" w:beforeLines="50"/>
        <w:rPr>
          <w:rFonts w:hint="eastAsia" w:ascii="宋体" w:hAnsi="宋体" w:eastAsia="宋体" w:cs="宋体"/>
          <w:b w:val="1"/>
          <w:bCs w:val="1"/>
          <w:sz w:val="24"/>
          <w:szCs w:val="24"/>
        </w:rPr>
      </w:pPr>
      <w:r>
        <w:rPr>
          <w:rFonts w:hint="eastAsia" w:ascii="宋体" w:hAnsi="宋体" w:eastAsia="宋体" w:cs="宋体"/>
          <w:b w:val="1"/>
          <w:bCs w:val="1"/>
          <w:sz w:val="24"/>
          <w:szCs w:val="24"/>
        </w:rPr>
        <w:t>建立风险动态监控机制</w:t>
      </w:r>
    </w:p>
    <w:p>
      <w:pPr>
        <w:pStyle w:val="0000a4"/>
        <w:spacing w:before="156" w:beforeLines="50"/>
        <w:ind w:left="746"/>
        <w:rPr>
          <w:rFonts w:hint="eastAsia" w:ascii="宋体" w:hAnsi="宋体"/>
          <w:sz w:val="24"/>
          <w:szCs w:val="24"/>
        </w:rPr>
      </w:pPr>
      <w:r>
        <w:rPr>
          <w:rFonts w:hint="eastAsia" w:ascii="宋体" w:hAnsi="宋体" w:eastAsia="宋体" w:cs="宋体"/>
          <w:sz w:val="24"/>
          <w:szCs w:val="24"/>
        </w:rPr>
        <w:t>成立项目风险防控小组，每月开展风险复盘，结合行业政策、市场环境、供应链状态更新风险清单，及时调整防控对策；</w:t>
      </w:r>
    </w:p>
    <w:p>
      <w:pPr>
        <w:pStyle w:val="0000a4"/>
        <w:numPr>
          <w:ilvl w:val="0"/>
          <w:numId w:val="25"/>
        </w:numPr>
        <w:spacing w:before="156" w:beforeLines="50"/>
        <w:rPr>
          <w:rFonts w:hint="eastAsia" w:ascii="宋体" w:hAnsi="宋体" w:eastAsia="宋体" w:cs="宋体"/>
          <w:b w:val="1"/>
          <w:bCs w:val="1"/>
          <w:sz w:val="24"/>
          <w:szCs w:val="24"/>
        </w:rPr>
      </w:pPr>
      <w:r>
        <w:rPr>
          <w:rFonts w:hint="eastAsia" w:ascii="宋体" w:hAnsi="宋体" w:eastAsia="宋体" w:cs="宋体"/>
          <w:b w:val="1"/>
          <w:bCs w:val="1"/>
          <w:sz w:val="24"/>
          <w:szCs w:val="24"/>
        </w:rPr>
        <w:t>强化跨部门协同</w:t>
      </w:r>
    </w:p>
    <w:p>
      <w:pPr>
        <w:pStyle w:val="0000a4"/>
        <w:spacing w:before="156" w:beforeLines="50"/>
        <w:ind w:left="746"/>
        <w:rPr>
          <w:rFonts w:hint="eastAsia" w:ascii="宋体" w:hAnsi="宋体"/>
          <w:sz w:val="24"/>
          <w:szCs w:val="24"/>
        </w:rPr>
      </w:pPr>
      <w:r>
        <w:rPr>
          <w:rFonts w:hint="eastAsia" w:ascii="宋体" w:hAnsi="宋体" w:eastAsia="宋体" w:cs="宋体"/>
          <w:sz w:val="24"/>
          <w:szCs w:val="24"/>
        </w:rPr>
        <w:t>研发、市场、供应链、法务部门建立常态化沟通机制，确保政策、技术、市场等风险信息快速传递，防控对策落地执行；</w:t>
      </w:r>
    </w:p>
    <w:p>
      <w:pPr>
        <w:pStyle w:val="0000a4"/>
        <w:numPr>
          <w:ilvl w:val="0"/>
          <w:numId w:val="25"/>
        </w:numPr>
        <w:spacing w:before="156" w:beforeLines="50"/>
        <w:rPr>
          <w:rFonts w:hint="eastAsia" w:ascii="宋体" w:hAnsi="宋体" w:eastAsia="宋体" w:cs="宋体"/>
          <w:b w:val="1"/>
          <w:bCs w:val="1"/>
          <w:sz w:val="24"/>
          <w:szCs w:val="24"/>
        </w:rPr>
      </w:pPr>
      <w:r>
        <w:rPr>
          <w:rFonts w:hint="eastAsia" w:ascii="宋体" w:hAnsi="宋体" w:eastAsia="宋体" w:cs="宋体"/>
          <w:b w:val="1"/>
          <w:bCs w:val="1"/>
          <w:sz w:val="24"/>
          <w:szCs w:val="24"/>
        </w:rPr>
        <w:t>预留风险应对资金</w:t>
      </w:r>
    </w:p>
    <w:p>
      <w:pPr>
        <w:pStyle w:val="0000a4"/>
        <w:spacing w:before="156" w:beforeLines="50"/>
        <w:ind w:left="746"/>
        <w:rPr>
          <w:rFonts w:hint="eastAsia" w:ascii="宋体" w:hAnsi="宋体"/>
          <w:sz w:val="24"/>
          <w:szCs w:val="24"/>
        </w:rPr>
      </w:pPr>
      <w:r>
        <w:rPr>
          <w:rFonts w:hint="eastAsia" w:ascii="宋体" w:hAnsi="宋体" w:eastAsia="宋体" w:cs="宋体"/>
          <w:sz w:val="24"/>
          <w:szCs w:val="24"/>
        </w:rPr>
        <w:t>从项目运营资金中计提 5%-8% 作为风险应对专项基金，用于应对标准迭代研发、供应链价格波动、突发舆情处理等突发情况。</w:t>
      </w:r>
    </w:p>
    <w:p>
      <w:pPr>
        <w:spacing w:before="156" w:beforeLines="50"/>
        <w:rPr>
          <w:rFonts w:hint="eastAsia" w:ascii="宋体" w:hAnsi="宋体"/>
          <w:sz w:val="24"/>
          <w:szCs w:val="24"/>
        </w:rPr>
      </w:pPr>
    </w:p>
    <w:p>
      <w:pPr>
        <w:spacing w:before="156" w:beforeLines="50"/>
        <w:rPr>
          <w:rFonts w:hint="eastAsia" w:ascii="宋体" w:hAnsi="宋体"/>
          <w:sz w:val="24"/>
          <w:szCs w:val="24"/>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r>
        <w:rPr>
          <w:rFonts w:hint="eastAsia"/>
        </w:rPr>
        <w:br w:type="textWrapping"/>
      </w:r>
      <w:r>
        <w:rPr>
          <w:rFonts w:hint="eastAsia"/>
        </w:rPr>
        <w:br w:type="textWrapping"/>
      </w:r>
      <w:r>
        <w:rPr>
          <w:rFonts w:hint="eastAsia"/>
        </w:rPr>
        <w:br w:type="textWrapping"/>
      </w:r>
      <w:r>
        <w:rPr>
          <w:rFonts w:hint="eastAsia"/>
        </w:rPr>
        <w:br w:type="textWrapping"/>
      </w:r>
      <w:r>
        <w:rPr>
          <w:rFonts w:hint="eastAsia"/>
        </w:rPr>
        <w:br w:type="textWrapping"/>
      </w: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jc w:val="center"/>
        <w:rPr>
          <w:rFonts w:hint="eastAsia" w:ascii="黑体" w:hAnsi="黑体" w:eastAsia="黑体"/>
          <w:b w:val="1"/>
          <w:bCs w:val="1"/>
          <w:color w:val="215E99" w:themeColor="text2" w:themeTint="BF"/>
          <w:sz w:val="36"/>
          <w:szCs w:val="36"/>
        </w:rPr>
      </w:pPr>
      <w:r>
        <w:rPr>
          <w:rFonts w:hint="eastAsia" w:ascii="黑体" w:hAnsi="黑体" w:eastAsia="黑体"/>
          <w:b w:val="1"/>
          <w:bCs w:val="1"/>
          <w:color w:val="215E99" w:themeColor="text2" w:themeTint="BF"/>
          <w:sz w:val="36"/>
          <w:szCs w:val="36"/>
          <w14:shadow w14:blurRad="50800" w14:dist="38100" w14:dir="2700000" w14:sx="100000" w14:sy="100000" w14:kx="0" w14:ky="0" w14:algn="tl">
            <w14:srgbClr w14:val="000000">
              <w14:alpha w14:val="60000"/>
            </w14:srgbClr>
          </w14:shadow>
        </w:rPr>
        <w:t>第八部分：团队介绍</w:t>
      </w:r>
    </w:p>
    <w:p>
      <w:pPr>
        <w:spacing w:before="156" w:beforeLines="50"/>
        <w:ind w:firstLine="480" w:firstLineChars="200"/>
        <w:rPr>
          <w:rFonts w:hint="eastAsia" w:ascii="宋体" w:hAnsi="宋体"/>
          <w:sz w:val="24"/>
          <w:szCs w:val="24"/>
        </w:rPr>
      </w:pPr>
      <w:r>
        <w:rPr>
          <w:rFonts w:hint="eastAsia" w:ascii="宋体" w:hAnsi="宋体" w:eastAsia="宋体" w:cs="宋体"/>
          <w:sz w:val="24"/>
          <w:szCs w:val="24"/>
        </w:rPr>
        <w:t xml:space="preserve">本团队是聚焦商用车内轮差安全预警领域的跨专业科创团队，依托学校科研平台组建，由通信工程、环境工程、工商管理、会计学四大核心专业本科生构成。团队紧扣项目 </w:t>
      </w:r>
      <w:r>
        <w:rPr>
          <w:rFonts w:hint="eastAsia" w:ascii="宋体" w:hAnsi="宋体" w:eastAsia="宋体" w:cs="宋体"/>
          <w:b w:val="1"/>
          <w:bCs w:val="1"/>
          <w:color w:val="215E99" w:themeColor="text2" w:themeTint="BF"/>
          <w:sz w:val="24"/>
          <w:szCs w:val="24"/>
        </w:rPr>
        <w:t>“技术研发 + 商业转化” 全流程需求</w:t>
      </w:r>
      <w:r>
        <w:rPr>
          <w:rFonts w:hint="eastAsia" w:ascii="宋体" w:hAnsi="宋体" w:eastAsia="宋体" w:cs="宋体"/>
          <w:sz w:val="24"/>
          <w:szCs w:val="24"/>
        </w:rPr>
        <w:t>，形成嵌入式开发、工况分析、商业运营、财务规划的互补能力链条，已完成项目核心技术从理论建模到嵌入式实现的全流程验证，具备扎实的自主研发能力与项目落地潜力，是一支专业匹配、协同高效、兼具创新能力与社会担当的青年科创队伍。</w:t>
      </w:r>
    </w:p>
    <w:p>
      <w:pPr>
        <w:numPr>
          <w:ilvl w:val="0"/>
          <w:numId w:val="26"/>
        </w:numPr>
        <w:spacing w:before="156" w:beforeLines="50"/>
        <w:rPr>
          <w:rFonts w:hint="eastAsia" w:ascii="黑体" w:hAnsi="黑体" w:eastAsia="黑体"/>
          <w:b w:val="1"/>
          <w:bCs w:val="1"/>
          <w:sz w:val="28"/>
          <w:szCs w:val="28"/>
        </w:rPr>
      </w:pPr>
      <w:r>
        <w:rPr>
          <w:rFonts w:hint="eastAsia" w:ascii="黑体" w:hAnsi="黑体" w:eastAsia="黑体" w:cs="宋体"/>
          <w:b w:val="1"/>
          <w:bCs w:val="1"/>
          <w:sz w:val="28"/>
          <w:szCs w:val="28"/>
        </w:rPr>
        <w:t>专业能力矩阵与成员介绍</w:t>
      </w:r>
    </w:p>
    <w:p>
      <w:pPr>
        <w:spacing w:before="156" w:beforeLines="50"/>
        <w:rPr>
          <w:rFonts w:hint="eastAsia" w:ascii="宋体" w:hAnsi="宋体" w:eastAsia="宋体" w:cs="宋体"/>
          <w:b w:val="1"/>
          <w:bCs w:val="1"/>
          <w:sz w:val="24"/>
          <w:szCs w:val="24"/>
        </w:rPr>
      </w:pPr>
      <w:r>
        <w:rPr>
          <w:rFonts w:hint="eastAsia" w:ascii="宋体" w:hAnsi="宋体" w:eastAsia="宋体" w:cs="宋体"/>
          <w:b w:val="1"/>
          <w:bCs w:val="1"/>
          <w:sz w:val="24"/>
          <w:szCs w:val="24"/>
        </w:rPr>
        <w:t>（一）指导教师简介</w:t>
      </w:r>
    </w:p>
    <w:p>
      <w:pPr>
        <w:spacing w:before="156" w:beforeLines="50"/>
        <w:ind w:firstLine="480" w:firstLineChars="200"/>
        <w:rPr>
          <w:rFonts w:hint="eastAsia" w:ascii="宋体" w:hAnsi="宋体" w:eastAsia="宋体" w:cs="宋体"/>
          <w:sz w:val="24"/>
          <w:szCs w:val="24"/>
        </w:rPr>
      </w:pPr>
      <w:r>
        <w:rPr>
          <w:rFonts w:ascii="宋体" w:hAnsi="宋体" w:eastAsia="宋体" w:cs="宋体"/>
          <w:noProof w:val="1"/>
          <w:sz w:val="24"/>
          <w:szCs w:val="24"/>
        </w:rPr>
        <w:drawing>
          <wp:anchor distT="0" distB="0" distL="114300" distR="114300" simplePos="0" relativeHeight="251668480" behindDoc="1" locked="0" layoutInCell="1" allowOverlap="1">
            <wp:simplePos x="0" y="0"/>
            <wp:positionH relativeFrom="column">
              <wp:posOffset>-22097</wp:posOffset>
            </wp:positionH>
            <wp:positionV relativeFrom="paragraph">
              <wp:posOffset>202359</wp:posOffset>
            </wp:positionV>
            <wp:extent cx="1323340" cy="1548130"/>
            <wp:effectExtent l="171450" t="171450" r="372110" b="375920"/>
            <wp:wrapTight wrapText="bothSides">
              <wp:wrapPolygon edited="0">
                <wp:start x="1555" y="-2392"/>
                <wp:lineTo x="-2798" y="-1861"/>
                <wp:lineTo x="-2798" y="22858"/>
                <wp:lineTo x="-2177" y="23921"/>
                <wp:lineTo x="2488" y="26048"/>
                <wp:lineTo x="2798" y="26579"/>
                <wp:lineTo x="21766" y="26579"/>
                <wp:lineTo x="22077" y="26048"/>
                <wp:lineTo x="26430" y="23921"/>
                <wp:lineTo x="27363" y="19403"/>
                <wp:lineTo x="27052" y="2126"/>
                <wp:lineTo x="23010" y="-1861"/>
                <wp:lineTo x="22699" y="-2392"/>
                <wp:lineTo x="1555" y="-2392"/>
              </wp:wrapPolygon>
            </wp:wrapTight>
            <wp:docPr id="32" name="图片 4"/>
            <wp:cNvGraphicFramePr>
              <a:graphicFrameLocks noChangeAspect="1"/>
            </wp:cNvGraphicFramePr>
            <a:graphic>
              <a:graphicData uri="http://schemas.openxmlformats.org/drawingml/2006/picture">
                <pic:pic>
                  <pic:nvPicPr>
                    <pic:cNvPr id="33" name="Picture 3"/>
                    <pic:cNvPicPr>
                      <a:picLocks noChangeAspect="1" noChangeArrowheads="1"/>
                    </pic:cNvPicPr>
                  </pic:nvPicPr>
                  <pic:blipFill>
                    <a:blip r:embed="rId25" cstate="print">
                      <a:extLst>
                        <a:ext uri="{28A0092B-C50C-407E-A947-70E740481C1C}"/>
                      </a:extLst>
                    </a:blip>
                    <a:srcRect/>
                    <a:stretch>
                      <a:fillRect/>
                    </a:stretch>
                  </pic:blipFill>
                  <pic:spPr bwMode="auto">
                    <a:xfrm>
                      <a:off x="0" y="0"/>
                      <a:ext cx="1323340" cy="1548130"/>
                    </a:xfrm>
                    <a:prstGeom prst="rect">
                      <a:avLst/>
                    </a:prstGeom>
                    <a:ln>
                      <a:solidFill>
                        <a:schemeClr val="tx1"/>
                      </a:solid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rFonts w:hint="eastAsia" w:ascii="宋体" w:hAnsi="宋体" w:eastAsia="宋体" w:cs="宋体"/>
          <w:sz w:val="24"/>
          <w:szCs w:val="24"/>
        </w:rPr>
        <w:t>1.基本信息：</w:t>
      </w:r>
      <w:r>
        <w:rPr>
          <w:rFonts w:hint="eastAsia" w:ascii="宋体" w:hAnsi="宋体" w:eastAsia="宋体" w:cs="宋体"/>
          <w:b w:val="1"/>
          <w:bCs w:val="1"/>
          <w:color w:val="215E99" w:themeColor="text2" w:themeTint="BF"/>
          <w:sz w:val="24"/>
          <w:szCs w:val="24"/>
        </w:rPr>
        <w:t>张立伟教授，北京交通大学博导，从事轨道交通与新能源汽车电驱控制研究，主持国家重点研发计划及中车集团多项课题，获詹天佑奖、省部级一等奖7项，兼任中国交通运输协会轨道装备技术专业委员会副秘书长。</w:t>
      </w:r>
    </w:p>
    <w:p>
      <w:pPr>
        <w:spacing w:before="156" w:beforeLines="50"/>
        <w:ind w:firstLine="480" w:firstLineChars="200"/>
        <w:rPr>
          <w:rFonts w:hint="eastAsia" w:ascii="宋体" w:hAnsi="宋体" w:eastAsia="宋体" w:cs="宋体"/>
          <w:sz w:val="24"/>
          <w:szCs w:val="24"/>
        </w:rPr>
      </w:pPr>
      <w:r>
        <w:rPr>
          <w:rFonts w:hint="eastAsia" w:ascii="宋体" w:hAnsi="宋体" w:eastAsia="宋体" w:cs="宋体"/>
          <w:sz w:val="24"/>
          <w:szCs w:val="24"/>
        </w:rPr>
        <w:t>2.研究方向：轨道交通供能与电力牵引、智慧能源应用技术、电力电子与电能变换、电机系统及其控制 。</w:t>
      </w:r>
    </w:p>
    <w:p>
      <w:pPr>
        <w:spacing w:before="156" w:beforeLines="50"/>
        <w:ind w:firstLine="480" w:firstLineChars="200"/>
        <w:rPr>
          <w:rFonts w:hint="eastAsia" w:ascii="宋体" w:hAnsi="宋体" w:eastAsia="宋体" w:cs="宋体"/>
          <w:sz w:val="24"/>
          <w:szCs w:val="24"/>
        </w:rPr>
      </w:pPr>
      <w:r>
        <w:rPr>
          <w:rFonts w:hint="eastAsia" w:ascii="宋体" w:hAnsi="宋体" w:eastAsia="宋体" w:cs="宋体"/>
          <w:sz w:val="24"/>
          <w:szCs w:val="24"/>
        </w:rPr>
        <w:t>3.科研项目：单轨运行图优化调整仿真、单轴跨座式单轨车辆受流器动力学性能研究、轨道交通绿色低碳动力系统优化工程、风光储能量管理方向、电力设备的PHM研究、侧切式道岔清筛机自适应作业自动控制系统研究、导轨式胶轮系统车辆核心部件及系统仿真研究、多铰接式无轨列车的前、后轴电机转矩分配及差速控制研究、新能源机车多源动力组合能量管理技术研究、碳纤维车体电磁兼容技术研究、新能源机车多源动力组合能量管理技术研究、现代无轨电车减震系统液压控制研究、基于公路的车辆转矩控制研究、工程机械走行系统速度控制、混合励磁直线同步电机研究与设计仿真、中速磁浮列车抑制电磁噪声、碳纤维车体接地及电磁兼容基础研究、双单元永磁同步电机容错控制系统研究。</w:t>
      </w:r>
    </w:p>
    <w:p>
      <w:pPr>
        <w:spacing w:before="156" w:beforeLines="50"/>
        <w:ind w:firstLine="480" w:firstLineChars="200"/>
        <w:rPr>
          <w:rFonts w:hint="eastAsia" w:ascii="宋体" w:hAnsi="宋体" w:eastAsia="宋体" w:cs="宋体"/>
          <w:sz w:val="24"/>
          <w:szCs w:val="24"/>
        </w:rPr>
      </w:pPr>
      <w:r>
        <w:rPr>
          <w:rFonts w:hint="eastAsia" w:ascii="宋体" w:hAnsi="宋体" w:eastAsia="宋体" w:cs="宋体"/>
          <w:sz w:val="24"/>
          <w:szCs w:val="24"/>
        </w:rPr>
        <w:t>4.产学研研究生联合培养基地：作为校方负责人，先后与深圳市长龙铁路电子工程有限公司、天津中科华盈科技有限公司、武汉铁路局金鹰重型工程机械股份有限公司、中车浦镇阿尔斯通运输系统有限公司， 签订北京交通大学产学研联合研究生培养基地，目前四个中心均处于良好运行状态。</w:t>
      </w:r>
    </w:p>
    <w:p>
      <w:pPr>
        <w:spacing w:before="156" w:beforeLines="50"/>
        <w:ind w:firstLine="480" w:firstLineChars="200"/>
        <w:rPr>
          <w:rFonts w:hint="eastAsia" w:ascii="宋体" w:hAnsi="宋体" w:eastAsia="宋体" w:cs="宋体"/>
          <w:sz w:val="24"/>
          <w:szCs w:val="24"/>
        </w:rPr>
      </w:pPr>
      <w:r>
        <w:rPr>
          <w:rFonts w:hint="eastAsia" w:ascii="宋体" w:hAnsi="宋体" w:eastAsia="宋体" w:cs="宋体"/>
          <w:sz w:val="24"/>
          <w:szCs w:val="24"/>
        </w:rPr>
        <w:t>5.论文发表：核心中英文期刊累计发表50余篇。</w:t>
      </w:r>
    </w:p>
    <w:p>
      <w:pPr>
        <w:spacing w:before="156" w:beforeLines="50"/>
        <w:ind w:firstLine="480" w:firstLineChars="200"/>
        <w:rPr>
          <w:rFonts w:hint="eastAsia" w:ascii="宋体" w:hAnsi="宋体" w:eastAsia="宋体" w:cs="宋体"/>
          <w:sz w:val="24"/>
          <w:szCs w:val="24"/>
        </w:rPr>
      </w:pPr>
      <w:r>
        <w:rPr>
          <w:rFonts w:hint="eastAsia" w:ascii="宋体" w:hAnsi="宋体" w:eastAsia="宋体" w:cs="宋体"/>
          <w:sz w:val="24"/>
          <w:szCs w:val="24"/>
        </w:rPr>
        <w:t>6.发明专利：</w:t>
      </w:r>
      <w:r>
        <w:rPr>
          <w:rFonts w:ascii="宋体" w:hAnsi="宋体" w:eastAsia="宋体" w:cs="宋体"/>
          <w:sz w:val="24"/>
          <w:szCs w:val="24"/>
        </w:rPr>
        <w:t>飞行器磁悬浮助推与捕获装置</w:t>
      </w:r>
      <w:r>
        <w:rPr>
          <w:rFonts w:hint="eastAsia" w:ascii="宋体" w:hAnsi="宋体" w:eastAsia="宋体" w:cs="宋体"/>
          <w:sz w:val="24"/>
          <w:szCs w:val="24"/>
        </w:rPr>
        <w:t>、</w:t>
      </w:r>
      <w:r>
        <w:rPr>
          <w:rFonts w:ascii="宋体" w:hAnsi="宋体" w:eastAsia="宋体" w:cs="宋体"/>
          <w:sz w:val="24"/>
          <w:szCs w:val="24"/>
        </w:rPr>
        <w:t>低电磁力波动的永磁直线同步电机</w:t>
      </w:r>
      <w:r>
        <w:rPr>
          <w:rFonts w:hint="eastAsia" w:ascii="宋体" w:hAnsi="宋体" w:eastAsia="宋体" w:cs="宋体"/>
          <w:sz w:val="24"/>
          <w:szCs w:val="24"/>
        </w:rPr>
        <w:t>、</w:t>
      </w:r>
      <w:r>
        <w:rPr>
          <w:rFonts w:ascii="宋体" w:hAnsi="宋体" w:eastAsia="宋体" w:cs="宋体"/>
          <w:sz w:val="24"/>
          <w:szCs w:val="24"/>
        </w:rPr>
        <w:t>飞行器磁悬浮着陆接收装置</w:t>
      </w:r>
      <w:r>
        <w:rPr>
          <w:rFonts w:hint="eastAsia" w:ascii="宋体" w:hAnsi="宋体" w:eastAsia="宋体" w:cs="宋体"/>
          <w:sz w:val="24"/>
          <w:szCs w:val="24"/>
        </w:rPr>
        <w:t>、</w:t>
      </w:r>
      <w:r>
        <w:rPr>
          <w:rFonts w:ascii="宋体" w:hAnsi="宋体" w:eastAsia="宋体" w:cs="宋体"/>
          <w:sz w:val="24"/>
          <w:szCs w:val="24"/>
        </w:rPr>
        <w:t>一种飞行器着陆器</w:t>
      </w:r>
      <w:r>
        <w:rPr>
          <w:rFonts w:hint="eastAsia" w:ascii="宋体" w:hAnsi="宋体" w:eastAsia="宋体" w:cs="宋体"/>
          <w:sz w:val="24"/>
          <w:szCs w:val="24"/>
        </w:rPr>
        <w:t>。</w:t>
      </w:r>
    </w:p>
    <w:p>
      <w:pPr>
        <w:spacing w:before="156" w:beforeLines="50"/>
        <w:ind w:firstLine="480" w:firstLineChars="200"/>
        <w:rPr>
          <w:rFonts w:hint="eastAsia" w:ascii="宋体" w:hAnsi="宋体" w:eastAsia="宋体" w:cs="宋体"/>
          <w:sz w:val="24"/>
          <w:szCs w:val="24"/>
        </w:rPr>
      </w:pPr>
      <w:r>
        <w:rPr>
          <w:rFonts w:hint="eastAsia" w:ascii="宋体" w:hAnsi="宋体" w:eastAsia="宋体" w:cs="宋体"/>
          <w:sz w:val="24"/>
          <w:szCs w:val="24"/>
        </w:rPr>
        <w:t>7.获奖与荣誉：第七届金桥奖先进个人奖（国家科学技术奖励工作办公室授权认定，中国技术市场协会颁发），2014年度；詹天佑铁道科学技术奖--专项奖（科技奖），2020年度；中国交通运输协会科学技术奖科技创新青年奖励（编号：YIA-2022041），2022年度；中国交通运输协会科学技术奖一等奖（名称：全自动运行胶轮路轨旅客捷运系统研究与产业化，编号：EI-A-2022017-R05），2022年度；中国交通运输协会科学技术奖一等奖（名称：面向全自动运行的城市轨道交通站-车通信系统智能化关键技术，编号：PRO-EI-A-2023011-R05），2023年度；中国交通运输协会科学技术奖一等奖（名称：轨道交通列车旋转机械智能运维关键技术及应用，编号：PRO-EI-A-2024015-R04），2024年度；中国交通运输协会科学技术奖一等奖（名称：飞行与空管一体化智慧协同关键技术研究与应用，编号：PRO-EI-C-2025081-R05），2025年度等。</w:t>
      </w:r>
    </w:p>
    <w:p>
      <w:pPr>
        <w:spacing w:before="156" w:beforeLines="50"/>
        <w:ind w:firstLine="480" w:firstLineChars="200"/>
        <w:rPr>
          <w:rFonts w:hint="eastAsia" w:ascii="宋体" w:hAnsi="宋体" w:eastAsia="宋体" w:cs="宋体"/>
          <w:sz w:val="24"/>
          <w:szCs w:val="24"/>
        </w:rPr>
      </w:pPr>
      <w:r>
        <w:rPr>
          <w:rFonts w:hint="eastAsia" w:ascii="宋体" w:hAnsi="宋体" w:eastAsia="宋体" w:cs="宋体"/>
          <w:sz w:val="24"/>
          <w:szCs w:val="24"/>
        </w:rPr>
        <w:t>8.政府与机构专家：教育部学位与研究生教育发展中心评审专家（2014）、唐山市政府特聘专家（2020）、国家能源集团投资专家咨询委员会专家（2020）、中国交通运输协会标准化技术委员会专家（2021）、大连市轨道交通智能控制与智慧运行技术创新中心技术指导委员会委员（2022）、中国南方航空股份有限公司民航维修工程技术研究中心技术委员会委员（2023）、中国交通运输协会轨道装备技术专业委员会副秘书长（2023）、中国技术市场协会标准化工作委员会委员（2024）等。</w:t>
      </w:r>
    </w:p>
    <w:p>
      <w:pPr>
        <w:spacing w:before="156" w:beforeLines="50"/>
        <w:rPr>
          <w:rFonts w:hint="eastAsia" w:ascii="黑体" w:hAnsi="黑体" w:eastAsia="黑体"/>
          <w:b w:val="1"/>
          <w:bCs w:val="1"/>
          <w:sz w:val="28"/>
          <w:szCs w:val="28"/>
        </w:rPr>
      </w:pPr>
      <w:r>
        <w:rPr>
          <w:rFonts w:hint="eastAsia" w:ascii="黑体" w:hAnsi="黑体" w:eastAsia="黑体"/>
          <w:b w:val="1"/>
          <w:bCs w:val="1"/>
          <w:sz w:val="28"/>
          <w:szCs w:val="28"/>
        </w:rPr>
        <w:t>（</w:t>
      </w:r>
      <w:r>
        <w:rPr>
          <w:rFonts w:hint="eastAsia" w:ascii="宋体" w:hAnsi="宋体" w:eastAsia="宋体" w:cs="宋体"/>
          <w:b w:val="1"/>
          <w:bCs w:val="1"/>
          <w:sz w:val="24"/>
          <w:szCs w:val="24"/>
        </w:rPr>
        <w:t>二）成员介绍</w:t>
      </w:r>
    </w:p>
    <w:tbl>
      <w:tblPr>
        <w:tblpPr w:leftFromText="180" w:rightFromText="180" w:vertAnchor="text" w:tblpXSpec="center" w:tblpY="1"/>
        <w:tblOverlap w:val="never"/>
        <w:tblW w:w="0" w:type="auto"/>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left w:w="10" w:type="dxa"/>
          <w:right w:w="10" w:type="dxa"/>
        </w:tblCellMar>
        <w:tblLook w:firstRow="1" w:lastRow="0" w:firstColumn="1" w:lastColumn="0" w:noHBand="0" w:noVBand="1" w:val="04A0"/>
      </w:tblPr>
      <w:tblGrid>
        <w:gridCol w:w="666"/>
        <w:gridCol w:w="1320"/>
        <w:gridCol w:w="1046"/>
        <w:gridCol w:w="3687"/>
        <w:gridCol w:w="2367"/>
      </w:tblGrid>
      <w:tr>
        <w:trPr>
          <w:tblHeader w:val="1"/>
        </w:trPr>
        <w:tc>
          <w:tcPr>
            <w:tcW w:w="666" w:type="dxa"/>
            <w:tcBorders>
              <w:top w:val="single" w:color="auto" w:sz="4" w:space="0"/>
              <w:left w:val="single" w:color="auto" w:sz="4" w:space="0"/>
              <w:bottom w:val="single" w:color="auto" w:sz="4" w:space="0"/>
              <w:right w:val="single" w:color="auto" w:sz="4" w:space="0"/>
            </w:tcBorders>
            <w:shd w:val="clear" w:color="auto" w:fill="C1E4F5" w:themeFill="accent1" w:themeFillTint="33"/>
            <w:tcMar>
              <w:top w:w="60" w:type="dxa"/>
              <w:left w:w="120" w:type="dxa"/>
              <w:bottom w:w="30" w:type="dxa"/>
              <w:right w:w="120" w:type="dxa"/>
            </w:tcMar>
            <w:vAlign w:val="center"/>
          </w:tcPr>
          <w:p>
            <w:pPr>
              <w:keepNext w:val="1"/>
              <w:snapToGrid w:val="0"/>
              <w:spacing w:before="120" w:after="120"/>
              <w:jc w:val="center"/>
              <w:rPr>
                <w:rFonts w:hint="eastAsia" w:ascii="楷体" w:hAnsi="楷体" w:eastAsia="楷体" w:cs="等线"/>
                <w:b w:val="1"/>
                <w:sz w:val="20"/>
                <w:szCs w:val="20"/>
              </w:rPr>
            </w:pPr>
            <w:r>
              <w:rPr>
                <w:rFonts w:hint="eastAsia" w:ascii="楷体" w:hAnsi="楷体" w:eastAsia="楷体" w:cs="等线"/>
                <w:b w:val="1"/>
                <w:sz w:val="20"/>
                <w:szCs w:val="20"/>
              </w:rPr>
              <w:t>核心岗位</w:t>
            </w:r>
          </w:p>
        </w:tc>
        <w:tc>
          <w:tcPr>
            <w:tcW w:w="1320" w:type="dxa"/>
            <w:tcBorders>
              <w:top w:val="single" w:color="auto" w:sz="4" w:space="0"/>
              <w:left w:val="single" w:color="auto" w:sz="4" w:space="0"/>
              <w:bottom w:val="single" w:color="auto" w:sz="4" w:space="0"/>
              <w:right w:val="single" w:color="auto" w:sz="4" w:space="0"/>
            </w:tcBorders>
            <w:shd w:val="clear" w:color="auto" w:fill="C1E4F5" w:themeFill="accent1" w:themeFillTint="33"/>
            <w:tcMar>
              <w:top w:w="60" w:type="dxa"/>
              <w:left w:w="120" w:type="dxa"/>
              <w:bottom w:w="30" w:type="dxa"/>
              <w:right w:w="120" w:type="dxa"/>
            </w:tcMar>
            <w:vAlign w:val="center"/>
          </w:tcPr>
          <w:p>
            <w:pPr>
              <w:keepNext w:val="1"/>
              <w:snapToGrid w:val="0"/>
              <w:spacing w:before="120" w:after="120"/>
              <w:jc w:val="center"/>
              <w:rPr>
                <w:rFonts w:hint="eastAsia" w:ascii="楷体" w:hAnsi="楷体" w:eastAsia="楷体" w:cs="等线"/>
                <w:b w:val="1"/>
                <w:sz w:val="20"/>
                <w:szCs w:val="20"/>
              </w:rPr>
            </w:pPr>
            <w:r>
              <w:rPr>
                <w:rFonts w:hint="eastAsia" w:ascii="楷体" w:hAnsi="楷体" w:eastAsia="楷体" w:cs="等线"/>
                <w:b w:val="1"/>
                <w:sz w:val="20"/>
                <w:szCs w:val="20"/>
              </w:rPr>
              <w:t>姓名</w:t>
            </w:r>
          </w:p>
        </w:tc>
        <w:tc>
          <w:tcPr>
            <w:tcW w:w="1046" w:type="dxa"/>
            <w:tcBorders>
              <w:top w:val="single" w:color="auto" w:sz="4" w:space="0"/>
              <w:left w:val="single" w:color="auto" w:sz="4" w:space="0"/>
              <w:bottom w:val="single" w:color="auto" w:sz="4" w:space="0"/>
              <w:right w:val="single" w:color="auto" w:sz="4" w:space="0"/>
            </w:tcBorders>
            <w:shd w:val="clear" w:color="auto" w:fill="C1E4F5" w:themeFill="accent1" w:themeFillTint="33"/>
            <w:tcMar>
              <w:top w:w="60" w:type="dxa"/>
              <w:left w:w="120" w:type="dxa"/>
              <w:bottom w:w="30" w:type="dxa"/>
              <w:right w:w="120" w:type="dxa"/>
            </w:tcMar>
            <w:vAlign w:val="center"/>
          </w:tcPr>
          <w:p>
            <w:pPr>
              <w:keepNext w:val="1"/>
              <w:snapToGrid w:val="0"/>
              <w:spacing w:before="120" w:after="120"/>
              <w:jc w:val="center"/>
              <w:rPr>
                <w:rFonts w:hint="eastAsia" w:ascii="楷体" w:hAnsi="楷体" w:eastAsia="楷体" w:cs="等线"/>
                <w:b w:val="1"/>
                <w:sz w:val="20"/>
                <w:szCs w:val="20"/>
              </w:rPr>
            </w:pPr>
            <w:r>
              <w:rPr>
                <w:rFonts w:hint="eastAsia" w:ascii="楷体" w:hAnsi="楷体" w:eastAsia="楷体" w:cs="等线"/>
                <w:b w:val="1"/>
                <w:sz w:val="20"/>
                <w:szCs w:val="20"/>
              </w:rPr>
              <w:t>研究方向/本科专业</w:t>
            </w:r>
          </w:p>
        </w:tc>
        <w:tc>
          <w:tcPr>
            <w:tcW w:w="3687" w:type="dxa"/>
            <w:tcBorders>
              <w:top w:val="single" w:color="auto" w:sz="4" w:space="0"/>
              <w:left w:val="single" w:color="auto" w:sz="4" w:space="0"/>
              <w:bottom w:val="single" w:color="auto" w:sz="4" w:space="0"/>
              <w:right w:val="single" w:color="auto" w:sz="4" w:space="0"/>
            </w:tcBorders>
            <w:shd w:val="clear" w:color="auto" w:fill="C1E4F5" w:themeFill="accent1" w:themeFillTint="33"/>
            <w:tcMar>
              <w:top w:w="60" w:type="dxa"/>
              <w:left w:w="120" w:type="dxa"/>
              <w:bottom w:w="30" w:type="dxa"/>
              <w:right w:w="120" w:type="dxa"/>
            </w:tcMar>
            <w:vAlign w:val="center"/>
          </w:tcPr>
          <w:p>
            <w:pPr>
              <w:keepNext w:val="1"/>
              <w:snapToGrid w:val="0"/>
              <w:spacing w:before="120" w:after="120"/>
              <w:jc w:val="center"/>
              <w:rPr>
                <w:rFonts w:hint="eastAsia" w:ascii="楷体" w:hAnsi="楷体" w:eastAsia="楷体" w:cs="等线"/>
                <w:b w:val="1"/>
                <w:sz w:val="20"/>
                <w:szCs w:val="20"/>
              </w:rPr>
            </w:pPr>
            <w:r>
              <w:rPr>
                <w:rFonts w:hint="eastAsia" w:ascii="楷体" w:hAnsi="楷体" w:eastAsia="楷体" w:cs="等线"/>
                <w:b w:val="1"/>
                <w:sz w:val="20"/>
                <w:szCs w:val="20"/>
              </w:rPr>
              <w:t>个人介绍</w:t>
            </w:r>
          </w:p>
        </w:tc>
        <w:tc>
          <w:tcPr>
            <w:tcW w:w="2367" w:type="dxa"/>
            <w:tcBorders>
              <w:top w:val="single" w:color="auto" w:sz="4" w:space="0"/>
              <w:left w:val="single" w:color="auto" w:sz="4" w:space="0"/>
              <w:bottom w:val="single" w:color="auto" w:sz="4" w:space="0"/>
              <w:right w:val="single" w:color="auto" w:sz="4" w:space="0"/>
            </w:tcBorders>
            <w:shd w:val="clear" w:color="auto" w:fill="C1E4F5" w:themeFill="accent1" w:themeFillTint="33"/>
            <w:tcMar>
              <w:top w:w="60" w:type="dxa"/>
              <w:left w:w="120" w:type="dxa"/>
              <w:bottom w:w="30" w:type="dxa"/>
              <w:right w:w="120" w:type="dxa"/>
            </w:tcMar>
            <w:vAlign w:val="center"/>
          </w:tcPr>
          <w:p>
            <w:pPr>
              <w:keepNext w:val="1"/>
              <w:snapToGrid w:val="0"/>
              <w:spacing w:before="120" w:after="120"/>
              <w:jc w:val="center"/>
              <w:rPr>
                <w:rFonts w:hint="eastAsia" w:ascii="楷体" w:hAnsi="楷体" w:eastAsia="楷体" w:cs="等线"/>
                <w:b w:val="1"/>
                <w:sz w:val="20"/>
                <w:szCs w:val="20"/>
              </w:rPr>
            </w:pPr>
            <w:r>
              <w:rPr>
                <w:rFonts w:hint="eastAsia" w:ascii="楷体" w:hAnsi="楷体" w:eastAsia="楷体" w:cs="等线"/>
                <w:b w:val="1"/>
                <w:sz w:val="20"/>
                <w:szCs w:val="20"/>
              </w:rPr>
              <w:t>核心能力及</w:t>
            </w:r>
          </w:p>
          <w:p>
            <w:pPr>
              <w:keepNext w:val="1"/>
              <w:snapToGrid w:val="0"/>
              <w:spacing w:before="120" w:after="120"/>
              <w:jc w:val="center"/>
              <w:rPr>
                <w:rFonts w:hint="eastAsia" w:ascii="楷体" w:hAnsi="楷体" w:eastAsia="楷体" w:cs="等线"/>
                <w:b w:val="1"/>
                <w:sz w:val="20"/>
                <w:szCs w:val="20"/>
              </w:rPr>
            </w:pPr>
            <w:r>
              <w:rPr>
                <w:rFonts w:hint="eastAsia" w:ascii="楷体" w:hAnsi="楷体" w:eastAsia="楷体" w:cs="等线"/>
                <w:b w:val="1"/>
                <w:sz w:val="20"/>
                <w:szCs w:val="20"/>
              </w:rPr>
              <w:t>团队主要工作</w:t>
            </w:r>
          </w:p>
        </w:tc>
      </w:tr>
      <w:tr>
        <w:trPr/>
        <w:tc>
          <w:tcPr>
            <w:tcW w:w="666" w:type="dxa"/>
            <w:tcBorders>
              <w:top w:val="single" w:color="auto" w:sz="4" w:space="0"/>
              <w:left w:val="single" w:color="auto" w:sz="4" w:space="0"/>
              <w:right w:val="single" w:color="auto" w:sz="4" w:space="0"/>
            </w:tcBorders>
            <w:shd w:val="clear" w:color="auto" w:fill="C1E4F5" w:themeFill="accent1" w:themeFillTint="33"/>
            <w:tcMar>
              <w:top w:w="60" w:type="dxa"/>
              <w:left w:w="120" w:type="dxa"/>
              <w:bottom w:w="30" w:type="dxa"/>
              <w:right w:w="120" w:type="dxa"/>
            </w:tcMar>
            <w:vAlign w:val="center"/>
          </w:tcPr>
          <w:p>
            <w:pPr>
              <w:keepNext w:val="1"/>
              <w:snapToGrid w:val="0"/>
              <w:spacing w:before="120" w:after="120"/>
              <w:jc w:val="center"/>
              <w:rPr>
                <w:rFonts w:hint="eastAsia" w:ascii="楷体" w:hAnsi="楷体" w:eastAsia="楷体" w:cs="等线"/>
                <w:sz w:val="20"/>
                <w:szCs w:val="20"/>
              </w:rPr>
            </w:pPr>
            <w:r>
              <w:rPr>
                <w:rFonts w:hint="eastAsia" w:ascii="楷体" w:hAnsi="楷体" w:eastAsia="楷体" w:cs="等线"/>
                <w:sz w:val="20"/>
                <w:szCs w:val="20"/>
              </w:rPr>
              <w:t>场景适配</w:t>
            </w:r>
          </w:p>
        </w:tc>
        <w:tc>
          <w:tcPr>
            <w:tcW w:w="132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pPr>
              <w:keepNext w:val="1"/>
              <w:snapToGrid w:val="0"/>
              <w:spacing w:before="120" w:after="120"/>
              <w:jc w:val="center"/>
              <w:rPr>
                <w:rFonts w:hint="eastAsia" w:ascii="楷体" w:hAnsi="楷体" w:eastAsia="楷体" w:cs="等线"/>
                <w:noProof w:val="1"/>
                <w:sz w:val="20"/>
                <w:szCs w:val="20"/>
              </w:rPr>
            </w:pPr>
            <w:r>
              <w:rPr>
                <w:rFonts w:hint="eastAsia" w:ascii="楷体" w:hAnsi="楷体" w:eastAsia="楷体" w:cs="等线"/>
                <w:noProof w:val="1"/>
                <w:sz w:val="20"/>
                <w:szCs w:val="20"/>
              </w:rPr>
              <w:drawing>
                <wp:inline distT="0" distB="0" distL="114300" distR="114300">
                  <wp:extent cx="675005" cy="944245"/>
                  <wp:effectExtent l="0" t="0" r="1270" b="8255"/>
                  <wp:docPr id="35" name="图片 21" descr="b379bf4662e909ec3ba38679854c4cfa"/>
                  <wp:cNvGraphicFramePr>
                    <a:graphicFrameLocks noChangeAspect="1"/>
                  </wp:cNvGraphicFramePr>
                  <a:graphic>
                    <a:graphicData uri="http://schemas.openxmlformats.org/drawingml/2006/picture">
                      <pic:pic>
                        <pic:nvPicPr>
                          <pic:cNvPr id="36" name="图片 21" descr="b379bf4662e909ec3ba38679854c4cfa"/>
                          <pic:cNvPicPr>
                            <a:picLocks noChangeAspect="1"/>
                          </pic:cNvPicPr>
                        </pic:nvPicPr>
                        <pic:blipFill>
                          <a:blip r:embed="rId26"/>
                          <a:stretch>
                            <a:fillRect/>
                          </a:stretch>
                        </pic:blipFill>
                        <pic:spPr>
                          <a:xfrm>
                            <a:off x="0" y="0"/>
                            <a:ext cx="675005" cy="944245"/>
                          </a:xfrm>
                          <a:prstGeom prst="rect">
                            <a:avLst/>
                          </a:prstGeom>
                        </pic:spPr>
                      </pic:pic>
                    </a:graphicData>
                  </a:graphic>
                </wp:inline>
              </w:drawing>
            </w:r>
            <w:r>
              <w:rPr>
                <w:rFonts w:hint="eastAsia" w:ascii="楷体" w:hAnsi="楷体" w:eastAsia="楷体" w:cs="等线"/>
                <w:sz w:val="20"/>
                <w:szCs w:val="20"/>
              </w:rPr>
              <w:t>王骏宁</w:t>
            </w:r>
          </w:p>
        </w:tc>
        <w:tc>
          <w:tcPr>
            <w:tcW w:w="1046"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pPr>
              <w:keepNext w:val="1"/>
              <w:snapToGrid w:val="0"/>
              <w:spacing w:before="120" w:after="120"/>
              <w:jc w:val="center"/>
              <w:rPr>
                <w:rFonts w:hint="eastAsia" w:ascii="楷体" w:hAnsi="楷体" w:eastAsia="楷体" w:cs="等线"/>
                <w:sz w:val="20"/>
                <w:szCs w:val="20"/>
              </w:rPr>
            </w:pPr>
            <w:r>
              <w:rPr>
                <w:rFonts w:hint="eastAsia" w:ascii="楷体" w:hAnsi="楷体" w:eastAsia="楷体" w:cs="等线"/>
                <w:sz w:val="20"/>
                <w:szCs w:val="20"/>
              </w:rPr>
              <w:t>环境工程</w:t>
            </w:r>
          </w:p>
        </w:tc>
        <w:tc>
          <w:tcPr>
            <w:tcW w:w="3687"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pPr>
              <w:keepNext w:val="1"/>
              <w:snapToGrid w:val="0"/>
              <w:spacing w:before="120" w:after="120"/>
              <w:jc w:val="center"/>
              <w:rPr>
                <w:rFonts w:hint="eastAsia" w:ascii="楷体" w:hAnsi="楷体" w:eastAsia="楷体" w:cs="等线"/>
                <w:sz w:val="20"/>
                <w:szCs w:val="20"/>
              </w:rPr>
            </w:pPr>
            <w:r>
              <w:rPr>
                <w:rFonts w:hint="eastAsia" w:ascii="楷体" w:hAnsi="楷体" w:eastAsia="楷体" w:cs="等线"/>
                <w:sz w:val="20"/>
                <w:szCs w:val="20"/>
              </w:rPr>
              <w:t>获国家奖学金，一等学习、社会工作优秀奖学金；团委办公室担任副部，校级优秀共青团员；获山东省数学竞赛三等奖、中国中车杯校一等奖，并作为第一负责人进入国赛阶段</w:t>
            </w:r>
          </w:p>
        </w:tc>
        <w:tc>
          <w:tcPr>
            <w:tcW w:w="2367" w:type="dxa"/>
            <w:tcBorders>
              <w:top w:val="single" w:color="auto" w:sz="4" w:space="0"/>
              <w:left w:val="single" w:color="auto" w:sz="4" w:space="0"/>
              <w:right w:val="single" w:color="auto" w:sz="4" w:space="0"/>
            </w:tcBorders>
            <w:tcMar>
              <w:top w:w="60" w:type="dxa"/>
              <w:left w:w="120" w:type="dxa"/>
              <w:bottom w:w="30" w:type="dxa"/>
              <w:right w:w="120" w:type="dxa"/>
            </w:tcMar>
            <w:vAlign w:val="center"/>
          </w:tcPr>
          <w:p>
            <w:pPr>
              <w:keepNext w:val="1"/>
              <w:snapToGrid w:val="0"/>
              <w:spacing w:before="120" w:after="120"/>
              <w:jc w:val="left"/>
              <w:rPr>
                <w:rFonts w:hint="eastAsia" w:ascii="楷体" w:hAnsi="楷体" w:eastAsia="楷体" w:cs="等线"/>
                <w:sz w:val="20"/>
                <w:szCs w:val="20"/>
              </w:rPr>
            </w:pPr>
            <w:r>
              <w:rPr>
                <w:rFonts w:hint="eastAsia" w:ascii="楷体" w:hAnsi="楷体" w:eastAsia="楷体" w:cs="等线"/>
                <w:sz w:val="20"/>
                <w:szCs w:val="20"/>
              </w:rPr>
              <w:t>具备较强的数据分析与建模能力，熟悉复杂场景下的模型适配逻辑，工况数据分析、环境适应性研究、数据整理分析</w:t>
            </w:r>
          </w:p>
          <w:p>
            <w:pPr>
              <w:keepNext w:val="1"/>
              <w:snapToGrid w:val="0"/>
              <w:spacing w:before="120" w:after="120"/>
              <w:jc w:val="left"/>
              <w:rPr>
                <w:rFonts w:hint="eastAsia" w:ascii="楷体" w:hAnsi="楷体" w:eastAsia="楷体" w:cs="等线"/>
                <w:sz w:val="20"/>
                <w:szCs w:val="20"/>
              </w:rPr>
            </w:pPr>
            <w:r>
              <w:rPr>
                <w:rFonts w:hint="eastAsia" w:ascii="楷体" w:hAnsi="楷体" w:eastAsia="楷体" w:cs="等线"/>
                <w:sz w:val="20"/>
                <w:szCs w:val="20"/>
              </w:rPr>
              <w:t>负责车载复杂环境/全国道路工况数据分析，为产品环境适配、模型优化提供数据支撑</w:t>
            </w:r>
          </w:p>
        </w:tc>
      </w:tr>
      <w:tr>
        <w:trPr/>
        <w:tc>
          <w:tcPr>
            <w:tcW w:w="666" w:type="dxa"/>
            <w:tcBorders>
              <w:top w:val="single" w:color="auto" w:sz="4" w:space="0"/>
              <w:left w:val="single" w:color="auto" w:sz="4" w:space="0"/>
              <w:bottom w:val="single" w:color="auto" w:sz="4" w:space="0"/>
              <w:right w:val="single" w:color="auto" w:sz="4" w:space="0"/>
            </w:tcBorders>
            <w:shd w:val="clear" w:color="auto" w:fill="C1E4F5" w:themeFill="accent1" w:themeFillTint="33"/>
            <w:tcMar>
              <w:top w:w="60" w:type="dxa"/>
              <w:left w:w="120" w:type="dxa"/>
              <w:bottom w:w="30" w:type="dxa"/>
              <w:right w:w="120" w:type="dxa"/>
            </w:tcMar>
            <w:vAlign w:val="center"/>
          </w:tcPr>
          <w:p>
            <w:pPr>
              <w:keepNext w:val="1"/>
              <w:snapToGrid w:val="0"/>
              <w:spacing w:before="120" w:after="120"/>
              <w:jc w:val="center"/>
              <w:rPr>
                <w:rFonts w:hint="eastAsia" w:ascii="楷体" w:hAnsi="楷体" w:eastAsia="楷体" w:cs="等线"/>
                <w:sz w:val="20"/>
                <w:szCs w:val="20"/>
              </w:rPr>
            </w:pPr>
            <w:r>
              <w:rPr>
                <w:rFonts w:hint="eastAsia" w:ascii="楷体" w:hAnsi="楷体" w:eastAsia="楷体" w:cs="等线"/>
                <w:sz w:val="20"/>
                <w:szCs w:val="20"/>
              </w:rPr>
              <w:t>商业运营</w:t>
            </w:r>
          </w:p>
        </w:tc>
        <w:tc>
          <w:tcPr>
            <w:tcW w:w="132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pPr>
              <w:keepNext w:val="1"/>
              <w:snapToGrid w:val="0"/>
              <w:spacing w:before="120" w:after="120"/>
              <w:jc w:val="center"/>
              <w:rPr>
                <w:rFonts w:hint="eastAsia" w:ascii="楷体" w:hAnsi="楷体" w:eastAsia="楷体" w:cs="等线"/>
                <w:sz w:val="20"/>
                <w:szCs w:val="20"/>
              </w:rPr>
            </w:pPr>
            <w:r>
              <w:rPr>
                <w:rFonts w:hint="eastAsia" w:ascii="楷体" w:hAnsi="楷体" w:eastAsia="楷体" w:cs="等线"/>
                <w:noProof w:val="1"/>
                <w:sz w:val="20"/>
                <w:szCs w:val="20"/>
              </w:rPr>
              <w:drawing>
                <wp:inline distT="0" distB="0" distL="114300" distR="114300">
                  <wp:extent cx="675005" cy="944880"/>
                  <wp:effectExtent l="0" t="0" r="1270" b="7620"/>
                  <wp:docPr id="38" name="图片 20" descr="85abe0c90cc4a88febca131b9ec1a5e2"/>
                  <wp:cNvGraphicFramePr>
                    <a:graphicFrameLocks noChangeAspect="1"/>
                  </wp:cNvGraphicFramePr>
                  <a:graphic>
                    <a:graphicData uri="http://schemas.openxmlformats.org/drawingml/2006/picture">
                      <pic:pic>
                        <pic:nvPicPr>
                          <pic:cNvPr id="39" name="图片 20" descr="85abe0c90cc4a88febca131b9ec1a5e2"/>
                          <pic:cNvPicPr>
                            <a:picLocks noChangeAspect="1"/>
                          </pic:cNvPicPr>
                        </pic:nvPicPr>
                        <pic:blipFill>
                          <a:blip r:embed="rId27"/>
                          <a:stretch>
                            <a:fillRect/>
                          </a:stretch>
                        </pic:blipFill>
                        <pic:spPr>
                          <a:xfrm>
                            <a:off x="0" y="0"/>
                            <a:ext cx="675005" cy="944880"/>
                          </a:xfrm>
                          <a:prstGeom prst="rect">
                            <a:avLst/>
                          </a:prstGeom>
                        </pic:spPr>
                      </pic:pic>
                    </a:graphicData>
                  </a:graphic>
                </wp:inline>
              </w:drawing>
            </w:r>
            <w:r>
              <w:rPr>
                <w:rFonts w:hint="eastAsia" w:ascii="楷体" w:hAnsi="楷体" w:eastAsia="楷体" w:cs="等线"/>
                <w:sz w:val="20"/>
                <w:szCs w:val="20"/>
              </w:rPr>
              <w:t>宗芳羽</w:t>
            </w:r>
          </w:p>
        </w:tc>
        <w:tc>
          <w:tcPr>
            <w:tcW w:w="1046"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pPr>
              <w:keepNext w:val="1"/>
              <w:snapToGrid w:val="0"/>
              <w:spacing w:before="120" w:after="120"/>
              <w:jc w:val="center"/>
              <w:rPr>
                <w:rFonts w:hint="eastAsia" w:ascii="楷体" w:hAnsi="楷体" w:eastAsia="楷体" w:cs="等线"/>
                <w:sz w:val="20"/>
                <w:szCs w:val="20"/>
              </w:rPr>
            </w:pPr>
            <w:r>
              <w:rPr>
                <w:rFonts w:hint="eastAsia" w:ascii="楷体" w:hAnsi="楷体" w:eastAsia="楷体" w:cs="等线"/>
                <w:sz w:val="20"/>
                <w:szCs w:val="20"/>
              </w:rPr>
              <w:t>工商管理</w:t>
            </w:r>
          </w:p>
        </w:tc>
        <w:tc>
          <w:tcPr>
            <w:tcW w:w="3687"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pPr>
              <w:keepNext w:val="1"/>
              <w:snapToGrid w:val="0"/>
              <w:spacing w:before="120" w:after="120"/>
              <w:jc w:val="center"/>
              <w:rPr>
                <w:rFonts w:hint="eastAsia" w:ascii="楷体" w:hAnsi="楷体" w:eastAsia="楷体" w:cs="等线"/>
                <w:sz w:val="20"/>
                <w:szCs w:val="20"/>
              </w:rPr>
            </w:pPr>
            <w:r>
              <w:rPr>
                <w:rFonts w:hint="eastAsia" w:ascii="楷体" w:hAnsi="楷体" w:eastAsia="楷体" w:cs="等线"/>
                <w:sz w:val="20"/>
                <w:szCs w:val="20"/>
              </w:rPr>
              <w:t>北京交通大学工商管理专业24级学生，擅长商业分析、策划，二等学习优秀奖学金；项目经历丰富，团队协作能力强；CDA数据分析持证人。</w:t>
            </w:r>
          </w:p>
        </w:tc>
        <w:tc>
          <w:tcPr>
            <w:tcW w:w="2367"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pPr>
              <w:keepNext w:val="1"/>
              <w:snapToGrid w:val="0"/>
              <w:spacing w:before="120" w:after="120"/>
              <w:jc w:val="left"/>
              <w:rPr>
                <w:rFonts w:hint="eastAsia" w:ascii="楷体" w:hAnsi="楷体" w:eastAsia="楷体" w:cs="等线"/>
                <w:sz w:val="20"/>
                <w:szCs w:val="20"/>
              </w:rPr>
            </w:pPr>
            <w:r>
              <w:rPr>
                <w:rFonts w:hint="eastAsia" w:ascii="楷体" w:hAnsi="楷体" w:eastAsia="楷体" w:cs="等线"/>
                <w:sz w:val="20"/>
                <w:szCs w:val="20"/>
              </w:rPr>
              <w:t>具备扎实的商业分析与运营基础，精准把握市场需求，市场分析、客户分层运营、商业模式设计、市场推广规划、行业资源对接</w:t>
            </w:r>
          </w:p>
          <w:p>
            <w:pPr>
              <w:keepNext w:val="1"/>
              <w:snapToGrid w:val="0"/>
              <w:spacing w:before="120" w:after="120"/>
              <w:jc w:val="left"/>
              <w:rPr>
                <w:rFonts w:hint="eastAsia" w:ascii="楷体" w:hAnsi="楷体" w:eastAsia="楷体" w:cs="等线"/>
                <w:sz w:val="20"/>
                <w:szCs w:val="20"/>
              </w:rPr>
            </w:pPr>
            <w:r>
              <w:rPr>
                <w:rFonts w:hint="eastAsia" w:ascii="楷体" w:hAnsi="楷体" w:eastAsia="楷体" w:cs="等线"/>
                <w:sz w:val="20"/>
                <w:szCs w:val="20"/>
              </w:rPr>
              <w:t>主导目标客户需求分析、产品分级定价、商业化路径设计及市场试点推广规划</w:t>
            </w:r>
          </w:p>
        </w:tc>
      </w:tr>
      <w:tr>
        <w:trPr/>
        <w:tc>
          <w:tcPr>
            <w:tcW w:w="666" w:type="dxa"/>
            <w:tcBorders>
              <w:top w:val="single" w:color="auto" w:sz="4" w:space="0"/>
              <w:left w:val="single" w:color="auto" w:sz="4" w:space="0"/>
              <w:bottom w:val="single" w:color="auto" w:sz="4" w:space="0"/>
              <w:right w:val="single" w:color="auto" w:sz="4" w:space="0"/>
            </w:tcBorders>
            <w:shd w:val="clear" w:color="auto" w:fill="C1E4F5" w:themeFill="accent1" w:themeFillTint="33"/>
            <w:tcMar>
              <w:top w:w="60" w:type="dxa"/>
              <w:left w:w="120" w:type="dxa"/>
              <w:bottom w:w="30" w:type="dxa"/>
              <w:right w:w="120" w:type="dxa"/>
            </w:tcMar>
            <w:vAlign w:val="center"/>
          </w:tcPr>
          <w:p>
            <w:pPr>
              <w:keepNext w:val="1"/>
              <w:snapToGrid w:val="0"/>
              <w:spacing w:before="120" w:after="120"/>
              <w:jc w:val="center"/>
              <w:rPr>
                <w:rFonts w:hint="eastAsia" w:ascii="楷体" w:hAnsi="楷体" w:eastAsia="楷体" w:cs="等线"/>
                <w:sz w:val="20"/>
                <w:szCs w:val="20"/>
              </w:rPr>
            </w:pPr>
            <w:r>
              <w:rPr>
                <w:rFonts w:hint="eastAsia" w:ascii="楷体" w:hAnsi="楷体" w:eastAsia="楷体" w:cs="等线"/>
                <w:sz w:val="20"/>
                <w:szCs w:val="20"/>
              </w:rPr>
              <w:t>财务规划</w:t>
            </w:r>
          </w:p>
        </w:tc>
        <w:tc>
          <w:tcPr>
            <w:tcW w:w="132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pPr>
              <w:keepNext w:val="1"/>
              <w:snapToGrid w:val="0"/>
              <w:spacing w:before="120" w:after="120"/>
              <w:jc w:val="center"/>
              <w:rPr>
                <w:rFonts w:hint="eastAsia" w:ascii="楷体" w:hAnsi="楷体" w:eastAsia="楷体" w:cs="等线"/>
                <w:sz w:val="20"/>
                <w:szCs w:val="20"/>
              </w:rPr>
            </w:pPr>
            <w:r>
              <w:rPr>
                <w:rFonts w:hint="eastAsia" w:ascii="楷体" w:hAnsi="楷体" w:eastAsia="楷体" w:cs="等线"/>
                <w:noProof w:val="1"/>
                <w:sz w:val="20"/>
                <w:szCs w:val="20"/>
              </w:rPr>
              <w:drawing>
                <wp:inline distT="0" distB="0" distL="114300" distR="114300">
                  <wp:extent cx="599440" cy="838200"/>
                  <wp:effectExtent l="0" t="0" r="635" b="0"/>
                  <wp:docPr id="41" name="图片 19" descr="d76409e2c291cd6287072365d79e9149"/>
                  <wp:cNvGraphicFramePr>
                    <a:graphicFrameLocks noChangeAspect="1"/>
                  </wp:cNvGraphicFramePr>
                  <a:graphic>
                    <a:graphicData uri="http://schemas.openxmlformats.org/drawingml/2006/picture">
                      <pic:pic>
                        <pic:nvPicPr>
                          <pic:cNvPr id="42" name="图片 19" descr="d76409e2c291cd6287072365d79e9149"/>
                          <pic:cNvPicPr>
                            <a:picLocks noChangeAspect="1"/>
                          </pic:cNvPicPr>
                        </pic:nvPicPr>
                        <pic:blipFill>
                          <a:blip r:embed="rId28"/>
                          <a:stretch>
                            <a:fillRect/>
                          </a:stretch>
                        </pic:blipFill>
                        <pic:spPr>
                          <a:xfrm>
                            <a:off x="0" y="0"/>
                            <a:ext cx="599440" cy="838200"/>
                          </a:xfrm>
                          <a:prstGeom prst="rect">
                            <a:avLst/>
                          </a:prstGeom>
                        </pic:spPr>
                      </pic:pic>
                    </a:graphicData>
                  </a:graphic>
                </wp:inline>
              </w:drawing>
            </w:r>
            <w:r>
              <w:rPr>
                <w:rFonts w:hint="eastAsia" w:ascii="楷体" w:hAnsi="楷体" w:eastAsia="楷体" w:cs="等线"/>
                <w:sz w:val="20"/>
                <w:szCs w:val="20"/>
              </w:rPr>
              <w:t>何欣悦</w:t>
            </w:r>
          </w:p>
        </w:tc>
        <w:tc>
          <w:tcPr>
            <w:tcW w:w="1046"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pPr>
              <w:keepNext w:val="1"/>
              <w:snapToGrid w:val="0"/>
              <w:spacing w:before="120" w:after="120"/>
              <w:jc w:val="center"/>
              <w:rPr>
                <w:rFonts w:hint="eastAsia" w:ascii="楷体" w:hAnsi="楷体" w:eastAsia="楷体" w:cs="等线"/>
                <w:sz w:val="20"/>
                <w:szCs w:val="20"/>
              </w:rPr>
            </w:pPr>
            <w:r>
              <w:rPr>
                <w:rFonts w:hint="eastAsia" w:ascii="楷体" w:hAnsi="楷体" w:eastAsia="楷体" w:cs="等线"/>
                <w:sz w:val="20"/>
                <w:szCs w:val="20"/>
              </w:rPr>
              <w:t>会计学</w:t>
            </w:r>
          </w:p>
        </w:tc>
        <w:tc>
          <w:tcPr>
            <w:tcW w:w="3687"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pPr>
              <w:keepNext w:val="1"/>
              <w:snapToGrid w:val="0"/>
              <w:spacing w:before="120" w:after="120"/>
              <w:jc w:val="center"/>
              <w:rPr>
                <w:rFonts w:hint="eastAsia" w:ascii="楷体" w:hAnsi="楷体" w:eastAsia="楷体" w:cs="等线"/>
                <w:sz w:val="20"/>
                <w:szCs w:val="20"/>
              </w:rPr>
            </w:pPr>
            <w:r>
              <w:rPr>
                <w:rFonts w:hint="eastAsia" w:ascii="楷体" w:hAnsi="楷体" w:eastAsia="楷体" w:cs="等线"/>
                <w:sz w:val="20"/>
                <w:szCs w:val="20"/>
              </w:rPr>
              <w:t>2022-2024年组建团队运营班级公众号；2023年1月参与厦大模拟创业、编制商业计划书；2022年8月参与社区志愿，优化天坛公园标牌选址并获认可，综合能力显著提升。</w:t>
            </w:r>
          </w:p>
        </w:tc>
        <w:tc>
          <w:tcPr>
            <w:tcW w:w="2367"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pPr>
              <w:keepNext w:val="1"/>
              <w:snapToGrid w:val="0"/>
              <w:spacing w:before="120" w:after="120"/>
              <w:jc w:val="left"/>
              <w:rPr>
                <w:rFonts w:hint="eastAsia" w:ascii="楷体" w:hAnsi="楷体" w:eastAsia="楷体" w:cs="等线"/>
                <w:sz w:val="20"/>
                <w:szCs w:val="20"/>
              </w:rPr>
            </w:pPr>
            <w:r>
              <w:rPr>
                <w:rFonts w:hint="eastAsia" w:ascii="楷体" w:hAnsi="楷体" w:eastAsia="楷体" w:cs="等线"/>
                <w:sz w:val="20"/>
                <w:szCs w:val="20"/>
              </w:rPr>
              <w:t>具备扎实的财务核算与建模能力，熟悉科创项目成本管控逻辑，成本测算、供应链价格管控、盈利模型构建、财务规划与风险评估</w:t>
            </w:r>
          </w:p>
          <w:p>
            <w:pPr>
              <w:keepNext w:val="1"/>
              <w:snapToGrid w:val="0"/>
              <w:spacing w:before="120" w:after="120"/>
              <w:jc w:val="left"/>
              <w:rPr>
                <w:rFonts w:hint="eastAsia" w:ascii="楷体" w:hAnsi="楷体" w:eastAsia="楷体" w:cs="等线"/>
                <w:sz w:val="20"/>
                <w:szCs w:val="20"/>
              </w:rPr>
            </w:pPr>
            <w:r>
              <w:rPr>
                <w:rFonts w:hint="eastAsia" w:ascii="楷体" w:hAnsi="楷体" w:eastAsia="楷体" w:cs="等线"/>
                <w:sz w:val="20"/>
                <w:szCs w:val="20"/>
              </w:rPr>
              <w:t>负责元器件成本测算、供应链成本管控、盈利模型搭建及项目全周期财务规划</w:t>
            </w:r>
          </w:p>
        </w:tc>
      </w:tr>
      <w:tr>
        <w:trPr/>
        <w:tc>
          <w:tcPr>
            <w:tcW w:w="666" w:type="dxa"/>
            <w:vMerge w:val="restart"/>
            <w:tcBorders>
              <w:top w:val="single" w:color="auto" w:sz="4" w:space="0"/>
              <w:left w:val="single" w:color="auto" w:sz="4" w:space="0"/>
              <w:right w:val="single" w:color="auto" w:sz="4" w:space="0"/>
            </w:tcBorders>
            <w:shd w:val="clear" w:color="auto" w:fill="C1E4F5" w:themeFill="accent1" w:themeFillTint="33"/>
            <w:tcMar>
              <w:top w:w="60" w:type="dxa"/>
              <w:left w:w="120" w:type="dxa"/>
              <w:bottom w:w="30" w:type="dxa"/>
              <w:right w:w="120" w:type="dxa"/>
            </w:tcMar>
            <w:vAlign w:val="center"/>
          </w:tcPr>
          <w:p>
            <w:pPr>
              <w:keepNext w:val="1"/>
              <w:snapToGrid w:val="0"/>
              <w:spacing w:before="120" w:after="120"/>
              <w:jc w:val="center"/>
              <w:rPr>
                <w:rFonts w:hint="eastAsia" w:ascii="楷体" w:hAnsi="楷体" w:eastAsia="楷体" w:cs="等线"/>
                <w:sz w:val="20"/>
                <w:szCs w:val="20"/>
              </w:rPr>
            </w:pPr>
            <w:r>
              <w:rPr>
                <w:rFonts w:hint="eastAsia" w:ascii="楷体" w:hAnsi="楷体" w:eastAsia="楷体" w:cs="等线"/>
                <w:sz w:val="20"/>
                <w:szCs w:val="20"/>
              </w:rPr>
              <w:t>技术研发</w:t>
            </w:r>
          </w:p>
        </w:tc>
        <w:tc>
          <w:tcPr>
            <w:tcW w:w="132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pPr>
              <w:keepNext w:val="1"/>
              <w:snapToGrid w:val="0"/>
              <w:spacing w:before="120" w:after="120"/>
              <w:jc w:val="center"/>
              <w:rPr>
                <w:rFonts w:hint="eastAsia" w:ascii="楷体" w:hAnsi="楷体" w:eastAsia="楷体" w:cs="等线"/>
                <w:sz w:val="20"/>
                <w:szCs w:val="20"/>
              </w:rPr>
            </w:pPr>
            <w:r>
              <w:rPr>
                <w:rFonts w:hint="eastAsia" w:ascii="楷体" w:hAnsi="楷体" w:eastAsia="楷体" w:cs="等线"/>
                <w:noProof w:val="1"/>
                <w:sz w:val="20"/>
                <w:szCs w:val="20"/>
              </w:rPr>
              <w:drawing>
                <wp:inline distT="0" distB="0" distL="114300" distR="114300">
                  <wp:extent cx="671195" cy="939800"/>
                  <wp:effectExtent l="0" t="0" r="5080" b="3175"/>
                  <wp:docPr id="44" name="图片 11" descr="58880dbe4ebf78756115862af6719ed9"/>
                  <wp:cNvGraphicFramePr>
                    <a:graphicFrameLocks noChangeAspect="1"/>
                  </wp:cNvGraphicFramePr>
                  <a:graphic>
                    <a:graphicData uri="http://schemas.openxmlformats.org/drawingml/2006/picture">
                      <pic:pic>
                        <pic:nvPicPr>
                          <pic:cNvPr id="45" name="图片 11" descr="58880dbe4ebf78756115862af6719ed9"/>
                          <pic:cNvPicPr>
                            <a:picLocks noChangeAspect="1"/>
                          </pic:cNvPicPr>
                        </pic:nvPicPr>
                        <pic:blipFill>
                          <a:blip r:embed="rId29"/>
                          <a:stretch>
                            <a:fillRect/>
                          </a:stretch>
                        </pic:blipFill>
                        <pic:spPr>
                          <a:xfrm>
                            <a:off x="0" y="0"/>
                            <a:ext cx="671195" cy="939800"/>
                          </a:xfrm>
                          <a:prstGeom prst="rect">
                            <a:avLst/>
                          </a:prstGeom>
                        </pic:spPr>
                      </pic:pic>
                    </a:graphicData>
                  </a:graphic>
                </wp:inline>
              </w:drawing>
            </w:r>
            <w:r>
              <w:rPr>
                <w:rFonts w:hint="eastAsia" w:ascii="楷体" w:hAnsi="楷体" w:eastAsia="楷体" w:cs="等线"/>
                <w:sz w:val="20"/>
                <w:szCs w:val="20"/>
              </w:rPr>
              <w:t>关霁恩</w:t>
            </w:r>
          </w:p>
        </w:tc>
        <w:tc>
          <w:tcPr>
            <w:tcW w:w="1046"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pPr>
              <w:keepNext w:val="1"/>
              <w:snapToGrid w:val="0"/>
              <w:spacing w:before="120" w:after="120"/>
              <w:jc w:val="center"/>
              <w:rPr>
                <w:rFonts w:hint="eastAsia" w:ascii="楷体" w:hAnsi="楷体" w:eastAsia="楷体" w:cs="等线"/>
                <w:sz w:val="20"/>
                <w:szCs w:val="20"/>
              </w:rPr>
            </w:pPr>
            <w:r>
              <w:rPr>
                <w:rFonts w:hint="eastAsia" w:ascii="楷体" w:hAnsi="楷体" w:eastAsia="楷体" w:cs="等线"/>
                <w:sz w:val="20"/>
                <w:szCs w:val="20"/>
              </w:rPr>
              <w:t>通信工程</w:t>
            </w:r>
          </w:p>
        </w:tc>
        <w:tc>
          <w:tcPr>
            <w:tcW w:w="3687"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pPr>
              <w:keepNext w:val="1"/>
              <w:snapToGrid w:val="0"/>
              <w:spacing w:before="120" w:after="120"/>
              <w:jc w:val="center"/>
              <w:rPr>
                <w:rFonts w:hint="eastAsia" w:ascii="楷体" w:hAnsi="楷体" w:eastAsia="楷体" w:cs="等线"/>
                <w:sz w:val="20"/>
                <w:szCs w:val="20"/>
              </w:rPr>
            </w:pPr>
            <w:r>
              <w:rPr>
                <w:rFonts w:hint="eastAsia" w:ascii="楷体" w:hAnsi="楷体" w:eastAsia="楷体" w:cs="等线"/>
                <w:sz w:val="20"/>
                <w:szCs w:val="20"/>
              </w:rPr>
              <w:t>获北京交通大学社会实践优秀奖学金、学习优秀二等奖学金、智瑾奖学金、山东省大学生数学竞赛三等奖、中国国际大学生、第十八届全国大学生节能减排社会实践与科技竞赛国家级三等奖、中国国际大学生创新大赛（2025）北京赛区三等奖、外研社国才杯英语口译赛项北京交通大学赛区银奖</w:t>
            </w:r>
          </w:p>
        </w:tc>
        <w:tc>
          <w:tcPr>
            <w:tcW w:w="2367" w:type="dxa"/>
            <w:vMerge w:val="restart"/>
            <w:tcBorders>
              <w:top w:val="single" w:color="auto" w:sz="4" w:space="0"/>
              <w:left w:val="single" w:color="auto" w:sz="4" w:space="0"/>
              <w:right w:val="single" w:color="auto" w:sz="4" w:space="0"/>
            </w:tcBorders>
            <w:tcMar>
              <w:top w:w="60" w:type="dxa"/>
              <w:left w:w="120" w:type="dxa"/>
              <w:bottom w:w="30" w:type="dxa"/>
              <w:right w:w="120" w:type="dxa"/>
            </w:tcMar>
            <w:vAlign w:val="center"/>
          </w:tcPr>
          <w:p>
            <w:pPr>
              <w:keepNext w:val="1"/>
              <w:snapToGrid w:val="0"/>
              <w:spacing w:before="120" w:after="120"/>
              <w:jc w:val="center"/>
              <w:rPr>
                <w:rFonts w:hint="eastAsia" w:ascii="楷体" w:hAnsi="楷体" w:eastAsia="楷体" w:cs="等线"/>
                <w:sz w:val="20"/>
                <w:szCs w:val="20"/>
              </w:rPr>
            </w:pPr>
            <w:r>
              <w:rPr>
                <w:rFonts w:hint="eastAsia" w:ascii="楷体" w:hAnsi="楷体" w:eastAsia="楷体" w:cs="等线"/>
                <w:sz w:val="20"/>
                <w:szCs w:val="20"/>
              </w:rPr>
              <w:t>具备扎实的嵌入式开发基础，熟悉车载硬件工况适配，参与学校科研平台相关技术研究，嵌入式开发、硬件电路设计、算法落地调试、雷达/传感器数据处理</w:t>
            </w:r>
          </w:p>
          <w:p>
            <w:pPr>
              <w:keepNext w:val="1"/>
              <w:snapToGrid w:val="0"/>
              <w:spacing w:before="120" w:after="120"/>
              <w:jc w:val="center"/>
              <w:rPr>
                <w:rFonts w:hint="eastAsia" w:ascii="楷体" w:hAnsi="楷体" w:eastAsia="楷体" w:cs="等线"/>
                <w:sz w:val="20"/>
                <w:szCs w:val="20"/>
              </w:rPr>
            </w:pPr>
            <w:r>
              <w:rPr>
                <w:rFonts w:hint="eastAsia" w:ascii="楷体" w:hAnsi="楷体" w:eastAsia="楷体" w:cs="等线"/>
                <w:sz w:val="20"/>
                <w:szCs w:val="20"/>
              </w:rPr>
              <w:t>深耕嵌入式开发与车载硬件设计，主导项目核心技术全流程落地。完成 ICC/ICCT 内轮差物理模型的 ESP32 嵌入式轻量化移植，负责主控板 PCB 原理图设计、硬件调试与外设驱动开发，搭建多传感器融合预警框架，完成实车功能验证与性能优化，统筹研发全周期进度，输出核心研发文档，支撑项目专利申报工作。</w:t>
            </w:r>
          </w:p>
        </w:tc>
      </w:tr>
      <w:tr>
        <w:trPr/>
        <w:tc>
          <w:tcPr>
            <w:tcW w:w="666" w:type="dxa"/>
            <w:vMerge w:val="continue"/>
            <w:tcBorders>
              <w:left w:val="single" w:color="auto" w:sz="4" w:space="0"/>
              <w:right w:val="single" w:color="auto" w:sz="4" w:space="0"/>
            </w:tcBorders>
            <w:shd w:val="clear" w:color="auto" w:fill="C1E4F5" w:themeFill="accent1" w:themeFillTint="33"/>
            <w:tcMar>
              <w:top w:w="60" w:type="dxa"/>
              <w:left w:w="120" w:type="dxa"/>
              <w:bottom w:w="30" w:type="dxa"/>
              <w:right w:w="120" w:type="dxa"/>
            </w:tcMar>
            <w:vAlign w:val="center"/>
          </w:tcPr>
          <w:p>
            <w:pPr>
              <w:keepNext w:val="1"/>
              <w:snapToGrid w:val="0"/>
              <w:spacing w:before="120" w:after="120"/>
              <w:jc w:val="center"/>
              <w:rPr>
                <w:rFonts w:hint="eastAsia" w:ascii="楷体" w:hAnsi="楷体" w:eastAsia="楷体" w:cs="等线"/>
                <w:sz w:val="20"/>
                <w:szCs w:val="20"/>
              </w:rPr>
            </w:pPr>
          </w:p>
        </w:tc>
        <w:tc>
          <w:tcPr>
            <w:tcW w:w="132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pPr>
              <w:keepNext w:val="1"/>
              <w:snapToGrid w:val="0"/>
              <w:spacing w:before="120" w:after="120"/>
              <w:jc w:val="center"/>
              <w:rPr>
                <w:rFonts w:hint="eastAsia" w:ascii="楷体" w:hAnsi="楷体" w:eastAsia="楷体" w:cs="等线"/>
                <w:sz w:val="20"/>
                <w:szCs w:val="20"/>
              </w:rPr>
            </w:pPr>
            <w:r>
              <w:rPr>
                <w:rFonts w:hint="eastAsia" w:ascii="楷体" w:hAnsi="楷体" w:eastAsia="楷体" w:cs="等线"/>
                <w:noProof w:val="1"/>
                <w:sz w:val="20"/>
                <w:szCs w:val="20"/>
              </w:rPr>
              <w:drawing>
                <wp:inline distT="0" distB="0" distL="114300" distR="114300">
                  <wp:extent cx="624205" cy="873760"/>
                  <wp:effectExtent l="0" t="0" r="4445" b="2540"/>
                  <wp:docPr id="47" name="图片 12" descr="2a7f034b06ef492e4d299c6ccb763892"/>
                  <wp:cNvGraphicFramePr>
                    <a:graphicFrameLocks noChangeAspect="1"/>
                  </wp:cNvGraphicFramePr>
                  <a:graphic>
                    <a:graphicData uri="http://schemas.openxmlformats.org/drawingml/2006/picture">
                      <pic:pic>
                        <pic:nvPicPr>
                          <pic:cNvPr id="48" name="图片 12" descr="2a7f034b06ef492e4d299c6ccb763892"/>
                          <pic:cNvPicPr>
                            <a:picLocks noChangeAspect="1"/>
                          </pic:cNvPicPr>
                        </pic:nvPicPr>
                        <pic:blipFill>
                          <a:blip r:embed="rId30"/>
                          <a:stretch>
                            <a:fillRect/>
                          </a:stretch>
                        </pic:blipFill>
                        <pic:spPr>
                          <a:xfrm>
                            <a:off x="0" y="0"/>
                            <a:ext cx="624205" cy="873760"/>
                          </a:xfrm>
                          <a:prstGeom prst="rect">
                            <a:avLst/>
                          </a:prstGeom>
                        </pic:spPr>
                      </pic:pic>
                    </a:graphicData>
                  </a:graphic>
                </wp:inline>
              </w:drawing>
            </w:r>
            <w:r>
              <w:rPr>
                <w:rFonts w:hint="eastAsia" w:ascii="楷体" w:hAnsi="楷体" w:eastAsia="楷体" w:cs="等线"/>
                <w:sz w:val="20"/>
                <w:szCs w:val="20"/>
              </w:rPr>
              <w:t>葛丰源</w:t>
            </w:r>
          </w:p>
        </w:tc>
        <w:tc>
          <w:tcPr>
            <w:tcW w:w="1046"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pPr>
              <w:keepNext w:val="1"/>
              <w:snapToGrid w:val="0"/>
              <w:spacing w:before="120" w:after="120"/>
              <w:jc w:val="center"/>
              <w:rPr>
                <w:rFonts w:hint="eastAsia" w:ascii="楷体" w:hAnsi="楷体" w:eastAsia="楷体" w:cs="等线"/>
                <w:sz w:val="20"/>
                <w:szCs w:val="20"/>
              </w:rPr>
            </w:pPr>
            <w:r>
              <w:rPr>
                <w:rFonts w:hint="eastAsia" w:ascii="楷体" w:hAnsi="楷体" w:eastAsia="楷体" w:cs="等线"/>
                <w:sz w:val="20"/>
                <w:szCs w:val="20"/>
              </w:rPr>
              <w:t>通信工程</w:t>
            </w:r>
          </w:p>
        </w:tc>
        <w:tc>
          <w:tcPr>
            <w:tcW w:w="3687"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pPr>
              <w:keepNext w:val="1"/>
              <w:snapToGrid w:val="0"/>
              <w:spacing w:before="120" w:after="120"/>
              <w:jc w:val="center"/>
              <w:rPr>
                <w:rFonts w:hint="eastAsia" w:ascii="楷体" w:hAnsi="楷体" w:eastAsia="楷体" w:cs="等线"/>
                <w:sz w:val="20"/>
                <w:szCs w:val="20"/>
              </w:rPr>
            </w:pPr>
            <w:r>
              <w:rPr>
                <w:rFonts w:hint="eastAsia" w:ascii="楷体" w:hAnsi="楷体" w:eastAsia="楷体" w:cs="等线"/>
                <w:sz w:val="20"/>
                <w:szCs w:val="20"/>
              </w:rPr>
              <w:t>获2025年全国大学生英语竞赛二等奖、2024至2025学年大学生寒假招生实践活动优秀主创和优秀个人、2024至2025学年校区级优秀团员的荣誉称号，参与了两个大创项目并都成功开题。</w:t>
            </w:r>
          </w:p>
        </w:tc>
        <w:tc>
          <w:tcPr>
            <w:tcW w:w="2367" w:type="dxa"/>
            <w:vMerge w:val="continue"/>
            <w:tcBorders>
              <w:left w:val="single" w:color="auto" w:sz="4" w:space="0"/>
              <w:right w:val="single" w:color="auto" w:sz="4" w:space="0"/>
            </w:tcBorders>
            <w:tcMar>
              <w:top w:w="60" w:type="dxa"/>
              <w:left w:w="120" w:type="dxa"/>
              <w:bottom w:w="30" w:type="dxa"/>
              <w:right w:w="120" w:type="dxa"/>
            </w:tcMar>
            <w:vAlign w:val="center"/>
          </w:tcPr>
          <w:p>
            <w:pPr>
              <w:keepNext w:val="1"/>
              <w:snapToGrid w:val="0"/>
              <w:spacing w:before="120" w:after="120"/>
              <w:jc w:val="left"/>
              <w:rPr>
                <w:rFonts w:hint="eastAsia" w:ascii="楷体" w:hAnsi="楷体" w:eastAsia="楷体" w:cs="等线"/>
                <w:sz w:val="20"/>
                <w:szCs w:val="20"/>
              </w:rPr>
            </w:pPr>
          </w:p>
        </w:tc>
      </w:tr>
      <w:tr>
        <w:trPr/>
        <w:tc>
          <w:tcPr>
            <w:tcW w:w="666" w:type="dxa"/>
            <w:vMerge w:val="continue"/>
            <w:tcBorders>
              <w:left w:val="single" w:color="auto" w:sz="4" w:space="0"/>
              <w:right w:val="single" w:color="auto" w:sz="4" w:space="0"/>
            </w:tcBorders>
            <w:shd w:val="clear" w:color="auto" w:fill="C1E4F5" w:themeFill="accent1" w:themeFillTint="33"/>
            <w:tcMar>
              <w:top w:w="60" w:type="dxa"/>
              <w:left w:w="120" w:type="dxa"/>
              <w:bottom w:w="30" w:type="dxa"/>
              <w:right w:w="120" w:type="dxa"/>
            </w:tcMar>
            <w:vAlign w:val="center"/>
          </w:tcPr>
          <w:p>
            <w:pPr>
              <w:keepNext w:val="1"/>
              <w:snapToGrid w:val="0"/>
              <w:spacing w:before="120" w:after="120"/>
              <w:jc w:val="center"/>
              <w:rPr>
                <w:rFonts w:hint="eastAsia" w:ascii="楷体" w:hAnsi="楷体" w:eastAsia="楷体" w:cs="等线"/>
                <w:sz w:val="20"/>
                <w:szCs w:val="20"/>
              </w:rPr>
            </w:pPr>
          </w:p>
        </w:tc>
        <w:tc>
          <w:tcPr>
            <w:tcW w:w="132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pPr>
              <w:keepNext w:val="1"/>
              <w:snapToGrid w:val="0"/>
              <w:spacing w:before="120" w:after="120"/>
              <w:jc w:val="center"/>
              <w:rPr>
                <w:rFonts w:hint="eastAsia" w:ascii="楷体" w:hAnsi="楷体" w:eastAsia="楷体" w:cs="等线"/>
                <w:sz w:val="20"/>
                <w:szCs w:val="20"/>
              </w:rPr>
            </w:pPr>
            <w:r>
              <w:rPr>
                <w:rFonts w:hint="eastAsia" w:ascii="楷体" w:hAnsi="楷体" w:eastAsia="楷体" w:cs="等线"/>
                <w:noProof w:val="1"/>
                <w:sz w:val="20"/>
                <w:szCs w:val="20"/>
              </w:rPr>
              <w:drawing>
                <wp:inline distT="0" distB="0" distL="114300" distR="114300">
                  <wp:extent cx="676275" cy="946785"/>
                  <wp:effectExtent l="0" t="0" r="0" b="5715"/>
                  <wp:docPr id="50" name="图片 13" descr="e0526f77be8b4618fa27e12a9d1b0a12"/>
                  <wp:cNvGraphicFramePr>
                    <a:graphicFrameLocks noChangeAspect="1"/>
                  </wp:cNvGraphicFramePr>
                  <a:graphic>
                    <a:graphicData uri="http://schemas.openxmlformats.org/drawingml/2006/picture">
                      <pic:pic>
                        <pic:nvPicPr>
                          <pic:cNvPr id="51" name="图片 13" descr="e0526f77be8b4618fa27e12a9d1b0a12"/>
                          <pic:cNvPicPr>
                            <a:picLocks noChangeAspect="1"/>
                          </pic:cNvPicPr>
                        </pic:nvPicPr>
                        <pic:blipFill>
                          <a:blip r:embed="rId31"/>
                          <a:stretch>
                            <a:fillRect/>
                          </a:stretch>
                        </pic:blipFill>
                        <pic:spPr>
                          <a:xfrm>
                            <a:off x="0" y="0"/>
                            <a:ext cx="676275" cy="946785"/>
                          </a:xfrm>
                          <a:prstGeom prst="rect">
                            <a:avLst/>
                          </a:prstGeom>
                        </pic:spPr>
                      </pic:pic>
                    </a:graphicData>
                  </a:graphic>
                </wp:inline>
              </w:drawing>
            </w:r>
            <w:r>
              <w:rPr>
                <w:rFonts w:hint="eastAsia" w:ascii="楷体" w:hAnsi="楷体" w:eastAsia="楷体" w:cs="等线"/>
                <w:sz w:val="20"/>
                <w:szCs w:val="20"/>
              </w:rPr>
              <w:t>全禹诺</w:t>
            </w:r>
          </w:p>
        </w:tc>
        <w:tc>
          <w:tcPr>
            <w:tcW w:w="1046"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pPr>
              <w:keepNext w:val="1"/>
              <w:snapToGrid w:val="0"/>
              <w:spacing w:before="120" w:after="120"/>
              <w:jc w:val="center"/>
              <w:rPr>
                <w:rFonts w:hint="eastAsia" w:ascii="楷体" w:hAnsi="楷体" w:eastAsia="楷体" w:cs="等线"/>
                <w:sz w:val="20"/>
                <w:szCs w:val="20"/>
              </w:rPr>
            </w:pPr>
            <w:r>
              <w:rPr>
                <w:rFonts w:hint="eastAsia" w:ascii="楷体" w:hAnsi="楷体" w:eastAsia="楷体" w:cs="等线"/>
                <w:sz w:val="20"/>
                <w:szCs w:val="20"/>
              </w:rPr>
              <w:t>通信工程</w:t>
            </w:r>
          </w:p>
        </w:tc>
        <w:tc>
          <w:tcPr>
            <w:tcW w:w="3687"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pPr>
              <w:keepNext w:val="1"/>
              <w:snapToGrid w:val="0"/>
              <w:spacing w:before="120" w:after="120"/>
              <w:jc w:val="center"/>
              <w:rPr>
                <w:rFonts w:hint="eastAsia" w:ascii="楷体" w:hAnsi="楷体" w:eastAsia="楷体" w:cs="等线"/>
                <w:sz w:val="20"/>
                <w:szCs w:val="20"/>
              </w:rPr>
            </w:pPr>
            <w:r>
              <w:rPr>
                <w:rFonts w:hint="eastAsia" w:ascii="楷体" w:hAnsi="楷体" w:eastAsia="楷体" w:cs="等线"/>
                <w:sz w:val="20"/>
                <w:szCs w:val="20"/>
              </w:rPr>
              <w:t>曾获24-25学年校级优秀团员、社会工作优秀奖学金、2024至2025学年大学生寒假招生实践活动优秀个人等荣誉称号，还参与了一项以打造多功能焊台的大创项目。</w:t>
            </w:r>
          </w:p>
        </w:tc>
        <w:tc>
          <w:tcPr>
            <w:tcW w:w="2367" w:type="dxa"/>
            <w:vMerge w:val="continue"/>
            <w:tcBorders>
              <w:left w:val="single" w:color="auto" w:sz="4" w:space="0"/>
              <w:right w:val="single" w:color="auto" w:sz="4" w:space="0"/>
            </w:tcBorders>
            <w:tcMar>
              <w:top w:w="60" w:type="dxa"/>
              <w:left w:w="120" w:type="dxa"/>
              <w:bottom w:w="30" w:type="dxa"/>
              <w:right w:w="120" w:type="dxa"/>
            </w:tcMar>
            <w:vAlign w:val="center"/>
          </w:tcPr>
          <w:p>
            <w:pPr>
              <w:keepNext w:val="1"/>
              <w:snapToGrid w:val="0"/>
              <w:spacing w:before="120" w:after="120"/>
              <w:jc w:val="left"/>
              <w:rPr>
                <w:rFonts w:hint="eastAsia" w:ascii="楷体" w:hAnsi="楷体" w:eastAsia="楷体" w:cs="等线"/>
                <w:sz w:val="20"/>
                <w:szCs w:val="20"/>
              </w:rPr>
            </w:pPr>
          </w:p>
        </w:tc>
      </w:tr>
      <w:tr>
        <w:trPr/>
        <w:tc>
          <w:tcPr>
            <w:tcW w:w="666" w:type="dxa"/>
            <w:vMerge w:val="continue"/>
            <w:tcBorders>
              <w:left w:val="single" w:color="auto" w:sz="4" w:space="0"/>
              <w:right w:val="single" w:color="auto" w:sz="4" w:space="0"/>
            </w:tcBorders>
            <w:shd w:val="clear" w:color="auto" w:fill="C1E4F5" w:themeFill="accent1" w:themeFillTint="33"/>
            <w:tcMar>
              <w:top w:w="60" w:type="dxa"/>
              <w:left w:w="120" w:type="dxa"/>
              <w:bottom w:w="30" w:type="dxa"/>
              <w:right w:w="120" w:type="dxa"/>
            </w:tcMar>
            <w:vAlign w:val="center"/>
          </w:tcPr>
          <w:p>
            <w:pPr>
              <w:keepNext w:val="1"/>
              <w:snapToGrid w:val="0"/>
              <w:spacing w:before="120" w:after="120"/>
              <w:jc w:val="center"/>
              <w:rPr>
                <w:rFonts w:hint="eastAsia" w:ascii="楷体" w:hAnsi="楷体" w:eastAsia="楷体" w:cs="等线"/>
                <w:sz w:val="20"/>
                <w:szCs w:val="20"/>
              </w:rPr>
            </w:pPr>
          </w:p>
        </w:tc>
        <w:tc>
          <w:tcPr>
            <w:tcW w:w="132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pPr>
              <w:keepNext w:val="1"/>
              <w:snapToGrid w:val="0"/>
              <w:spacing w:before="120" w:after="120"/>
              <w:jc w:val="center"/>
              <w:rPr>
                <w:rFonts w:hint="eastAsia" w:ascii="楷体" w:hAnsi="楷体" w:eastAsia="楷体" w:cs="等线"/>
                <w:sz w:val="20"/>
                <w:szCs w:val="20"/>
              </w:rPr>
            </w:pPr>
            <w:r>
              <w:rPr>
                <w:rFonts w:hint="eastAsia" w:ascii="楷体" w:hAnsi="楷体" w:eastAsia="楷体" w:cs="等线"/>
                <w:noProof w:val="1"/>
                <w:sz w:val="20"/>
                <w:szCs w:val="20"/>
              </w:rPr>
              <w:drawing>
                <wp:inline distT="0" distB="0" distL="114300" distR="114300">
                  <wp:extent cx="670560" cy="1015365"/>
                  <wp:effectExtent l="0" t="0" r="5715" b="3810"/>
                  <wp:docPr id="53" name="图片 37" descr="c1074052923f6cfd4447da2b0e4ed24d"/>
                  <wp:cNvGraphicFramePr>
                    <a:graphicFrameLocks noChangeAspect="1"/>
                  </wp:cNvGraphicFramePr>
                  <a:graphic>
                    <a:graphicData uri="http://schemas.openxmlformats.org/drawingml/2006/picture">
                      <pic:pic>
                        <pic:nvPicPr>
                          <pic:cNvPr id="54" name="图片 37" descr="c1074052923f6cfd4447da2b0e4ed24d"/>
                          <pic:cNvPicPr>
                            <a:picLocks noChangeAspect="1"/>
                          </pic:cNvPicPr>
                        </pic:nvPicPr>
                        <pic:blipFill>
                          <a:blip r:embed="rId32"/>
                          <a:stretch>
                            <a:fillRect/>
                          </a:stretch>
                        </pic:blipFill>
                        <pic:spPr>
                          <a:xfrm>
                            <a:off x="0" y="0"/>
                            <a:ext cx="670560" cy="1015365"/>
                          </a:xfrm>
                          <a:prstGeom prst="rect">
                            <a:avLst/>
                          </a:prstGeom>
                        </pic:spPr>
                      </pic:pic>
                    </a:graphicData>
                  </a:graphic>
                </wp:inline>
              </w:drawing>
            </w:r>
            <w:r>
              <w:rPr>
                <w:rFonts w:hint="eastAsia" w:ascii="楷体" w:hAnsi="楷体" w:eastAsia="楷体" w:cs="等线"/>
                <w:sz w:val="20"/>
                <w:szCs w:val="20"/>
              </w:rPr>
              <w:t>何昀翰</w:t>
            </w:r>
          </w:p>
        </w:tc>
        <w:tc>
          <w:tcPr>
            <w:tcW w:w="1046"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pPr>
              <w:keepNext w:val="1"/>
              <w:snapToGrid w:val="0"/>
              <w:spacing w:before="120" w:after="120"/>
              <w:jc w:val="center"/>
              <w:rPr>
                <w:rFonts w:hint="eastAsia" w:ascii="楷体" w:hAnsi="楷体" w:eastAsia="楷体" w:cs="等线"/>
                <w:sz w:val="20"/>
                <w:szCs w:val="20"/>
              </w:rPr>
            </w:pPr>
            <w:r>
              <w:rPr>
                <w:rFonts w:hint="eastAsia" w:ascii="楷体" w:hAnsi="楷体" w:eastAsia="楷体" w:cs="等线"/>
                <w:sz w:val="20"/>
                <w:szCs w:val="20"/>
              </w:rPr>
              <w:t>通信工程</w:t>
            </w:r>
          </w:p>
        </w:tc>
        <w:tc>
          <w:tcPr>
            <w:tcW w:w="3687"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pPr>
              <w:keepNext w:val="1"/>
              <w:snapToGrid w:val="0"/>
              <w:spacing w:before="120" w:after="120"/>
              <w:jc w:val="center"/>
              <w:rPr>
                <w:rFonts w:hint="eastAsia" w:ascii="楷体" w:hAnsi="楷体" w:eastAsia="楷体" w:cs="等线"/>
                <w:sz w:val="20"/>
                <w:szCs w:val="20"/>
              </w:rPr>
            </w:pPr>
            <w:r>
              <w:rPr>
                <w:rFonts w:hint="eastAsia" w:ascii="楷体" w:hAnsi="楷体" w:eastAsia="楷体" w:cs="等线"/>
                <w:sz w:val="20"/>
                <w:szCs w:val="20"/>
              </w:rPr>
              <w:t>获得三等学习优秀奖学金，参与全国大学生英语竞赛、山东省大学生数学竞赛，通过全国大学英语四、六级考试，参与2026寒假招生工作。</w:t>
            </w:r>
          </w:p>
        </w:tc>
        <w:tc>
          <w:tcPr>
            <w:tcW w:w="2367" w:type="dxa"/>
            <w:vMerge w:val="continue"/>
            <w:tcBorders>
              <w:left w:val="single" w:color="auto" w:sz="4" w:space="0"/>
              <w:right w:val="single" w:color="auto" w:sz="4" w:space="0"/>
            </w:tcBorders>
            <w:tcMar>
              <w:top w:w="60" w:type="dxa"/>
              <w:left w:w="120" w:type="dxa"/>
              <w:bottom w:w="30" w:type="dxa"/>
              <w:right w:w="120" w:type="dxa"/>
            </w:tcMar>
            <w:vAlign w:val="center"/>
          </w:tcPr>
          <w:p>
            <w:pPr>
              <w:keepNext w:val="1"/>
              <w:snapToGrid w:val="0"/>
              <w:spacing w:before="120" w:after="120"/>
              <w:jc w:val="left"/>
              <w:rPr>
                <w:rFonts w:hint="eastAsia" w:ascii="楷体" w:hAnsi="楷体" w:eastAsia="楷体" w:cs="等线"/>
                <w:sz w:val="20"/>
                <w:szCs w:val="20"/>
              </w:rPr>
            </w:pPr>
          </w:p>
        </w:tc>
      </w:tr>
      <w:tr>
        <w:trPr/>
        <w:tc>
          <w:tcPr>
            <w:tcW w:w="666" w:type="dxa"/>
            <w:vMerge w:val="continue"/>
            <w:tcBorders>
              <w:left w:val="single" w:color="auto" w:sz="4" w:space="0"/>
              <w:right w:val="single" w:color="auto" w:sz="4" w:space="0"/>
            </w:tcBorders>
            <w:shd w:val="clear" w:color="auto" w:fill="C1E4F5" w:themeFill="accent1" w:themeFillTint="33"/>
            <w:tcMar>
              <w:top w:w="60" w:type="dxa"/>
              <w:left w:w="120" w:type="dxa"/>
              <w:bottom w:w="30" w:type="dxa"/>
              <w:right w:w="120" w:type="dxa"/>
            </w:tcMar>
            <w:vAlign w:val="center"/>
          </w:tcPr>
          <w:p>
            <w:pPr>
              <w:keepNext w:val="1"/>
              <w:snapToGrid w:val="0"/>
              <w:spacing w:before="120" w:after="120"/>
              <w:jc w:val="center"/>
              <w:rPr>
                <w:rFonts w:hint="eastAsia" w:ascii="楷体" w:hAnsi="楷体" w:eastAsia="楷体" w:cs="等线"/>
                <w:sz w:val="20"/>
                <w:szCs w:val="20"/>
              </w:rPr>
            </w:pPr>
          </w:p>
        </w:tc>
        <w:tc>
          <w:tcPr>
            <w:tcW w:w="132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pPr>
              <w:keepNext w:val="1"/>
              <w:snapToGrid w:val="0"/>
              <w:spacing w:before="120" w:after="120"/>
              <w:rPr>
                <w:rFonts w:hint="eastAsia" w:ascii="楷体" w:hAnsi="楷体" w:eastAsia="楷体" w:cs="等线"/>
                <w:sz w:val="20"/>
                <w:szCs w:val="20"/>
              </w:rPr>
            </w:pPr>
            <w:r>
              <w:rPr>
                <w:rFonts w:hint="eastAsia" w:ascii="楷体" w:hAnsi="楷体" w:eastAsia="楷体" w:cs="等线"/>
                <w:noProof w:val="1"/>
                <w:sz w:val="20"/>
                <w:szCs w:val="20"/>
              </w:rPr>
              <w:drawing>
                <wp:inline distT="0" distB="0" distL="114300" distR="114300">
                  <wp:extent cx="673100" cy="913765"/>
                  <wp:effectExtent l="0" t="0" r="3175" b="635"/>
                  <wp:docPr id="56" name="图片 18" descr="0688ec98ae698eef183aa0b3eba0249d"/>
                  <wp:cNvGraphicFramePr>
                    <a:graphicFrameLocks noChangeAspect="1"/>
                  </wp:cNvGraphicFramePr>
                  <a:graphic>
                    <a:graphicData uri="http://schemas.openxmlformats.org/drawingml/2006/picture">
                      <pic:pic>
                        <pic:nvPicPr>
                          <pic:cNvPr id="57" name="图片 18" descr="0688ec98ae698eef183aa0b3eba0249d"/>
                          <pic:cNvPicPr>
                            <a:picLocks noChangeAspect="1"/>
                          </pic:cNvPicPr>
                        </pic:nvPicPr>
                        <pic:blipFill>
                          <a:blip r:embed="rId33"/>
                          <a:stretch>
                            <a:fillRect/>
                          </a:stretch>
                        </pic:blipFill>
                        <pic:spPr>
                          <a:xfrm>
                            <a:off x="0" y="0"/>
                            <a:ext cx="673100" cy="913765"/>
                          </a:xfrm>
                          <a:prstGeom prst="rect">
                            <a:avLst/>
                          </a:prstGeom>
                        </pic:spPr>
                      </pic:pic>
                    </a:graphicData>
                  </a:graphic>
                </wp:inline>
              </w:drawing>
            </w:r>
          </w:p>
          <w:p>
            <w:pPr>
              <w:keepNext w:val="1"/>
              <w:snapToGrid w:val="0"/>
              <w:spacing w:before="120" w:after="120"/>
              <w:jc w:val="center"/>
              <w:rPr>
                <w:rFonts w:hint="eastAsia" w:ascii="楷体" w:hAnsi="楷体" w:eastAsia="楷体" w:cs="等线"/>
                <w:sz w:val="20"/>
                <w:szCs w:val="20"/>
              </w:rPr>
            </w:pPr>
            <w:r>
              <w:rPr>
                <w:rFonts w:hint="eastAsia" w:ascii="楷体" w:hAnsi="楷体" w:eastAsia="楷体" w:cs="等线"/>
                <w:sz w:val="20"/>
                <w:szCs w:val="20"/>
              </w:rPr>
              <w:t>王泽征</w:t>
            </w:r>
          </w:p>
        </w:tc>
        <w:tc>
          <w:tcPr>
            <w:tcW w:w="1046"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pPr>
              <w:keepNext w:val="1"/>
              <w:snapToGrid w:val="0"/>
              <w:spacing w:before="120" w:after="120"/>
              <w:jc w:val="center"/>
              <w:rPr>
                <w:rFonts w:hint="eastAsia" w:ascii="楷体" w:hAnsi="楷体" w:eastAsia="楷体" w:cs="等线"/>
                <w:sz w:val="20"/>
                <w:szCs w:val="20"/>
              </w:rPr>
            </w:pPr>
            <w:r>
              <w:rPr>
                <w:rFonts w:hint="eastAsia" w:ascii="楷体" w:hAnsi="楷体" w:eastAsia="楷体" w:cs="等线"/>
                <w:sz w:val="20"/>
                <w:szCs w:val="20"/>
              </w:rPr>
              <w:t>通信工程</w:t>
            </w:r>
          </w:p>
        </w:tc>
        <w:tc>
          <w:tcPr>
            <w:tcW w:w="3687"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pPr>
              <w:keepNext w:val="1"/>
              <w:snapToGrid w:val="0"/>
              <w:spacing w:before="120" w:after="120"/>
              <w:jc w:val="center"/>
              <w:rPr>
                <w:rFonts w:hint="eastAsia" w:ascii="楷体" w:hAnsi="楷体" w:eastAsia="楷体" w:cs="等线"/>
                <w:sz w:val="20"/>
                <w:szCs w:val="20"/>
              </w:rPr>
            </w:pPr>
            <w:r>
              <w:rPr>
                <w:rFonts w:hint="eastAsia" w:ascii="楷体" w:hAnsi="楷体" w:eastAsia="楷体" w:cs="等线"/>
                <w:sz w:val="20"/>
                <w:szCs w:val="20"/>
              </w:rPr>
              <w:t>获三等学习优秀奖学金，2024“外研社国才杯”全国大学生外语能力大赛演讲赛北京交通大学赛区铜奖，参与两个大创项目并成功开题，现专业排名约10%，团队协作能力强。</w:t>
            </w:r>
          </w:p>
        </w:tc>
        <w:tc>
          <w:tcPr>
            <w:tcW w:w="2367" w:type="dxa"/>
            <w:vMerge w:val="continue"/>
            <w:tcBorders>
              <w:left w:val="single" w:color="auto" w:sz="4" w:space="0"/>
              <w:right w:val="single" w:color="auto" w:sz="4" w:space="0"/>
            </w:tcBorders>
            <w:tcMar>
              <w:top w:w="60" w:type="dxa"/>
              <w:left w:w="120" w:type="dxa"/>
              <w:bottom w:w="30" w:type="dxa"/>
              <w:right w:w="120" w:type="dxa"/>
            </w:tcMar>
            <w:vAlign w:val="center"/>
          </w:tcPr>
          <w:p>
            <w:pPr>
              <w:keepNext w:val="1"/>
              <w:snapToGrid w:val="0"/>
              <w:spacing w:before="120" w:after="120"/>
              <w:jc w:val="left"/>
              <w:rPr>
                <w:rFonts w:hint="eastAsia" w:ascii="楷体" w:hAnsi="楷体" w:eastAsia="楷体" w:cs="等线"/>
                <w:sz w:val="20"/>
                <w:szCs w:val="20"/>
              </w:rPr>
            </w:pPr>
          </w:p>
        </w:tc>
      </w:tr>
      <w:tr>
        <w:trPr/>
        <w:tc>
          <w:tcPr>
            <w:tcW w:w="666" w:type="dxa"/>
            <w:vMerge w:val="continue"/>
            <w:tcBorders>
              <w:left w:val="single" w:color="auto" w:sz="4" w:space="0"/>
              <w:bottom w:val="single" w:color="auto" w:sz="4" w:space="0"/>
              <w:right w:val="single" w:color="auto" w:sz="4" w:space="0"/>
            </w:tcBorders>
            <w:shd w:val="clear" w:color="auto" w:fill="C1E4F5" w:themeFill="accent1" w:themeFillTint="33"/>
            <w:tcMar>
              <w:top w:w="60" w:type="dxa"/>
              <w:left w:w="120" w:type="dxa"/>
              <w:bottom w:w="30" w:type="dxa"/>
              <w:right w:w="120" w:type="dxa"/>
            </w:tcMar>
            <w:vAlign w:val="center"/>
          </w:tcPr>
          <w:p>
            <w:pPr>
              <w:keepNext w:val="1"/>
              <w:snapToGrid w:val="0"/>
              <w:spacing w:before="120" w:after="120"/>
              <w:jc w:val="center"/>
              <w:rPr>
                <w:rFonts w:hint="eastAsia" w:ascii="楷体" w:hAnsi="楷体" w:eastAsia="楷体" w:cs="等线"/>
                <w:sz w:val="20"/>
                <w:szCs w:val="20"/>
              </w:rPr>
            </w:pPr>
          </w:p>
        </w:tc>
        <w:tc>
          <w:tcPr>
            <w:tcW w:w="132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pPr>
              <w:keepNext w:val="1"/>
              <w:snapToGrid w:val="0"/>
              <w:spacing w:before="120" w:after="120"/>
              <w:jc w:val="center"/>
              <w:rPr>
                <w:rFonts w:hint="eastAsia" w:ascii="楷体" w:hAnsi="楷体" w:eastAsia="楷体" w:cs="等线"/>
                <w:sz w:val="20"/>
                <w:szCs w:val="20"/>
              </w:rPr>
            </w:pPr>
            <w:r>
              <w:rPr>
                <w:rFonts w:hint="eastAsia" w:ascii="楷体" w:hAnsi="楷体" w:eastAsia="楷体" w:cs="等线"/>
                <w:noProof w:val="1"/>
                <w:sz w:val="20"/>
                <w:szCs w:val="20"/>
              </w:rPr>
              <w:drawing>
                <wp:inline distT="0" distB="0" distL="114300" distR="114300">
                  <wp:extent cx="676275" cy="901700"/>
                  <wp:effectExtent l="0" t="0" r="0" b="3175"/>
                  <wp:docPr id="59" name="图片 5" descr="93365e8d210b00a1deb34299171b32bf"/>
                  <wp:cNvGraphicFramePr>
                    <a:graphicFrameLocks noChangeAspect="1"/>
                  </wp:cNvGraphicFramePr>
                  <a:graphic>
                    <a:graphicData uri="http://schemas.openxmlformats.org/drawingml/2006/picture">
                      <pic:pic>
                        <pic:nvPicPr>
                          <pic:cNvPr id="60" name="图片 5" descr="93365e8d210b00a1deb34299171b32bf"/>
                          <pic:cNvPicPr>
                            <a:picLocks noChangeAspect="1"/>
                          </pic:cNvPicPr>
                        </pic:nvPicPr>
                        <pic:blipFill>
                          <a:blip r:embed="rId34"/>
                          <a:stretch>
                            <a:fillRect/>
                          </a:stretch>
                        </pic:blipFill>
                        <pic:spPr>
                          <a:xfrm>
                            <a:off x="0" y="0"/>
                            <a:ext cx="676275" cy="901700"/>
                          </a:xfrm>
                          <a:prstGeom prst="rect">
                            <a:avLst/>
                          </a:prstGeom>
                        </pic:spPr>
                      </pic:pic>
                    </a:graphicData>
                  </a:graphic>
                </wp:inline>
              </w:drawing>
            </w:r>
            <w:r>
              <w:rPr>
                <w:rFonts w:hint="eastAsia" w:ascii="楷体" w:hAnsi="楷体" w:eastAsia="楷体" w:cs="等线"/>
                <w:sz w:val="20"/>
                <w:szCs w:val="20"/>
              </w:rPr>
              <w:t>王宇茵</w:t>
            </w:r>
          </w:p>
        </w:tc>
        <w:tc>
          <w:tcPr>
            <w:tcW w:w="1046"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pPr>
              <w:keepNext w:val="1"/>
              <w:snapToGrid w:val="0"/>
              <w:spacing w:before="120" w:after="120"/>
              <w:jc w:val="center"/>
              <w:rPr>
                <w:rFonts w:hint="eastAsia" w:ascii="楷体" w:hAnsi="楷体" w:eastAsia="楷体" w:cs="等线"/>
                <w:sz w:val="20"/>
                <w:szCs w:val="20"/>
              </w:rPr>
            </w:pPr>
            <w:r>
              <w:rPr>
                <w:rFonts w:hint="eastAsia" w:ascii="楷体" w:hAnsi="楷体" w:eastAsia="楷体" w:cs="等线"/>
                <w:sz w:val="20"/>
                <w:szCs w:val="20"/>
              </w:rPr>
              <w:t>通信工程</w:t>
            </w:r>
          </w:p>
        </w:tc>
        <w:tc>
          <w:tcPr>
            <w:tcW w:w="3687"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pPr>
              <w:keepNext w:val="1"/>
              <w:snapToGrid w:val="0"/>
              <w:spacing w:before="120" w:after="120"/>
              <w:jc w:val="center"/>
              <w:rPr>
                <w:rFonts w:hint="eastAsia" w:ascii="楷体" w:hAnsi="楷体" w:eastAsia="楷体" w:cs="等线"/>
                <w:sz w:val="20"/>
                <w:szCs w:val="20"/>
              </w:rPr>
            </w:pPr>
            <w:r>
              <w:rPr>
                <w:rFonts w:hint="eastAsia" w:ascii="楷体" w:hAnsi="楷体" w:eastAsia="楷体" w:cs="等线"/>
                <w:sz w:val="20"/>
                <w:szCs w:val="20"/>
              </w:rPr>
              <w:t>获学习优秀三等奖学金，2024至2025学年校区级优秀团员的荣誉称号，积极参与美国大学生数学建模竞赛、市场调研大赛等竞赛，兼具学业基础与实践能力。</w:t>
            </w:r>
          </w:p>
        </w:tc>
        <w:tc>
          <w:tcPr>
            <w:tcW w:w="2367" w:type="dxa"/>
            <w:vMerge w:val="continue"/>
            <w:tcBorders>
              <w:left w:val="single" w:color="auto" w:sz="4" w:space="0"/>
              <w:bottom w:val="single" w:color="auto" w:sz="4" w:space="0"/>
              <w:right w:val="single" w:color="auto" w:sz="4" w:space="0"/>
            </w:tcBorders>
            <w:tcMar>
              <w:top w:w="60" w:type="dxa"/>
              <w:left w:w="120" w:type="dxa"/>
              <w:bottom w:w="30" w:type="dxa"/>
              <w:right w:w="120" w:type="dxa"/>
            </w:tcMar>
            <w:vAlign w:val="center"/>
          </w:tcPr>
          <w:p>
            <w:pPr>
              <w:keepNext w:val="1"/>
              <w:snapToGrid w:val="0"/>
              <w:spacing w:before="120" w:after="120"/>
              <w:jc w:val="left"/>
              <w:rPr>
                <w:rFonts w:hint="eastAsia" w:ascii="楷体" w:hAnsi="楷体" w:eastAsia="楷体" w:cs="等线"/>
                <w:sz w:val="20"/>
                <w:szCs w:val="20"/>
              </w:rPr>
            </w:pPr>
          </w:p>
        </w:tc>
      </w:tr>
    </w:tbl>
    <w:p>
      <w:pPr>
        <w:spacing w:before="156" w:beforeLines="50"/>
        <w:jc w:val="center"/>
        <w:rPr>
          <w:rFonts w:hint="eastAsia" w:ascii="黑体" w:hAnsi="黑体" w:eastAsia="黑体"/>
          <w:b w:val="1"/>
          <w:bCs w:val="1"/>
          <w:sz w:val="28"/>
          <w:szCs w:val="28"/>
        </w:rPr>
      </w:pPr>
      <w:r>
        <w:rPr>
          <w:rFonts w:hint="eastAsia" w:ascii="黑体" w:hAnsi="黑体" w:eastAsia="黑体" w:cs="黑体"/>
          <w:sz w:val="18"/>
          <w:szCs w:val="18"/>
        </w:rPr>
        <w:t>表8-1-1</w:t>
      </w:r>
    </w:p>
    <w:p>
      <w:pPr>
        <w:spacing w:before="156" w:beforeLines="50"/>
        <w:rPr>
          <w:rFonts w:hint="eastAsia" w:ascii="黑体" w:hAnsi="黑体" w:eastAsia="黑体"/>
          <w:b w:val="1"/>
          <w:bCs w:val="1"/>
          <w:sz w:val="28"/>
          <w:szCs w:val="28"/>
        </w:rPr>
      </w:pPr>
      <w:r>
        <w:rPr>
          <w:rFonts w:hint="eastAsia" w:ascii="黑体" w:hAnsi="黑体" w:eastAsia="黑体" w:cs="宋体"/>
          <w:b w:val="1"/>
          <w:bCs w:val="1"/>
          <w:sz w:val="28"/>
          <w:szCs w:val="28"/>
        </w:rPr>
        <w:t>二、核心研发与成果积淀</w:t>
      </w:r>
    </w:p>
    <w:p>
      <w:pPr>
        <w:pStyle w:val="0000a4"/>
        <w:numPr>
          <w:ilvl w:val="0"/>
          <w:numId w:val="27"/>
        </w:numPr>
        <w:spacing w:before="156" w:beforeLines="50"/>
        <w:rPr>
          <w:rFonts w:hint="eastAsia" w:ascii="宋体" w:hAnsi="宋体" w:eastAsia="宋体" w:cs="宋体"/>
          <w:b w:val="1"/>
          <w:bCs w:val="1"/>
          <w:sz w:val="24"/>
          <w:szCs w:val="24"/>
        </w:rPr>
      </w:pPr>
      <w:r>
        <w:rPr>
          <w:rFonts w:hint="eastAsia" w:ascii="宋体" w:hAnsi="宋体" w:eastAsia="宋体" w:cs="宋体"/>
          <w:b w:val="1"/>
          <w:bCs w:val="1"/>
          <w:sz w:val="24"/>
          <w:szCs w:val="24"/>
        </w:rPr>
        <w:t>技术验证</w:t>
      </w:r>
    </w:p>
    <w:p>
      <w:pPr>
        <w:pStyle w:val="0000a4"/>
        <w:spacing w:before="156" w:beforeLines="50"/>
        <w:ind w:left="746"/>
        <w:rPr>
          <w:rFonts w:hint="eastAsia" w:ascii="宋体" w:hAnsi="宋体"/>
          <w:sz w:val="24"/>
          <w:szCs w:val="24"/>
        </w:rPr>
      </w:pPr>
      <w:r>
        <w:rPr>
          <w:rFonts w:hint="eastAsia" w:ascii="宋体" w:hAnsi="宋体" w:eastAsia="宋体" w:cs="宋体"/>
          <w:sz w:val="24"/>
          <w:szCs w:val="24"/>
        </w:rPr>
        <w:t>已完成动态轨迹预测物理模型理论建模到 ESP32 轻量化硬件实现的全流程技术验证，产品核心预警功能具备实际落地条件；</w:t>
      </w:r>
    </w:p>
    <w:p>
      <w:pPr>
        <w:pStyle w:val="0000a4"/>
        <w:numPr>
          <w:ilvl w:val="0"/>
          <w:numId w:val="27"/>
        </w:numPr>
        <w:spacing w:before="156" w:beforeLines="50"/>
        <w:rPr>
          <w:rFonts w:hint="eastAsia" w:ascii="宋体" w:hAnsi="宋体" w:eastAsia="宋体" w:cs="宋体"/>
          <w:b w:val="1"/>
          <w:bCs w:val="1"/>
          <w:sz w:val="24"/>
          <w:szCs w:val="24"/>
        </w:rPr>
      </w:pPr>
      <w:r>
        <w:rPr>
          <w:rFonts w:hint="eastAsia" w:ascii="宋体" w:hAnsi="宋体" w:eastAsia="宋体" w:cs="宋体"/>
          <w:b w:val="1"/>
          <w:bCs w:val="1"/>
          <w:sz w:val="24"/>
          <w:szCs w:val="24"/>
        </w:rPr>
        <w:t>学术成果</w:t>
      </w:r>
    </w:p>
    <w:p>
      <w:pPr>
        <w:pStyle w:val="0000a4"/>
        <w:spacing w:before="156" w:beforeLines="50"/>
        <w:ind w:left="746"/>
        <w:rPr>
          <w:rFonts w:hint="eastAsia" w:ascii="宋体" w:hAnsi="宋体"/>
          <w:sz w:val="24"/>
          <w:szCs w:val="24"/>
        </w:rPr>
      </w:pPr>
      <w:r>
        <w:rPr>
          <w:rFonts w:hint="eastAsia" w:ascii="宋体" w:hAnsi="宋体" w:eastAsia="宋体" w:cs="宋体"/>
          <w:sz w:val="24"/>
          <w:szCs w:val="24"/>
        </w:rPr>
        <w:t>项目相关核心技术的学术论文已启动撰写，正逐步完成理论研究与工程实践成果的总结与转化；</w:t>
      </w:r>
    </w:p>
    <w:p>
      <w:pPr>
        <w:pStyle w:val="0000a4"/>
        <w:numPr>
          <w:ilvl w:val="0"/>
          <w:numId w:val="27"/>
        </w:numPr>
        <w:spacing w:before="156" w:beforeLines="50"/>
        <w:rPr>
          <w:rFonts w:hint="eastAsia" w:ascii="宋体" w:hAnsi="宋体" w:eastAsia="宋体" w:cs="宋体"/>
          <w:b w:val="1"/>
          <w:bCs w:val="1"/>
          <w:sz w:val="24"/>
          <w:szCs w:val="24"/>
        </w:rPr>
      </w:pPr>
      <w:r>
        <w:rPr>
          <w:rFonts w:hint="eastAsia" w:ascii="宋体" w:hAnsi="宋体" w:eastAsia="宋体" w:cs="宋体"/>
          <w:b w:val="1"/>
          <w:bCs w:val="1"/>
          <w:sz w:val="24"/>
          <w:szCs w:val="24"/>
        </w:rPr>
        <w:t>知识产权</w:t>
      </w:r>
    </w:p>
    <w:p>
      <w:pPr>
        <w:pStyle w:val="0000a4"/>
        <w:spacing w:before="156" w:beforeLines="50"/>
        <w:ind w:left="746"/>
        <w:rPr>
          <w:rFonts w:hint="eastAsia" w:ascii="宋体" w:hAnsi="宋体"/>
          <w:sz w:val="24"/>
          <w:szCs w:val="24"/>
        </w:rPr>
      </w:pPr>
      <w:r>
        <w:rPr>
          <w:rFonts w:hint="eastAsia" w:ascii="宋体" w:hAnsi="宋体" w:eastAsia="宋体" w:cs="宋体"/>
          <w:sz w:val="24"/>
          <w:szCs w:val="24"/>
        </w:rPr>
        <w:t>核心技术的专利申请工作已全面推进，计划未来三年内完成 “算法 - 硬件 - 软件” 全链条知识产权布局，筑牢项目核心技术壁垒。</w:t>
      </w:r>
    </w:p>
    <w:p>
      <w:pPr>
        <w:pStyle w:val="0000a4"/>
        <w:numPr>
          <w:ilvl w:val="0"/>
          <w:numId w:val="28"/>
        </w:numPr>
        <w:spacing w:before="156" w:beforeLines="50"/>
        <w:rPr>
          <w:rFonts w:hint="eastAsia" w:ascii="黑体" w:hAnsi="黑体" w:eastAsia="黑体"/>
          <w:b w:val="1"/>
          <w:bCs w:val="1"/>
          <w:sz w:val="28"/>
          <w:szCs w:val="28"/>
        </w:rPr>
      </w:pPr>
      <w:r>
        <w:rPr>
          <w:rFonts w:hint="eastAsia" w:ascii="黑体" w:hAnsi="黑体" w:eastAsia="黑体" w:cs="宋体"/>
          <w:b w:val="1"/>
          <w:bCs w:val="1"/>
          <w:sz w:val="28"/>
          <w:szCs w:val="28"/>
        </w:rPr>
        <w:t>团队核心优势</w:t>
      </w:r>
    </w:p>
    <w:p>
      <w:pPr>
        <w:pStyle w:val="0000a4"/>
        <w:numPr>
          <w:ilvl w:val="0"/>
          <w:numId w:val="29"/>
        </w:numPr>
        <w:spacing w:before="156" w:beforeLines="50"/>
        <w:rPr>
          <w:rFonts w:hint="eastAsia" w:ascii="宋体" w:hAnsi="宋体" w:eastAsia="宋体" w:cs="宋体"/>
          <w:b w:val="1"/>
          <w:bCs w:val="1"/>
          <w:sz w:val="24"/>
          <w:szCs w:val="24"/>
        </w:rPr>
      </w:pPr>
      <w:r>
        <w:rPr>
          <w:rFonts w:hint="eastAsia" w:ascii="宋体" w:hAnsi="宋体" w:eastAsia="宋体" w:cs="宋体"/>
          <w:b w:val="1"/>
          <w:bCs w:val="1"/>
          <w:sz w:val="24"/>
          <w:szCs w:val="24"/>
        </w:rPr>
        <w:t>交叉学科协同优势</w:t>
      </w:r>
    </w:p>
    <w:p>
      <w:pPr>
        <w:pStyle w:val="0000a4"/>
        <w:spacing w:before="156" w:beforeLines="50"/>
        <w:ind w:left="746"/>
        <w:rPr>
          <w:rFonts w:hint="eastAsia" w:ascii="宋体" w:hAnsi="宋体"/>
          <w:sz w:val="24"/>
          <w:szCs w:val="24"/>
        </w:rPr>
      </w:pPr>
      <w:r>
        <w:rPr>
          <w:rFonts w:hint="eastAsia" w:ascii="宋体" w:hAnsi="宋体" w:eastAsia="宋体" w:cs="宋体"/>
          <w:sz w:val="24"/>
          <w:szCs w:val="24"/>
        </w:rPr>
        <w:t>四大专业精准匹配项目技术、场景、商业、财务全模块，避免单一专业能力短板，实现跨学科知识融合与高效协作；</w:t>
      </w:r>
    </w:p>
    <w:p>
      <w:pPr>
        <w:pStyle w:val="0000a4"/>
        <w:numPr>
          <w:ilvl w:val="0"/>
          <w:numId w:val="29"/>
        </w:numPr>
        <w:spacing w:before="156" w:beforeLines="50"/>
        <w:rPr>
          <w:rFonts w:hint="eastAsia" w:ascii="宋体" w:hAnsi="宋体" w:eastAsia="宋体" w:cs="宋体"/>
          <w:b w:val="1"/>
          <w:bCs w:val="1"/>
          <w:sz w:val="24"/>
          <w:szCs w:val="24"/>
        </w:rPr>
      </w:pPr>
      <w:r>
        <w:rPr>
          <w:rFonts w:hint="eastAsia" w:ascii="宋体" w:hAnsi="宋体" w:eastAsia="宋体" w:cs="宋体"/>
          <w:b w:val="1"/>
          <w:bCs w:val="1"/>
          <w:sz w:val="24"/>
          <w:szCs w:val="24"/>
        </w:rPr>
        <w:t>核心成员适配优势</w:t>
      </w:r>
    </w:p>
    <w:p>
      <w:pPr>
        <w:pStyle w:val="0000a4"/>
        <w:spacing w:before="156" w:beforeLines="50"/>
        <w:ind w:left="746"/>
        <w:rPr>
          <w:rFonts w:hint="eastAsia" w:ascii="宋体" w:hAnsi="宋体"/>
          <w:sz w:val="24"/>
          <w:szCs w:val="24"/>
        </w:rPr>
      </w:pPr>
      <w:r>
        <w:rPr>
          <w:rFonts w:hint="eastAsia" w:ascii="宋体" w:hAnsi="宋体" w:eastAsia="宋体" w:cs="宋体"/>
          <w:sz w:val="24"/>
          <w:szCs w:val="24"/>
        </w:rPr>
        <w:t>核心成员均为各模块专业负责人，能力与岗位高度匹配，且统筹推进项目全流程，协作效率与执行能力突出；</w:t>
      </w:r>
    </w:p>
    <w:p>
      <w:pPr>
        <w:pStyle w:val="0000a4"/>
        <w:numPr>
          <w:ilvl w:val="0"/>
          <w:numId w:val="29"/>
        </w:numPr>
        <w:spacing w:before="156" w:beforeLines="50"/>
        <w:rPr>
          <w:rFonts w:hint="eastAsia" w:ascii="宋体" w:hAnsi="宋体" w:eastAsia="宋体" w:cs="宋体"/>
          <w:b w:val="1"/>
          <w:bCs w:val="1"/>
          <w:sz w:val="24"/>
          <w:szCs w:val="24"/>
        </w:rPr>
      </w:pPr>
      <w:r>
        <w:rPr>
          <w:rFonts w:hint="eastAsia" w:ascii="宋体" w:hAnsi="宋体" w:eastAsia="宋体" w:cs="宋体"/>
          <w:b w:val="1"/>
          <w:bCs w:val="1"/>
          <w:sz w:val="24"/>
          <w:szCs w:val="24"/>
        </w:rPr>
        <w:t>研用结合落地优势</w:t>
      </w:r>
    </w:p>
    <w:p>
      <w:pPr>
        <w:pStyle w:val="0000a4"/>
        <w:spacing w:before="156" w:beforeLines="50"/>
        <w:ind w:left="746"/>
        <w:rPr>
          <w:rFonts w:hint="eastAsia" w:ascii="宋体" w:hAnsi="宋体"/>
          <w:sz w:val="24"/>
          <w:szCs w:val="24"/>
        </w:rPr>
      </w:pPr>
      <w:r>
        <w:rPr>
          <w:rFonts w:hint="eastAsia" w:ascii="宋体" w:hAnsi="宋体" w:eastAsia="宋体" w:cs="宋体"/>
          <w:sz w:val="24"/>
          <w:szCs w:val="24"/>
        </w:rPr>
        <w:t>依托学校科研平台，研发工作紧扣实际工程问题，所有技术攻关均以产品落地、解决实际安全痛点为导向，无纯理论化研发；</w:t>
      </w:r>
    </w:p>
    <w:p>
      <w:pPr>
        <w:spacing w:before="156" w:beforeLines="50"/>
        <w:rPr>
          <w:rFonts w:hint="eastAsia" w:ascii="宋体" w:hAnsi="宋体" w:eastAsia="宋体" w:cs="宋体"/>
          <w:b w:val="1"/>
          <w:bCs w:val="1"/>
          <w:sz w:val="24"/>
          <w:szCs w:val="24"/>
        </w:rPr>
      </w:pPr>
      <w:r>
        <w:rPr>
          <w:rFonts w:hint="eastAsia" w:ascii="宋体" w:hAnsi="宋体" w:eastAsia="宋体" w:cs="宋体"/>
          <w:b w:val="1"/>
          <w:bCs w:val="1"/>
          <w:sz w:val="24"/>
          <w:szCs w:val="24"/>
        </w:rPr>
        <w:t>（四）持续自主研发优势</w:t>
      </w:r>
    </w:p>
    <w:p>
      <w:pPr>
        <w:spacing w:before="156" w:beforeLines="50"/>
        <w:rPr>
          <w:rFonts w:hint="eastAsia" w:ascii="宋体" w:hAnsi="宋体"/>
          <w:sz w:val="24"/>
          <w:szCs w:val="24"/>
        </w:rPr>
      </w:pPr>
      <w:r>
        <w:rPr>
          <w:rFonts w:hint="eastAsia" w:ascii="宋体" w:hAnsi="宋体" w:eastAsia="宋体" w:cs="宋体"/>
          <w:sz w:val="24"/>
          <w:szCs w:val="24"/>
        </w:rPr>
        <w:t>团队成员具备扎实的专业基础，已形成成熟的研发协作机制，可独立完成从算法优化、硬件调试到产品迭代的全流程工作，研发能力可持续。</w:t>
      </w:r>
    </w:p>
    <w:p>
      <w:pPr>
        <w:numPr>
          <w:ilvl w:val="0"/>
          <w:numId w:val="28"/>
        </w:numPr>
        <w:spacing w:before="156" w:beforeLines="50"/>
        <w:ind w:left="0" w:firstLine="0"/>
        <w:rPr>
          <w:rFonts w:hint="eastAsia" w:ascii="黑体" w:hAnsi="黑体" w:eastAsia="黑体"/>
          <w:b w:val="1"/>
          <w:bCs w:val="1"/>
          <w:sz w:val="28"/>
          <w:szCs w:val="28"/>
        </w:rPr>
      </w:pPr>
      <w:r>
        <w:rPr>
          <w:rFonts w:hint="eastAsia" w:ascii="黑体" w:hAnsi="黑体" w:eastAsia="黑体" w:cs="宋体"/>
          <w:b w:val="1"/>
          <w:bCs w:val="1"/>
          <w:sz w:val="28"/>
          <w:szCs w:val="28"/>
        </w:rPr>
        <w:t>指导教师团队</w:t>
      </w:r>
    </w:p>
    <w:p>
      <w:pPr>
        <w:spacing w:before="156" w:beforeLines="50"/>
        <w:ind w:firstLine="480" w:firstLineChars="200"/>
        <w:rPr>
          <w:rFonts w:hint="eastAsia" w:ascii="宋体" w:hAnsi="宋体"/>
          <w:sz w:val="24"/>
          <w:szCs w:val="24"/>
        </w:rPr>
      </w:pPr>
      <w:r>
        <w:rPr>
          <w:rFonts w:hint="eastAsia" w:ascii="宋体" w:hAnsi="宋体" w:eastAsia="宋体" w:cs="宋体"/>
          <w:sz w:val="24"/>
          <w:szCs w:val="24"/>
        </w:rPr>
        <w:t>本团队依托学校智能交通等相关科研平台，由交通工程、嵌入式开发、领域专业教师组成指导团队，为项目研发与商业落地提供全方位专业支撑：</w:t>
      </w:r>
    </w:p>
    <w:p>
      <w:pPr>
        <w:pStyle w:val="0000a4"/>
        <w:numPr>
          <w:ilvl w:val="0"/>
          <w:numId w:val="30"/>
        </w:numPr>
        <w:spacing w:before="156" w:beforeLines="50"/>
        <w:rPr>
          <w:rFonts w:hint="eastAsia" w:ascii="宋体" w:hAnsi="宋体" w:eastAsia="宋体" w:cs="宋体"/>
          <w:b w:val="1"/>
          <w:bCs w:val="1"/>
          <w:sz w:val="24"/>
          <w:szCs w:val="24"/>
        </w:rPr>
      </w:pPr>
      <w:r>
        <w:rPr>
          <w:rFonts w:hint="eastAsia" w:ascii="宋体" w:hAnsi="宋体" w:eastAsia="宋体" w:cs="宋体"/>
          <w:b w:val="1"/>
          <w:bCs w:val="1"/>
          <w:sz w:val="24"/>
          <w:szCs w:val="24"/>
        </w:rPr>
        <w:t>技术指导</w:t>
      </w:r>
    </w:p>
    <w:p>
      <w:pPr>
        <w:pStyle w:val="0000a4"/>
        <w:spacing w:before="156" w:beforeLines="50"/>
        <w:ind w:left="746"/>
        <w:rPr>
          <w:rFonts w:hint="eastAsia" w:ascii="宋体" w:hAnsi="宋体"/>
          <w:sz w:val="24"/>
          <w:szCs w:val="24"/>
        </w:rPr>
      </w:pPr>
      <w:r>
        <w:rPr>
          <w:rFonts w:hint="eastAsia" w:ascii="宋体" w:hAnsi="宋体" w:eastAsia="宋体" w:cs="宋体"/>
          <w:sz w:val="24"/>
          <w:szCs w:val="24"/>
        </w:rPr>
        <w:t>交通工程、嵌入式开发领域教师为动态轨迹预测模型、硬件设计与环境适配优化提供核心技术指导，保障研发方向的科学性与可行性；</w:t>
      </w:r>
    </w:p>
    <w:p>
      <w:pPr>
        <w:pStyle w:val="0000a4"/>
        <w:numPr>
          <w:ilvl w:val="0"/>
          <w:numId w:val="30"/>
        </w:numPr>
        <w:spacing w:before="156" w:beforeLines="50"/>
        <w:rPr>
          <w:rFonts w:hint="eastAsia" w:ascii="宋体" w:hAnsi="宋体" w:eastAsia="宋体" w:cs="宋体"/>
          <w:b w:val="1"/>
          <w:bCs w:val="1"/>
          <w:sz w:val="24"/>
          <w:szCs w:val="24"/>
        </w:rPr>
      </w:pPr>
      <w:r>
        <w:rPr>
          <w:rFonts w:hint="eastAsia" w:ascii="宋体" w:hAnsi="宋体" w:eastAsia="宋体" w:cs="宋体"/>
          <w:b w:val="1"/>
          <w:bCs w:val="1"/>
          <w:sz w:val="24"/>
          <w:szCs w:val="24"/>
        </w:rPr>
        <w:t>资源支撑</w:t>
      </w:r>
    </w:p>
    <w:p>
      <w:pPr>
        <w:pStyle w:val="0000a4"/>
        <w:spacing w:before="156" w:beforeLines="50"/>
        <w:ind w:left="746"/>
        <w:rPr>
          <w:rFonts w:hint="eastAsia" w:ascii="宋体" w:hAnsi="宋体"/>
          <w:sz w:val="24"/>
          <w:szCs w:val="24"/>
        </w:rPr>
      </w:pPr>
      <w:r>
        <w:rPr>
          <w:rFonts w:hint="eastAsia" w:ascii="宋体" w:hAnsi="宋体" w:eastAsia="宋体" w:cs="宋体"/>
          <w:sz w:val="24"/>
          <w:szCs w:val="24"/>
        </w:rPr>
        <w:t>指导教师依托学校科研资源与行业合作渠道，为团队提供实验设备、技术资料与行业信息支持，降低研发与落地成本。</w:t>
      </w:r>
    </w:p>
    <w:p>
      <w:pPr>
        <w:numPr>
          <w:ilvl w:val="0"/>
          <w:numId w:val="28"/>
        </w:numPr>
        <w:spacing w:before="156" w:beforeLines="50"/>
        <w:ind w:left="0" w:firstLine="0"/>
        <w:rPr>
          <w:rFonts w:hint="eastAsia" w:ascii="黑体" w:hAnsi="黑体" w:eastAsia="黑体"/>
          <w:b w:val="1"/>
          <w:bCs w:val="1"/>
          <w:sz w:val="28"/>
          <w:szCs w:val="28"/>
        </w:rPr>
      </w:pPr>
      <w:r>
        <w:rPr>
          <w:rFonts w:hint="eastAsia" w:ascii="黑体" w:hAnsi="黑体" w:eastAsia="黑体" w:cs="宋体"/>
          <w:b w:val="1"/>
          <w:bCs w:val="1"/>
          <w:sz w:val="28"/>
          <w:szCs w:val="28"/>
        </w:rPr>
        <w:t>团队发展规划</w:t>
      </w:r>
    </w:p>
    <w:p>
      <w:pPr>
        <w:numPr>
          <w:ilvl w:val="0"/>
          <w:numId w:val="31"/>
        </w:numPr>
        <w:spacing w:before="156" w:beforeLines="50"/>
        <w:rPr>
          <w:rFonts w:hint="eastAsia" w:ascii="宋体" w:hAnsi="宋体" w:eastAsia="宋体"/>
          <w:b w:val="1"/>
          <w:bCs w:val="1"/>
          <w:sz w:val="24"/>
          <w:szCs w:val="24"/>
        </w:rPr>
      </w:pPr>
      <w:r>
        <w:rPr>
          <w:rFonts w:hint="eastAsia" w:ascii="宋体" w:hAnsi="宋体" w:eastAsia="宋体" w:cs="宋体"/>
          <w:b w:val="1"/>
          <w:bCs w:val="1"/>
          <w:sz w:val="24"/>
          <w:szCs w:val="24"/>
        </w:rPr>
        <w:t>短期规划（1-2 年）</w:t>
      </w:r>
    </w:p>
    <w:p>
      <w:pPr>
        <w:numPr>
          <w:ilvl w:val="0"/>
          <w:numId w:val="32"/>
        </w:numPr>
        <w:spacing w:before="156" w:beforeLines="50"/>
        <w:ind w:firstLine="480" w:firstLineChars="200"/>
        <w:rPr>
          <w:rFonts w:hint="eastAsia" w:ascii="宋体" w:hAnsi="宋体"/>
          <w:sz w:val="24"/>
          <w:szCs w:val="24"/>
        </w:rPr>
      </w:pPr>
      <w:r>
        <w:rPr>
          <w:rFonts w:hint="eastAsia" w:ascii="宋体" w:hAnsi="宋体" w:eastAsia="宋体" w:cs="宋体"/>
          <w:sz w:val="24"/>
          <w:szCs w:val="24"/>
        </w:rPr>
        <w:t>完成项目核心产品的定型与量产测试，优化产品在不同车载工况、道路场景下的适配性；</w:t>
      </w:r>
    </w:p>
    <w:p>
      <w:pPr>
        <w:numPr>
          <w:ilvl w:val="0"/>
          <w:numId w:val="32"/>
        </w:numPr>
        <w:spacing w:before="156" w:beforeLines="50"/>
        <w:ind w:firstLine="480" w:firstLineChars="200"/>
        <w:rPr>
          <w:rFonts w:hint="eastAsia" w:ascii="宋体" w:hAnsi="宋体"/>
          <w:sz w:val="24"/>
          <w:szCs w:val="24"/>
        </w:rPr>
      </w:pPr>
      <w:r>
        <w:rPr>
          <w:rFonts w:hint="eastAsia" w:ascii="宋体" w:hAnsi="宋体" w:eastAsia="宋体" w:cs="宋体"/>
          <w:sz w:val="24"/>
          <w:szCs w:val="24"/>
        </w:rPr>
        <w:t>完成核心技术的发明专利、软件著作权等知识产权申报，初步构建技术壁垒；</w:t>
      </w:r>
    </w:p>
    <w:p>
      <w:pPr>
        <w:numPr>
          <w:ilvl w:val="0"/>
          <w:numId w:val="32"/>
        </w:numPr>
        <w:spacing w:before="156" w:beforeLines="50"/>
        <w:ind w:firstLine="480" w:firstLineChars="200"/>
        <w:rPr>
          <w:rFonts w:hint="eastAsia" w:ascii="宋体" w:hAnsi="宋体"/>
          <w:sz w:val="24"/>
          <w:szCs w:val="24"/>
        </w:rPr>
      </w:pPr>
      <w:r>
        <w:rPr>
          <w:rFonts w:hint="eastAsia" w:ascii="宋体" w:hAnsi="宋体" w:eastAsia="宋体" w:cs="宋体"/>
          <w:sz w:val="24"/>
          <w:szCs w:val="24"/>
        </w:rPr>
        <w:t>对接商用车企、物流车队等目标客户，完成小范围试点推广，验证产品市场接受度。</w:t>
      </w:r>
    </w:p>
    <w:p>
      <w:pPr>
        <w:numPr>
          <w:ilvl w:val="0"/>
          <w:numId w:val="31"/>
        </w:numPr>
        <w:spacing w:before="156" w:beforeLines="50"/>
        <w:rPr>
          <w:rFonts w:hint="eastAsia" w:ascii="宋体" w:hAnsi="宋体" w:eastAsia="宋体"/>
          <w:sz w:val="24"/>
          <w:szCs w:val="24"/>
        </w:rPr>
      </w:pPr>
      <w:r>
        <w:rPr>
          <w:rFonts w:hint="eastAsia" w:ascii="宋体" w:hAnsi="宋体" w:eastAsia="宋体" w:cs="宋体"/>
          <w:b w:val="1"/>
          <w:bCs w:val="1"/>
          <w:sz w:val="24"/>
          <w:szCs w:val="24"/>
        </w:rPr>
        <w:t>中期规划（3-5 年）</w:t>
      </w:r>
    </w:p>
    <w:p>
      <w:pPr>
        <w:numPr>
          <w:ilvl w:val="0"/>
          <w:numId w:val="33"/>
        </w:numPr>
        <w:spacing w:before="156" w:beforeLines="50"/>
        <w:ind w:firstLine="480" w:firstLineChars="200"/>
        <w:rPr>
          <w:rFonts w:hint="eastAsia" w:ascii="宋体" w:hAnsi="宋体"/>
          <w:sz w:val="24"/>
          <w:szCs w:val="24"/>
        </w:rPr>
      </w:pPr>
      <w:r>
        <w:rPr>
          <w:rFonts w:hint="eastAsia" w:ascii="宋体" w:hAnsi="宋体" w:eastAsia="宋体" w:cs="宋体"/>
          <w:sz w:val="24"/>
          <w:szCs w:val="24"/>
        </w:rPr>
        <w:t>完善产品体系，推出针对不同车型（重卡 / 公交 / 工程车）的定制化版本，实现市场规模化拓展；</w:t>
      </w:r>
    </w:p>
    <w:p>
      <w:pPr>
        <w:numPr>
          <w:ilvl w:val="0"/>
          <w:numId w:val="33"/>
        </w:numPr>
        <w:spacing w:before="156" w:beforeLines="50"/>
        <w:ind w:firstLine="480" w:firstLineChars="200"/>
        <w:rPr>
          <w:rFonts w:hint="eastAsia" w:ascii="宋体" w:hAnsi="宋体"/>
          <w:sz w:val="24"/>
          <w:szCs w:val="24"/>
        </w:rPr>
      </w:pPr>
      <w:r>
        <w:rPr>
          <w:rFonts w:hint="eastAsia" w:ascii="宋体" w:hAnsi="宋体" w:eastAsia="宋体" w:cs="宋体"/>
          <w:sz w:val="24"/>
          <w:szCs w:val="24"/>
        </w:rPr>
        <w:t>与行业上下游企业（元器件供应商、商用车企、保险公司）达成深度合作，构建产业协作体系；</w:t>
      </w:r>
    </w:p>
    <w:p>
      <w:pPr>
        <w:numPr>
          <w:ilvl w:val="0"/>
          <w:numId w:val="33"/>
        </w:numPr>
        <w:spacing w:before="156" w:beforeLines="50"/>
        <w:ind w:firstLine="480" w:firstLineChars="200"/>
        <w:rPr>
          <w:rFonts w:hint="eastAsia" w:ascii="宋体" w:hAnsi="宋体"/>
          <w:sz w:val="24"/>
          <w:szCs w:val="24"/>
        </w:rPr>
      </w:pPr>
      <w:r>
        <w:rPr>
          <w:rFonts w:hint="eastAsia" w:ascii="宋体" w:hAnsi="宋体" w:eastAsia="宋体" w:cs="宋体"/>
          <w:sz w:val="24"/>
          <w:szCs w:val="24"/>
        </w:rPr>
        <w:t>持续推进技术迭代，完成 “雷达 + 视觉” 融合感知二代产品研发，提升产品核心竞争力；</w:t>
      </w:r>
    </w:p>
    <w:p>
      <w:pPr>
        <w:numPr>
          <w:ilvl w:val="0"/>
          <w:numId w:val="33"/>
        </w:numPr>
        <w:spacing w:before="156" w:beforeLines="50"/>
        <w:ind w:firstLine="480" w:firstLineChars="200"/>
        <w:rPr>
          <w:rFonts w:hint="eastAsia" w:ascii="宋体" w:hAnsi="宋体"/>
          <w:sz w:val="24"/>
          <w:szCs w:val="24"/>
        </w:rPr>
      </w:pPr>
      <w:r>
        <w:rPr>
          <w:rFonts w:hint="eastAsia" w:ascii="宋体" w:hAnsi="宋体" w:eastAsia="宋体" w:cs="宋体"/>
          <w:sz w:val="24"/>
          <w:szCs w:val="24"/>
        </w:rPr>
        <w:t>完善团队架构，吸纳交通工程、市场营销等领域专业人才，实现团队专业化、规模化发展。</w:t>
      </w:r>
    </w:p>
    <w:p>
      <w:pPr>
        <w:rPr>
          <w:rFonts w:hint="eastAsia" w:ascii="黑体" w:hAnsi="黑体" w:eastAsia="黑体"/>
          <w:b w:val="1"/>
          <w:bCs w:val="1"/>
          <w:sz w:val="36"/>
          <w:szCs w:val="36"/>
        </w:rPr>
      </w:pPr>
    </w:p>
    <w:p>
      <w:pPr>
        <w:rPr>
          <w:rFonts w:hint="eastAsia" w:ascii="黑体" w:hAnsi="黑体" w:eastAsia="黑体"/>
          <w:b w:val="1"/>
          <w:bCs w:val="1"/>
          <w:sz w:val="36"/>
          <w:szCs w:val="36"/>
        </w:rPr>
      </w:pPr>
    </w:p>
    <w:p>
      <w:pPr>
        <w:rPr>
          <w:rFonts w:hint="eastAsia" w:ascii="黑体" w:hAnsi="黑体" w:eastAsia="黑体"/>
          <w:b w:val="1"/>
          <w:bCs w:val="1"/>
          <w:sz w:val="36"/>
          <w:szCs w:val="36"/>
        </w:rPr>
      </w:pPr>
    </w:p>
    <w:p>
      <w:pPr>
        <w:rPr>
          <w:rFonts w:hint="eastAsia" w:ascii="黑体" w:hAnsi="黑体" w:eastAsia="黑体"/>
          <w:b w:val="1"/>
          <w:bCs w:val="1"/>
          <w:sz w:val="36"/>
          <w:szCs w:val="36"/>
        </w:rPr>
      </w:pPr>
    </w:p>
    <w:p>
      <w:pPr>
        <w:rPr>
          <w:rFonts w:hint="eastAsia" w:ascii="黑体" w:hAnsi="黑体" w:eastAsia="黑体"/>
          <w:b w:val="1"/>
          <w:bCs w:val="1"/>
          <w:sz w:val="36"/>
          <w:szCs w:val="36"/>
        </w:rPr>
      </w:pPr>
      <w:r>
        <w:rPr>
          <w:rFonts w:hint="eastAsia" w:ascii="黑体" w:hAnsi="黑体" w:eastAsia="黑体"/>
          <w:b w:val="1"/>
          <w:bCs w:val="1"/>
          <w:sz w:val="36"/>
          <w:szCs w:val="36"/>
        </w:rPr>
        <w:t>附录</w:t>
      </w:r>
    </w:p>
    <w:p>
      <w:pPr>
        <w:spacing w:before="71" w:beforeLines="23"/>
        <w:rPr>
          <w:rFonts w:hint="eastAsia"/>
        </w:rPr>
      </w:pPr>
      <w:r>
        <w:rPr>
          <w:rFonts w:hint="eastAsia" w:ascii="黑体" w:hAnsi="黑体" w:eastAsia="黑体"/>
          <w:b w:val="1"/>
          <w:bCs w:val="1"/>
          <w:sz w:val="28"/>
          <w:szCs w:val="28"/>
        </w:rPr>
        <w:t>附件一：关于大型车辆转弯安全隐患（内轮差）的公众认知调查问卷</w:t>
      </w:r>
    </w:p>
    <w:p>
      <w:pPr>
        <w:rPr>
          <w:rFonts w:hint="eastAsia" w:ascii="宋体" w:hAnsi="宋体"/>
          <w:sz w:val="24"/>
          <w:szCs w:val="24"/>
        </w:rPr>
      </w:pPr>
      <w:r>
        <w:rPr>
          <w:noProof w:val="1"/>
        </w:rPr>
        <w:drawing>
          <wp:inline distT="0" distB="0" distL="0" distR="0">
            <wp:extent cx="5266055" cy="1079500"/>
            <wp:effectExtent l="0" t="0" r="1270" b="6350"/>
            <wp:docPr id="62" name="图片 14"/>
            <wp:cNvGraphicFramePr/>
            <a:graphic>
              <a:graphicData uri="http://schemas.openxmlformats.org/drawingml/2006/picture">
                <pic:pic>
                  <pic:nvPicPr>
                    <pic:cNvPr id="63" name="图片 14"/>
                    <pic:cNvPicPr/>
                  </pic:nvPicPr>
                  <pic:blipFill>
                    <a:blip r:embed="rId35" cstate="print"/>
                    <a:srcRect/>
                    <a:stretch>
                      <a:fillRect/>
                    </a:stretch>
                  </pic:blipFill>
                  <pic:spPr>
                    <a:xfrm>
                      <a:off x="0" y="0"/>
                      <a:ext cx="5266055" cy="1079500"/>
                    </a:xfrm>
                    <a:prstGeom prst="rect">
                      <a:avLst/>
                    </a:prstGeom>
                    <a:ln>
                      <a:noFill/>
                    </a:ln>
                  </pic:spPr>
                </pic:pic>
              </a:graphicData>
            </a:graphic>
          </wp:inline>
        </w:drawing>
      </w:r>
    </w:p>
    <w:p>
      <w:pPr>
        <w:rPr>
          <w:rFonts w:hint="eastAsia" w:ascii="宋体" w:hAnsi="宋体"/>
          <w:sz w:val="24"/>
          <w:szCs w:val="24"/>
        </w:rPr>
      </w:pPr>
      <w:r>
        <w:rPr>
          <w:noProof w:val="1"/>
        </w:rPr>
        <w:drawing>
          <wp:inline distT="0" distB="0" distL="0" distR="0">
            <wp:extent cx="5271135" cy="1895475"/>
            <wp:effectExtent l="0" t="0" r="5715" b="8890"/>
            <wp:docPr id="65" name="图片 1"/>
            <wp:cNvGraphicFramePr/>
            <a:graphic>
              <a:graphicData uri="http://schemas.openxmlformats.org/drawingml/2006/picture">
                <pic:pic>
                  <pic:nvPicPr>
                    <pic:cNvPr id="66" name="图片 1"/>
                    <pic:cNvPicPr/>
                  </pic:nvPicPr>
                  <pic:blipFill>
                    <a:blip r:embed="rId36" cstate="print"/>
                    <a:srcRect/>
                    <a:stretch>
                      <a:fillRect/>
                    </a:stretch>
                  </pic:blipFill>
                  <pic:spPr>
                    <a:xfrm>
                      <a:off x="0" y="0"/>
                      <a:ext cx="5271135" cy="1896109"/>
                    </a:xfrm>
                    <a:prstGeom prst="rect">
                      <a:avLst/>
                    </a:prstGeom>
                    <a:ln>
                      <a:noFill/>
                    </a:ln>
                  </pic:spPr>
                </pic:pic>
              </a:graphicData>
            </a:graphic>
          </wp:inline>
        </w:drawing>
      </w:r>
    </w:p>
    <w:p>
      <w:pPr>
        <w:rPr>
          <w:rFonts w:hint="eastAsia"/>
        </w:rPr>
      </w:pPr>
      <w:r>
        <w:rPr>
          <w:noProof w:val="1"/>
        </w:rPr>
        <w:drawing>
          <wp:inline distT="0" distB="0" distL="0" distR="0">
            <wp:extent cx="5271135" cy="1938655"/>
            <wp:effectExtent l="0" t="0" r="5715" b="4445"/>
            <wp:docPr id="68" name="图片 3"/>
            <wp:cNvGraphicFramePr/>
            <a:graphic>
              <a:graphicData uri="http://schemas.openxmlformats.org/drawingml/2006/picture">
                <pic:pic>
                  <pic:nvPicPr>
                    <pic:cNvPr id="69" name="图片 3"/>
                    <pic:cNvPicPr/>
                  </pic:nvPicPr>
                  <pic:blipFill>
                    <a:blip r:embed="rId37" cstate="print"/>
                    <a:srcRect/>
                    <a:stretch>
                      <a:fillRect/>
                    </a:stretch>
                  </pic:blipFill>
                  <pic:spPr>
                    <a:xfrm>
                      <a:off x="0" y="0"/>
                      <a:ext cx="5271135" cy="1938655"/>
                    </a:xfrm>
                    <a:prstGeom prst="rect">
                      <a:avLst/>
                    </a:prstGeom>
                    <a:ln>
                      <a:noFill/>
                    </a:ln>
                  </pic:spPr>
                </pic:pic>
              </a:graphicData>
            </a:graphic>
          </wp:inline>
        </w:drawing>
      </w:r>
    </w:p>
    <w:p>
      <w:pPr>
        <w:rPr>
          <w:rFonts w:hint="eastAsia"/>
        </w:rPr>
      </w:pPr>
      <w:r>
        <w:rPr>
          <w:noProof w:val="1"/>
        </w:rPr>
        <w:drawing>
          <wp:inline distT="0" distB="0" distL="0" distR="0">
            <wp:extent cx="5262880" cy="2115185"/>
            <wp:effectExtent l="0" t="0" r="4445" b="8890"/>
            <wp:docPr id="71" name="图片 4"/>
            <wp:cNvGraphicFramePr/>
            <a:graphic>
              <a:graphicData uri="http://schemas.openxmlformats.org/drawingml/2006/picture">
                <pic:pic>
                  <pic:nvPicPr>
                    <pic:cNvPr id="72" name="图片 4"/>
                    <pic:cNvPicPr/>
                  </pic:nvPicPr>
                  <pic:blipFill>
                    <a:blip r:embed="rId38" cstate="print"/>
                    <a:srcRect/>
                    <a:stretch>
                      <a:fillRect/>
                    </a:stretch>
                  </pic:blipFill>
                  <pic:spPr>
                    <a:xfrm>
                      <a:off x="0" y="0"/>
                      <a:ext cx="5262880" cy="2115185"/>
                    </a:xfrm>
                    <a:prstGeom prst="rect">
                      <a:avLst/>
                    </a:prstGeom>
                    <a:ln>
                      <a:noFill/>
                    </a:ln>
                  </pic:spPr>
                </pic:pic>
              </a:graphicData>
            </a:graphic>
          </wp:inline>
        </w:drawing>
      </w:r>
      <w:r>
        <w:rPr>
          <w:noProof w:val="1"/>
        </w:rPr>
        <w:drawing>
          <wp:inline distT="0" distB="0" distL="0" distR="0">
            <wp:extent cx="5180330" cy="1674495"/>
            <wp:effectExtent l="0" t="0" r="1270" b="1270"/>
            <wp:docPr id="74" name="图片 6"/>
            <wp:cNvGraphicFramePr/>
            <a:graphic>
              <a:graphicData uri="http://schemas.openxmlformats.org/drawingml/2006/picture">
                <pic:pic>
                  <pic:nvPicPr>
                    <pic:cNvPr id="75" name="图片 6"/>
                    <pic:cNvPicPr/>
                  </pic:nvPicPr>
                  <pic:blipFill>
                    <a:blip r:embed="rId39" cstate="print"/>
                    <a:srcRect b="61691"/>
                    <a:stretch>
                      <a:fillRect/>
                    </a:stretch>
                  </pic:blipFill>
                  <pic:spPr>
                    <a:xfrm>
                      <a:off x="0" y="0"/>
                      <a:ext cx="5180330" cy="1675129"/>
                    </a:xfrm>
                    <a:prstGeom prst="rect">
                      <a:avLst/>
                    </a:prstGeom>
                    <a:ln>
                      <a:noFill/>
                    </a:ln>
                  </pic:spPr>
                </pic:pic>
              </a:graphicData>
            </a:graphic>
          </wp:inline>
        </w:drawing>
      </w:r>
    </w:p>
    <w:p>
      <w:pPr>
        <w:rPr>
          <w:rFonts w:hint="eastAsia"/>
        </w:rPr>
      </w:pPr>
      <w:r>
        <w:rPr>
          <w:noProof w:val="1"/>
        </w:rPr>
        <w:drawing>
          <wp:inline distT="0" distB="0" distL="0" distR="0">
            <wp:extent cx="5145405" cy="2296160"/>
            <wp:effectExtent l="0" t="0" r="7620" b="0"/>
            <wp:docPr id="77" name="图片 9"/>
            <wp:cNvGraphicFramePr/>
            <a:graphic>
              <a:graphicData uri="http://schemas.openxmlformats.org/drawingml/2006/picture">
                <pic:pic>
                  <pic:nvPicPr>
                    <pic:cNvPr id="78" name="图片 9"/>
                    <pic:cNvPicPr/>
                  </pic:nvPicPr>
                  <pic:blipFill>
                    <a:blip r:embed="rId39" cstate="print"/>
                    <a:srcRect t="47886" b="-757"/>
                    <a:stretch>
                      <a:fillRect/>
                    </a:stretch>
                  </pic:blipFill>
                  <pic:spPr>
                    <a:xfrm>
                      <a:off x="0" y="0"/>
                      <a:ext cx="5145405" cy="2296160"/>
                    </a:xfrm>
                    <a:prstGeom prst="rect">
                      <a:avLst/>
                    </a:prstGeom>
                    <a:ln>
                      <a:noFill/>
                    </a:ln>
                  </pic:spPr>
                </pic:pic>
              </a:graphicData>
            </a:graphic>
          </wp:inline>
        </w:drawing>
      </w:r>
    </w:p>
    <w:p>
      <w:pPr>
        <w:rPr>
          <w:rFonts w:hint="eastAsia"/>
        </w:rPr>
      </w:pPr>
      <w:r>
        <w:rPr>
          <w:noProof w:val="1"/>
        </w:rPr>
        <w:drawing>
          <wp:inline distT="0" distB="0" distL="0" distR="0">
            <wp:extent cx="5323840" cy="1543685"/>
            <wp:effectExtent l="0" t="0" r="635" b="8890"/>
            <wp:docPr id="80" name="图片 8"/>
            <wp:cNvGraphicFramePr/>
            <a:graphic>
              <a:graphicData uri="http://schemas.openxmlformats.org/drawingml/2006/picture">
                <pic:pic>
                  <pic:nvPicPr>
                    <pic:cNvPr id="81" name="图片 8"/>
                    <pic:cNvPicPr/>
                  </pic:nvPicPr>
                  <pic:blipFill>
                    <a:blip r:embed="rId40" cstate="print"/>
                    <a:srcRect b="49475"/>
                    <a:stretch>
                      <a:fillRect/>
                    </a:stretch>
                  </pic:blipFill>
                  <pic:spPr>
                    <a:xfrm>
                      <a:off x="0" y="0"/>
                      <a:ext cx="5323840" cy="1543685"/>
                    </a:xfrm>
                    <a:prstGeom prst="rect">
                      <a:avLst/>
                    </a:prstGeom>
                    <a:ln>
                      <a:noFill/>
                    </a:ln>
                  </pic:spPr>
                </pic:pic>
              </a:graphicData>
            </a:graphic>
          </wp:inline>
        </w:drawing>
      </w:r>
    </w:p>
    <w:p>
      <w:pPr>
        <w:rPr>
          <w:rFonts w:hint="eastAsia"/>
        </w:rPr>
      </w:pPr>
      <w:r>
        <w:rPr>
          <w:noProof w:val="1"/>
        </w:rPr>
        <w:drawing>
          <wp:inline distT="0" distB="0" distL="0" distR="0">
            <wp:extent cx="5347335" cy="1054735"/>
            <wp:effectExtent l="0" t="0" r="5715" b="2540"/>
            <wp:docPr id="83" name="图片 11"/>
            <wp:cNvGraphicFramePr/>
            <a:graphic>
              <a:graphicData uri="http://schemas.openxmlformats.org/drawingml/2006/picture">
                <pic:pic>
                  <pic:nvPicPr>
                    <pic:cNvPr id="84" name="图片 11"/>
                    <pic:cNvPicPr/>
                  </pic:nvPicPr>
                  <pic:blipFill>
                    <a:blip r:embed="rId40" cstate="print"/>
                    <a:srcRect t="61954" b="3676"/>
                    <a:stretch>
                      <a:fillRect/>
                    </a:stretch>
                  </pic:blipFill>
                  <pic:spPr>
                    <a:xfrm>
                      <a:off x="0" y="0"/>
                      <a:ext cx="5347335" cy="1054735"/>
                    </a:xfrm>
                    <a:prstGeom prst="rect">
                      <a:avLst/>
                    </a:prstGeom>
                    <a:ln>
                      <a:noFill/>
                    </a:ln>
                  </pic:spPr>
                </pic:pic>
              </a:graphicData>
            </a:graphic>
          </wp:inline>
        </w:drawing>
      </w:r>
    </w:p>
    <w:p>
      <w:pPr>
        <w:rPr>
          <w:rFonts w:hint="eastAsia"/>
        </w:rPr>
      </w:pPr>
      <w:r>
        <w:rPr>
          <w:noProof w:val="1"/>
        </w:rPr>
        <w:drawing>
          <wp:inline distT="0" distB="0" distL="0" distR="0">
            <wp:extent cx="5368290" cy="959485"/>
            <wp:effectExtent l="0" t="0" r="3810" b="1905"/>
            <wp:docPr id="86" name="图片 9"/>
            <wp:cNvGraphicFramePr/>
            <a:graphic>
              <a:graphicData uri="http://schemas.openxmlformats.org/drawingml/2006/picture">
                <pic:pic>
                  <pic:nvPicPr>
                    <pic:cNvPr id="87" name="图片 9"/>
                    <pic:cNvPicPr/>
                  </pic:nvPicPr>
                  <pic:blipFill>
                    <a:blip r:embed="rId41" cstate="print"/>
                    <a:srcRect t="11768" b="15870"/>
                    <a:stretch>
                      <a:fillRect/>
                    </a:stretch>
                  </pic:blipFill>
                  <pic:spPr>
                    <a:xfrm>
                      <a:off x="0" y="0"/>
                      <a:ext cx="5368290" cy="960119"/>
                    </a:xfrm>
                    <a:prstGeom prst="rect">
                      <a:avLst/>
                    </a:prstGeom>
                    <a:ln>
                      <a:noFill/>
                    </a:ln>
                  </pic:spPr>
                </pic:pic>
              </a:graphicData>
            </a:graphic>
          </wp:inline>
        </w:drawing>
      </w:r>
      <w:r>
        <w:rPr>
          <w:noProof w:val="1"/>
        </w:rPr>
        <w:drawing>
          <wp:inline distT="0" distB="0" distL="0" distR="0">
            <wp:extent cx="5271135" cy="954405"/>
            <wp:effectExtent l="0" t="0" r="5715" b="7620"/>
            <wp:docPr id="89" name="图片 10"/>
            <wp:cNvGraphicFramePr/>
            <a:graphic>
              <a:graphicData uri="http://schemas.openxmlformats.org/drawingml/2006/picture">
                <pic:pic>
                  <pic:nvPicPr>
                    <pic:cNvPr id="90" name="图片 10"/>
                    <pic:cNvPicPr/>
                  </pic:nvPicPr>
                  <pic:blipFill>
                    <a:blip r:embed="rId42" cstate="print"/>
                    <a:srcRect/>
                    <a:stretch>
                      <a:fillRect/>
                    </a:stretch>
                  </pic:blipFill>
                  <pic:spPr>
                    <a:xfrm>
                      <a:off x="0" y="0"/>
                      <a:ext cx="5271135" cy="954405"/>
                    </a:xfrm>
                    <a:prstGeom prst="rect">
                      <a:avLst/>
                    </a:prstGeom>
                    <a:ln>
                      <a:noFill/>
                    </a:ln>
                  </pic:spPr>
                </pic:pic>
              </a:graphicData>
            </a:graphic>
          </wp:inline>
        </w:drawing>
      </w:r>
    </w:p>
    <w:p>
      <w:pPr>
        <w:rPr>
          <w:rFonts w:hint="eastAsia"/>
        </w:rPr>
      </w:pPr>
    </w:p>
    <w:p>
      <w:pPr>
        <w:spacing w:after="81" w:afterLines="26"/>
        <w:rPr>
          <w:rFonts w:hint="eastAsia"/>
        </w:rPr>
      </w:pPr>
      <w:r>
        <w:rPr>
          <w:noProof w:val="1"/>
        </w:rPr>
        <w:drawing>
          <wp:inline distT="0" distB="0" distL="0" distR="0">
            <wp:extent cx="5266055" cy="1428115"/>
            <wp:effectExtent l="0" t="0" r="0" b="0"/>
            <wp:docPr id="92" name="图片 11"/>
            <wp:cNvGraphicFramePr/>
            <a:graphic>
              <a:graphicData uri="http://schemas.openxmlformats.org/drawingml/2006/picture">
                <pic:pic>
                  <pic:nvPicPr>
                    <pic:cNvPr id="93" name="图片 11"/>
                    <pic:cNvPicPr/>
                  </pic:nvPicPr>
                  <pic:blipFill>
                    <a:blip r:embed="rId43" cstate="print"/>
                    <a:srcRect b="63907"/>
                    <a:stretch>
                      <a:fillRect/>
                    </a:stretch>
                  </pic:blipFill>
                  <pic:spPr>
                    <a:xfrm>
                      <a:off x="0" y="0"/>
                      <a:ext cx="5266055" cy="1428115"/>
                    </a:xfrm>
                    <a:prstGeom prst="rect">
                      <a:avLst/>
                    </a:prstGeom>
                    <a:ln>
                      <a:noFill/>
                    </a:ln>
                  </pic:spPr>
                </pic:pic>
              </a:graphicData>
            </a:graphic>
          </wp:inline>
        </w:drawing>
      </w:r>
      <w:r>
        <w:rPr>
          <w:noProof w:val="1"/>
        </w:rPr>
        <w:drawing>
          <wp:inline distT="0" distB="0" distL="0" distR="0">
            <wp:extent cx="5266055" cy="2160270"/>
            <wp:effectExtent l="0" t="0" r="0" b="0"/>
            <wp:docPr id="95" name="图片 11"/>
            <wp:cNvGraphicFramePr/>
            <a:graphic>
              <a:graphicData uri="http://schemas.openxmlformats.org/drawingml/2006/picture">
                <pic:pic>
                  <pic:nvPicPr>
                    <pic:cNvPr id="96" name="图片 11"/>
                    <pic:cNvPicPr/>
                  </pic:nvPicPr>
                  <pic:blipFill>
                    <a:blip r:embed="rId43" cstate="print"/>
                    <a:srcRect t="45402"/>
                    <a:stretch>
                      <a:fillRect/>
                    </a:stretch>
                  </pic:blipFill>
                  <pic:spPr>
                    <a:xfrm>
                      <a:off x="0" y="0"/>
                      <a:ext cx="5266055" cy="2160270"/>
                    </a:xfrm>
                    <a:prstGeom prst="rect">
                      <a:avLst/>
                    </a:prstGeom>
                    <a:ln>
                      <a:noFill/>
                    </a:ln>
                  </pic:spPr>
                </pic:pic>
              </a:graphicData>
            </a:graphic>
          </wp:inline>
        </w:drawing>
      </w:r>
    </w:p>
    <w:p>
      <w:pPr>
        <w:rPr>
          <w:rFonts w:hint="eastAsia"/>
        </w:rPr>
      </w:pPr>
      <w:r>
        <w:rPr>
          <w:noProof w:val="1"/>
        </w:rPr>
        <w:drawing>
          <wp:inline distT="0" distB="0" distL="0" distR="0">
            <wp:extent cx="5267325" cy="2356485"/>
            <wp:effectExtent l="0" t="0" r="0" b="0"/>
            <wp:docPr id="98" name="图片 12"/>
            <wp:cNvGraphicFramePr/>
            <a:graphic>
              <a:graphicData uri="http://schemas.openxmlformats.org/drawingml/2006/picture">
                <pic:pic>
                  <pic:nvPicPr>
                    <pic:cNvPr id="99" name="图片 12"/>
                    <pic:cNvPicPr/>
                  </pic:nvPicPr>
                  <pic:blipFill>
                    <a:blip r:embed="rId44" cstate="print"/>
                    <a:srcRect b="36270"/>
                    <a:stretch>
                      <a:fillRect/>
                    </a:stretch>
                  </pic:blipFill>
                  <pic:spPr>
                    <a:xfrm>
                      <a:off x="0" y="0"/>
                      <a:ext cx="5267325" cy="2356485"/>
                    </a:xfrm>
                    <a:prstGeom prst="rect">
                      <a:avLst/>
                    </a:prstGeom>
                    <a:ln>
                      <a:noFill/>
                    </a:ln>
                  </pic:spPr>
                </pic:pic>
              </a:graphicData>
            </a:graphic>
          </wp:inline>
        </w:drawing>
      </w:r>
      <w:r>
        <w:rPr>
          <w:noProof w:val="1"/>
        </w:rPr>
        <w:drawing>
          <wp:inline distT="0" distB="0" distL="0" distR="0">
            <wp:extent cx="5267325" cy="1010285"/>
            <wp:effectExtent l="0" t="0" r="0" b="0"/>
            <wp:docPr id="101" name="图片 12"/>
            <wp:cNvGraphicFramePr/>
            <a:graphic>
              <a:graphicData uri="http://schemas.openxmlformats.org/drawingml/2006/picture">
                <pic:pic>
                  <pic:nvPicPr>
                    <pic:cNvPr id="102" name="图片 12"/>
                    <pic:cNvPicPr/>
                  </pic:nvPicPr>
                  <pic:blipFill>
                    <a:blip r:embed="rId44" cstate="print"/>
                    <a:srcRect t="72677"/>
                    <a:stretch>
                      <a:fillRect/>
                    </a:stretch>
                  </pic:blipFill>
                  <pic:spPr>
                    <a:xfrm>
                      <a:off x="0" y="0"/>
                      <a:ext cx="5267325" cy="1010285"/>
                    </a:xfrm>
                    <a:prstGeom prst="rect">
                      <a:avLst/>
                    </a:prstGeom>
                    <a:ln>
                      <a:noFill/>
                    </a:ln>
                  </pic:spPr>
                </pic:pic>
              </a:graphicData>
            </a:graphic>
          </wp:inline>
        </w:drawing>
      </w:r>
      <w:r>
        <w:rPr>
          <w:noProof w:val="1"/>
        </w:rPr>
        <w:drawing>
          <wp:inline distT="0" distB="0" distL="0" distR="0">
            <wp:extent cx="5271135" cy="2582545"/>
            <wp:effectExtent l="0" t="0" r="5715" b="8255"/>
            <wp:docPr id="104" name="图片 13"/>
            <wp:cNvGraphicFramePr/>
            <a:graphic>
              <a:graphicData uri="http://schemas.openxmlformats.org/drawingml/2006/picture">
                <pic:pic>
                  <pic:nvPicPr>
                    <pic:cNvPr id="105" name="图片 13"/>
                    <pic:cNvPicPr/>
                  </pic:nvPicPr>
                  <pic:blipFill>
                    <a:blip r:embed="rId45" cstate="print"/>
                    <a:srcRect/>
                    <a:stretch>
                      <a:fillRect/>
                    </a:stretch>
                  </pic:blipFill>
                  <pic:spPr>
                    <a:xfrm>
                      <a:off x="0" y="0"/>
                      <a:ext cx="5271135" cy="2582545"/>
                    </a:xfrm>
                    <a:prstGeom prst="rect">
                      <a:avLst/>
                    </a:prstGeom>
                    <a:ln>
                      <a:noFill/>
                    </a:ln>
                  </pic:spPr>
                </pic:pic>
              </a:graphicData>
            </a:graphic>
          </wp:inline>
        </w:drawing>
      </w:r>
    </w:p>
    <w:p>
      <w:pPr>
        <w:spacing w:before="71" w:beforeLines="23"/>
        <w:rPr>
          <w:rFonts w:hint="eastAsia" w:ascii="黑体" w:hAnsi="黑体" w:eastAsia="黑体"/>
          <w:b w:val="1"/>
          <w:bCs w:val="1"/>
          <w:sz w:val="28"/>
          <w:szCs w:val="28"/>
        </w:rPr>
      </w:pPr>
    </w:p>
    <w:p>
      <w:pPr>
        <w:spacing w:before="71" w:beforeLines="23"/>
        <w:rPr>
          <w:rFonts w:hint="eastAsia" w:ascii="黑体" w:hAnsi="黑体" w:eastAsia="黑体"/>
          <w:b w:val="1"/>
          <w:bCs w:val="1"/>
          <w:sz w:val="28"/>
          <w:szCs w:val="28"/>
        </w:rPr>
      </w:pPr>
    </w:p>
    <w:p>
      <w:pPr>
        <w:spacing w:before="71" w:beforeLines="23"/>
        <w:rPr>
          <w:rFonts w:hint="eastAsia" w:ascii="黑体" w:hAnsi="黑体" w:eastAsia="黑体"/>
          <w:b w:val="1"/>
          <w:bCs w:val="1"/>
          <w:sz w:val="28"/>
          <w:szCs w:val="28"/>
        </w:rPr>
      </w:pPr>
    </w:p>
    <w:p>
      <w:pPr>
        <w:spacing w:before="71" w:beforeLines="23"/>
        <w:rPr>
          <w:rFonts w:hint="eastAsia" w:ascii="黑体" w:hAnsi="黑体" w:eastAsia="黑体"/>
          <w:b w:val="1"/>
          <w:bCs w:val="1"/>
          <w:sz w:val="28"/>
          <w:szCs w:val="28"/>
        </w:rPr>
      </w:pPr>
    </w:p>
    <w:p>
      <w:pPr>
        <w:spacing w:before="71" w:beforeLines="23"/>
        <w:rPr>
          <w:rFonts w:hint="eastAsia" w:ascii="黑体" w:hAnsi="黑体" w:eastAsia="黑体"/>
          <w:b w:val="1"/>
          <w:bCs w:val="1"/>
          <w:sz w:val="28"/>
          <w:szCs w:val="28"/>
        </w:rPr>
      </w:pPr>
    </w:p>
    <w:p>
      <w:pPr>
        <w:spacing w:before="71" w:beforeLines="23"/>
        <w:rPr>
          <w:rFonts w:hint="eastAsia" w:ascii="黑体" w:hAnsi="黑体" w:eastAsia="黑体"/>
          <w:b w:val="1"/>
          <w:bCs w:val="1"/>
          <w:sz w:val="28"/>
          <w:szCs w:val="28"/>
        </w:rPr>
      </w:pPr>
    </w:p>
    <w:p>
      <w:pPr>
        <w:spacing w:before="71" w:beforeLines="23"/>
        <w:rPr>
          <w:rFonts w:hint="eastAsia" w:ascii="黑体" w:hAnsi="黑体" w:eastAsia="黑体"/>
          <w:b w:val="1"/>
          <w:bCs w:val="1"/>
          <w:sz w:val="28"/>
          <w:szCs w:val="28"/>
        </w:rPr>
      </w:pPr>
    </w:p>
    <w:p>
      <w:pPr>
        <w:spacing w:before="71" w:beforeLines="23"/>
        <w:rPr>
          <w:rFonts w:hint="eastAsia" w:ascii="黑体" w:hAnsi="黑体" w:eastAsia="黑体"/>
          <w:b w:val="1"/>
          <w:bCs w:val="1"/>
          <w:sz w:val="28"/>
          <w:szCs w:val="28"/>
        </w:rPr>
      </w:pPr>
    </w:p>
    <w:p>
      <w:pPr>
        <w:spacing w:before="71" w:beforeLines="23"/>
        <w:rPr>
          <w:rFonts w:hint="eastAsia" w:ascii="黑体" w:hAnsi="黑体" w:eastAsia="黑体"/>
          <w:b w:val="1"/>
          <w:bCs w:val="1"/>
          <w:sz w:val="28"/>
          <w:szCs w:val="28"/>
        </w:rPr>
      </w:pPr>
    </w:p>
    <w:p>
      <w:pPr>
        <w:spacing w:before="71" w:beforeLines="23"/>
        <w:rPr>
          <w:rFonts w:hint="eastAsia" w:ascii="黑体" w:hAnsi="黑体" w:eastAsia="黑体"/>
          <w:b w:val="1"/>
          <w:bCs w:val="1"/>
          <w:sz w:val="28"/>
          <w:szCs w:val="28"/>
        </w:rPr>
      </w:pPr>
    </w:p>
    <w:p>
      <w:pPr>
        <w:spacing w:before="71" w:beforeLines="23"/>
        <w:rPr>
          <w:rFonts w:hint="eastAsia" w:ascii="黑体" w:hAnsi="黑体" w:eastAsia="黑体"/>
          <w:b w:val="1"/>
          <w:bCs w:val="1"/>
          <w:sz w:val="28"/>
          <w:szCs w:val="28"/>
        </w:rPr>
      </w:pPr>
    </w:p>
    <w:p>
      <w:pPr>
        <w:spacing w:before="71" w:beforeLines="23"/>
        <w:rPr>
          <w:rFonts w:hint="eastAsia" w:ascii="黑体" w:hAnsi="黑体" w:eastAsia="黑体"/>
          <w:b w:val="1"/>
          <w:bCs w:val="1"/>
          <w:sz w:val="28"/>
          <w:szCs w:val="28"/>
        </w:rPr>
      </w:pPr>
    </w:p>
    <w:p>
      <w:pPr>
        <w:spacing w:before="71" w:beforeLines="23"/>
        <w:rPr>
          <w:rFonts w:hint="eastAsia" w:ascii="黑体" w:hAnsi="黑体" w:eastAsia="黑体"/>
          <w:b w:val="1"/>
          <w:bCs w:val="1"/>
          <w:sz w:val="28"/>
          <w:szCs w:val="28"/>
        </w:rPr>
      </w:pPr>
    </w:p>
    <w:p>
      <w:pPr>
        <w:spacing w:before="71" w:beforeLines="23"/>
        <w:rPr>
          <w:rFonts w:hint="eastAsia" w:ascii="黑体" w:hAnsi="黑体" w:eastAsia="黑体"/>
          <w:b w:val="1"/>
          <w:bCs w:val="1"/>
          <w:sz w:val="28"/>
          <w:szCs w:val="28"/>
        </w:rPr>
      </w:pPr>
      <w:r>
        <w:rPr>
          <w:rFonts w:hint="eastAsia" w:ascii="黑体" w:hAnsi="黑体" w:eastAsia="黑体"/>
          <w:b w:val="1"/>
          <w:bCs w:val="1"/>
          <w:sz w:val="28"/>
          <w:szCs w:val="28"/>
        </w:rPr>
        <w:t>附件二：项目核心学术研究论文撰写（未定稿）</w:t>
      </w:r>
    </w:p>
    <w:p>
      <w:pPr>
        <w:spacing w:before="71" w:beforeLines="23"/>
        <w:rPr>
          <w:rFonts w:hint="eastAsia" w:ascii="黑体" w:hAnsi="黑体" w:eastAsia="黑体"/>
          <w:b w:val="1"/>
          <w:bCs w:val="1"/>
          <w:sz w:val="28"/>
          <w:szCs w:val="28"/>
        </w:rPr>
      </w:pPr>
      <w:r>
        <w:rPr>
          <w:rFonts w:hint="eastAsia" w:ascii="黑体" w:hAnsi="黑体" w:eastAsia="黑体"/>
          <w:b w:val="1"/>
          <w:bCs w:val="1"/>
          <w:noProof w:val="1"/>
          <w:sz w:val="28"/>
          <w:szCs w:val="28"/>
        </w:rPr>
        <w:drawing>
          <wp:inline distT="0" distB="0" distL="114300" distR="114300">
            <wp:extent cx="5273040" cy="6821805"/>
            <wp:effectExtent l="0" t="0" r="3810" b="7620"/>
            <wp:docPr id="107" name="图片 17" descr="49aac52fab07bdcaa95a8838fc18df58"/>
            <wp:cNvGraphicFramePr>
              <a:graphicFrameLocks noChangeAspect="1"/>
            </wp:cNvGraphicFramePr>
            <a:graphic>
              <a:graphicData uri="http://schemas.openxmlformats.org/drawingml/2006/picture">
                <pic:pic>
                  <pic:nvPicPr>
                    <pic:cNvPr id="108" name="图片 17" descr="49aac52fab07bdcaa95a8838fc18df58"/>
                    <pic:cNvPicPr>
                      <a:picLocks noChangeAspect="1"/>
                    </pic:cNvPicPr>
                  </pic:nvPicPr>
                  <pic:blipFill>
                    <a:blip r:embed="rId46"/>
                    <a:stretch>
                      <a:fillRect/>
                    </a:stretch>
                  </pic:blipFill>
                  <pic:spPr>
                    <a:xfrm>
                      <a:off x="0" y="0"/>
                      <a:ext cx="5273040" cy="6821805"/>
                    </a:xfrm>
                    <a:prstGeom prst="rect">
                      <a:avLst/>
                    </a:prstGeom>
                  </pic:spPr>
                </pic:pic>
              </a:graphicData>
            </a:graphic>
          </wp:inline>
        </w:drawing>
      </w:r>
    </w:p>
    <w:p>
      <w:pPr>
        <w:spacing w:before="71" w:beforeLines="23"/>
        <w:rPr>
          <w:rFonts w:hint="eastAsia" w:ascii="黑体" w:hAnsi="黑体" w:eastAsia="黑体"/>
          <w:b w:val="1"/>
          <w:bCs w:val="1"/>
          <w:sz w:val="28"/>
          <w:szCs w:val="28"/>
        </w:rPr>
      </w:pPr>
      <w:r>
        <w:rPr>
          <w:rFonts w:hint="eastAsia" w:ascii="黑体" w:hAnsi="黑体" w:eastAsia="黑体"/>
          <w:b w:val="1"/>
          <w:bCs w:val="1"/>
          <w:noProof w:val="1"/>
          <w:sz w:val="28"/>
          <w:szCs w:val="28"/>
        </w:rPr>
        <w:drawing>
          <wp:inline distT="0" distB="0" distL="114300" distR="114300">
            <wp:extent cx="5273040" cy="6821805"/>
            <wp:effectExtent l="0" t="0" r="3810" b="7620"/>
            <wp:docPr id="110" name="图片 22" descr="7b8477cc4ec42ae4e5f809f22c7fbf5b"/>
            <wp:cNvGraphicFramePr>
              <a:graphicFrameLocks noChangeAspect="1"/>
            </wp:cNvGraphicFramePr>
            <a:graphic>
              <a:graphicData uri="http://schemas.openxmlformats.org/drawingml/2006/picture">
                <pic:pic>
                  <pic:nvPicPr>
                    <pic:cNvPr id="111" name="图片 22" descr="7b8477cc4ec42ae4e5f809f22c7fbf5b"/>
                    <pic:cNvPicPr>
                      <a:picLocks noChangeAspect="1"/>
                    </pic:cNvPicPr>
                  </pic:nvPicPr>
                  <pic:blipFill>
                    <a:blip r:embed="rId47"/>
                    <a:stretch>
                      <a:fillRect/>
                    </a:stretch>
                  </pic:blipFill>
                  <pic:spPr>
                    <a:xfrm>
                      <a:off x="0" y="0"/>
                      <a:ext cx="5273040" cy="6821805"/>
                    </a:xfrm>
                    <a:prstGeom prst="rect">
                      <a:avLst/>
                    </a:prstGeom>
                  </pic:spPr>
                </pic:pic>
              </a:graphicData>
            </a:graphic>
          </wp:inline>
        </w:drawing>
      </w:r>
      <w:r>
        <w:rPr>
          <w:rFonts w:hint="eastAsia" w:ascii="黑体" w:hAnsi="黑体" w:eastAsia="黑体"/>
          <w:b w:val="1"/>
          <w:bCs w:val="1"/>
          <w:noProof w:val="1"/>
          <w:sz w:val="28"/>
          <w:szCs w:val="28"/>
        </w:rPr>
        <w:drawing>
          <wp:inline distT="0" distB="0" distL="114300" distR="114300">
            <wp:extent cx="5273040" cy="6821805"/>
            <wp:effectExtent l="0" t="0" r="3810" b="7620"/>
            <wp:docPr id="113" name="图片 25" descr="f110ae2d5790a26a2459a5c747f50385"/>
            <wp:cNvGraphicFramePr>
              <a:graphicFrameLocks noChangeAspect="1"/>
            </wp:cNvGraphicFramePr>
            <a:graphic>
              <a:graphicData uri="http://schemas.openxmlformats.org/drawingml/2006/picture">
                <pic:pic>
                  <pic:nvPicPr>
                    <pic:cNvPr id="114" name="图片 25" descr="f110ae2d5790a26a2459a5c747f50385"/>
                    <pic:cNvPicPr>
                      <a:picLocks noChangeAspect="1"/>
                    </pic:cNvPicPr>
                  </pic:nvPicPr>
                  <pic:blipFill>
                    <a:blip r:embed="rId48"/>
                    <a:stretch>
                      <a:fillRect/>
                    </a:stretch>
                  </pic:blipFill>
                  <pic:spPr>
                    <a:xfrm>
                      <a:off x="0" y="0"/>
                      <a:ext cx="5273040" cy="6821805"/>
                    </a:xfrm>
                    <a:prstGeom prst="rect">
                      <a:avLst/>
                    </a:prstGeom>
                  </pic:spPr>
                </pic:pic>
              </a:graphicData>
            </a:graphic>
          </wp:inline>
        </w:drawing>
      </w:r>
    </w:p>
    <w:p>
      <w:pPr>
        <w:spacing w:before="71" w:beforeLines="23"/>
        <w:rPr>
          <w:rFonts w:hint="eastAsia" w:ascii="黑体" w:hAnsi="黑体" w:eastAsia="黑体"/>
          <w:b w:val="1"/>
          <w:bCs w:val="1"/>
          <w:sz w:val="28"/>
          <w:szCs w:val="28"/>
        </w:rPr>
      </w:pPr>
      <w:r>
        <w:rPr>
          <w:rFonts w:hint="eastAsia" w:ascii="黑体" w:hAnsi="黑体" w:eastAsia="黑体"/>
          <w:b w:val="1"/>
          <w:bCs w:val="1"/>
          <w:sz w:val="28"/>
          <w:szCs w:val="28"/>
        </w:rPr>
        <w:t>注：该论文目前仍处于完善阶段</w:t>
      </w:r>
    </w:p>
    <w:p>
      <w:pPr>
        <w:spacing w:before="71" w:beforeLines="23"/>
        <w:rPr>
          <w:rFonts w:hint="eastAsia" w:ascii="黑体" w:hAnsi="黑体" w:eastAsia="黑体"/>
          <w:b w:val="1"/>
          <w:bCs w:val="1"/>
          <w:sz w:val="28"/>
          <w:szCs w:val="28"/>
        </w:rPr>
      </w:pPr>
    </w:p>
    <w:p>
      <w:pPr>
        <w:spacing w:before="71" w:beforeLines="23"/>
        <w:rPr>
          <w:rFonts w:hint="eastAsia" w:ascii="黑体" w:hAnsi="黑体" w:eastAsia="黑体"/>
          <w:b w:val="1"/>
          <w:bCs w:val="1"/>
          <w:sz w:val="28"/>
          <w:szCs w:val="28"/>
        </w:rPr>
      </w:pPr>
    </w:p>
    <w:p>
      <w:pPr>
        <w:spacing w:before="71" w:beforeLines="23"/>
        <w:rPr>
          <w:rFonts w:hint="eastAsia" w:ascii="黑体" w:hAnsi="黑体" w:eastAsia="黑体"/>
          <w:b w:val="1"/>
          <w:bCs w:val="1"/>
          <w:sz w:val="28"/>
          <w:szCs w:val="28"/>
        </w:rPr>
      </w:pPr>
    </w:p>
    <w:p>
      <w:pPr>
        <w:spacing w:before="71" w:beforeLines="23"/>
        <w:rPr>
          <w:rFonts w:hint="eastAsia" w:ascii="黑体" w:hAnsi="黑体" w:eastAsia="黑体"/>
          <w:b w:val="1"/>
          <w:bCs w:val="1"/>
          <w:sz w:val="28"/>
          <w:szCs w:val="28"/>
        </w:rPr>
      </w:pPr>
      <w:r>
        <w:rPr>
          <w:rFonts w:hint="eastAsia" w:ascii="黑体" w:hAnsi="黑体" w:eastAsia="黑体"/>
          <w:b w:val="1"/>
          <w:bCs w:val="1"/>
          <w:sz w:val="28"/>
          <w:szCs w:val="28"/>
        </w:rPr>
        <w:t>附件三：内轮差动态预警系统主控板原理图</w:t>
      </w:r>
    </w:p>
    <w:p>
      <w:pPr>
        <w:rPr>
          <w:rFonts w:hint="eastAsia" w:ascii="黑体" w:hAnsi="黑体" w:eastAsia="黑体"/>
          <w:b w:val="1"/>
          <w:bCs w:val="1"/>
          <w:sz w:val="28"/>
          <w:szCs w:val="28"/>
        </w:rPr>
      </w:pPr>
      <w:r>
        <w:rPr>
          <w:rFonts w:hint="eastAsia" w:ascii="黑体" w:hAnsi="黑体" w:eastAsia="黑体"/>
          <w:b w:val="1"/>
          <w:bCs w:val="1"/>
          <w:noProof w:val="1"/>
          <w:sz w:val="28"/>
          <w:szCs w:val="28"/>
        </w:rPr>
        <w:drawing>
          <wp:inline distT="0" distB="0" distL="114300" distR="114300">
            <wp:extent cx="5272405" cy="2790825"/>
            <wp:effectExtent l="0" t="0" r="4445" b="0"/>
            <wp:docPr id="116" name="图片 36" descr="PCB原理图"/>
            <wp:cNvGraphicFramePr>
              <a:graphicFrameLocks noChangeAspect="1"/>
            </wp:cNvGraphicFramePr>
            <a:graphic>
              <a:graphicData uri="http://schemas.openxmlformats.org/drawingml/2006/picture">
                <pic:pic>
                  <pic:nvPicPr>
                    <pic:cNvPr id="117" name="图片 36" descr="PCB原理图"/>
                    <pic:cNvPicPr>
                      <a:picLocks noChangeAspect="1"/>
                    </pic:cNvPicPr>
                  </pic:nvPicPr>
                  <pic:blipFill>
                    <a:blip r:embed="rId49"/>
                    <a:stretch>
                      <a:fillRect/>
                    </a:stretch>
                  </pic:blipFill>
                  <pic:spPr>
                    <a:xfrm>
                      <a:off x="0" y="0"/>
                      <a:ext cx="5272405" cy="2790825"/>
                    </a:xfrm>
                    <a:prstGeom prst="rect">
                      <a:avLst/>
                    </a:prstGeom>
                  </pic:spPr>
                </pic:pic>
              </a:graphicData>
            </a:graphic>
          </wp:inline>
        </w:drawing>
      </w:r>
    </w:p>
    <w:p>
      <w:pPr>
        <w:spacing w:before="156" w:beforeLines="50"/>
        <w:rPr>
          <w:rFonts w:hint="eastAsia" w:ascii="黑体" w:hAnsi="黑体" w:eastAsia="黑体" w:cs="黑体"/>
          <w:sz w:val="18"/>
          <w:szCs w:val="18"/>
        </w:rPr>
      </w:pPr>
    </w:p>
    <w:p>
      <w:pPr>
        <w:spacing w:before="71" w:beforeLines="23"/>
        <w:rPr>
          <w:rFonts w:hint="eastAsia" w:ascii="黑体" w:hAnsi="黑体" w:eastAsia="黑体"/>
          <w:b w:val="1"/>
          <w:bCs w:val="1"/>
          <w:sz w:val="28"/>
          <w:szCs w:val="28"/>
        </w:rPr>
      </w:pPr>
      <w:r>
        <w:rPr>
          <w:rFonts w:hint="eastAsia" w:ascii="黑体" w:hAnsi="黑体" w:eastAsia="黑体"/>
          <w:b w:val="1"/>
          <w:bCs w:val="1"/>
          <w:sz w:val="28"/>
          <w:szCs w:val="28"/>
        </w:rPr>
        <w:t>附件四：代码集</w:t>
      </w:r>
    </w:p>
    <w:p>
      <w:pPr>
        <w:rPr>
          <w:rFonts w:hint="eastAsia" w:ascii="黑体" w:hAnsi="黑体" w:eastAsia="黑体"/>
          <w:b w:val="1"/>
          <w:bCs w:val="1"/>
          <w:sz w:val="36"/>
          <w:szCs w:val="36"/>
        </w:rPr>
      </w:pPr>
      <w:r>
        <w:rPr>
          <w:rFonts w:ascii="黑体" w:hAnsi="黑体" w:eastAsia="黑体"/>
          <w:b w:val="1"/>
          <w:bCs w:val="1"/>
          <w:noProof w:val="1"/>
          <w:sz w:val="36"/>
          <w:szCs w:val="36"/>
        </w:rPr>
        <w:drawing>
          <wp:inline distT="0" distB="0" distL="0" distR="0">
            <wp:extent cx="5274310" cy="2920365"/>
            <wp:effectExtent l="0" t="0" r="2540" b="0"/>
            <wp:docPr id="119" name="图片 2"/>
            <wp:cNvGraphicFramePr>
              <a:graphicFrameLocks noChangeAspect="1"/>
            </wp:cNvGraphicFramePr>
            <a:graphic>
              <a:graphicData uri="http://schemas.openxmlformats.org/drawingml/2006/picture">
                <pic:pic>
                  <pic:nvPicPr>
                    <pic:cNvPr id="120" name="Picture 1"/>
                    <pic:cNvPicPr>
                      <a:picLocks noChangeAspect="1" noChangeArrowheads="1"/>
                    </pic:cNvPicPr>
                  </pic:nvPicPr>
                  <pic:blipFill>
                    <a:blip r:embed="rId50" cstate="print">
                      <a:extLst>
                        <a:ext uri="{28A0092B-C50C-407E-A947-70E740481C1C}"/>
                      </a:extLst>
                    </a:blip>
                    <a:srcRect/>
                    <a:stretch>
                      <a:fillRect/>
                    </a:stretch>
                  </pic:blipFill>
                  <pic:spPr bwMode="auto">
                    <a:xfrm>
                      <a:off x="0" y="0"/>
                      <a:ext cx="5274310" cy="2920365"/>
                    </a:xfrm>
                    <a:prstGeom prst="rect">
                      <a:avLst/>
                    </a:prstGeom>
                    <a:noFill/>
                    <a:ln>
                      <a:noFill/>
                    </a:ln>
                  </pic:spPr>
                </pic:pic>
              </a:graphicData>
            </a:graphic>
          </wp:inline>
        </w:drawing>
      </w:r>
    </w:p>
    <w:p>
      <w:pPr>
        <w:spacing w:before="71" w:beforeLines="23"/>
        <w:rPr>
          <w:rFonts w:hint="eastAsia" w:ascii="黑体" w:hAnsi="黑体" w:eastAsia="黑体"/>
          <w:b w:val="1"/>
          <w:bCs w:val="1"/>
          <w:sz w:val="28"/>
          <w:szCs w:val="28"/>
        </w:rPr>
      </w:pPr>
      <w:r>
        <w:rPr>
          <w:rFonts w:hint="eastAsia" w:ascii="黑体" w:hAnsi="黑体" w:eastAsia="黑体"/>
          <w:b w:val="1"/>
          <w:bCs w:val="1"/>
          <w:sz w:val="28"/>
          <w:szCs w:val="28"/>
        </w:rPr>
        <w:t>注：核心代码涉及商业机密，以上代码集为原创证明。</w:t>
      </w:r>
    </w:p>
    <w:p>
      <w:pPr>
        <w:rPr>
          <w:rFonts w:hint="eastAsia" w:ascii="黑体" w:hAnsi="黑体" w:eastAsia="黑体"/>
          <w:b w:val="1"/>
          <w:bCs w:val="1"/>
          <w:sz w:val="36"/>
          <w:szCs w:val="36"/>
        </w:rPr>
      </w:pPr>
    </w:p>
    <w:p>
      <w:pPr>
        <w:rPr>
          <w:rFonts w:hint="eastAsia" w:ascii="黑体" w:hAnsi="黑体" w:eastAsia="黑体"/>
          <w:b w:val="1"/>
          <w:bCs w:val="1"/>
          <w:sz w:val="36"/>
          <w:szCs w:val="36"/>
        </w:rPr>
      </w:pPr>
    </w:p>
    <w:p>
      <w:pPr>
        <w:rPr>
          <w:rFonts w:hint="eastAsia" w:ascii="黑体" w:hAnsi="黑体" w:eastAsia="黑体"/>
          <w:b w:val="1"/>
          <w:bCs w:val="1"/>
          <w:sz w:val="36"/>
          <w:szCs w:val="36"/>
        </w:rPr>
      </w:pPr>
    </w:p>
    <w:p>
      <w:pPr>
        <w:rPr>
          <w:rFonts w:hint="eastAsia" w:ascii="黑体" w:hAnsi="黑体" w:eastAsia="黑体"/>
          <w:b w:val="1"/>
          <w:bCs w:val="1"/>
          <w:sz w:val="36"/>
          <w:szCs w:val="36"/>
        </w:rPr>
      </w:pPr>
    </w:p>
    <w:p>
      <w:pPr>
        <w:rPr>
          <w:rFonts w:hint="eastAsia" w:ascii="黑体" w:hAnsi="黑体" w:eastAsia="黑体"/>
          <w:b w:val="1"/>
          <w:bCs w:val="1"/>
          <w:sz w:val="36"/>
          <w:szCs w:val="36"/>
        </w:rPr>
      </w:pPr>
    </w:p>
    <w:p>
      <w:pPr>
        <w:rPr>
          <w:rFonts w:hint="eastAsia" w:ascii="黑体" w:hAnsi="黑体" w:eastAsia="黑体"/>
          <w:b w:val="1"/>
          <w:bCs w:val="1"/>
          <w:sz w:val="36"/>
          <w:szCs w:val="36"/>
        </w:rPr>
      </w:pPr>
    </w:p>
    <w:p>
      <w:pPr>
        <w:rPr>
          <w:rFonts w:hint="eastAsia" w:ascii="黑体" w:hAnsi="黑体" w:eastAsia="黑体"/>
          <w:b w:val="1"/>
          <w:bCs w:val="1"/>
          <w:sz w:val="36"/>
          <w:szCs w:val="36"/>
        </w:rPr>
      </w:pPr>
    </w:p>
    <w:p>
      <w:pPr>
        <w:rPr>
          <w:rFonts w:hint="eastAsia" w:ascii="黑体" w:hAnsi="黑体" w:eastAsia="黑体"/>
          <w:b w:val="1"/>
          <w:bCs w:val="1"/>
          <w:sz w:val="36"/>
          <w:szCs w:val="36"/>
        </w:rPr>
      </w:pPr>
    </w:p>
    <w:p>
      <w:pPr>
        <w:rPr>
          <w:rFonts w:hint="eastAsia" w:ascii="黑体" w:hAnsi="黑体" w:eastAsia="黑体"/>
          <w:b w:val="1"/>
          <w:bCs w:val="1"/>
          <w:sz w:val="36"/>
          <w:szCs w:val="36"/>
        </w:rPr>
      </w:pPr>
    </w:p>
    <w:p>
      <w:pPr>
        <w:rPr>
          <w:rFonts w:hint="eastAsia" w:ascii="黑体" w:hAnsi="黑体" w:eastAsia="黑体"/>
          <w:b w:val="1"/>
          <w:bCs w:val="1"/>
          <w:sz w:val="36"/>
          <w:szCs w:val="36"/>
        </w:rPr>
      </w:pPr>
    </w:p>
    <w:p>
      <w:pPr>
        <w:rPr>
          <w:rFonts w:hint="eastAsia" w:ascii="黑体" w:hAnsi="黑体" w:eastAsia="黑体"/>
          <w:b w:val="1"/>
          <w:bCs w:val="1"/>
          <w:sz w:val="36"/>
          <w:szCs w:val="36"/>
        </w:rPr>
      </w:pPr>
    </w:p>
    <w:p>
      <w:pPr>
        <w:rPr>
          <w:rFonts w:hint="eastAsia" w:ascii="黑体" w:hAnsi="黑体" w:eastAsia="黑体"/>
          <w:b w:val="1"/>
          <w:bCs w:val="1"/>
          <w:sz w:val="36"/>
          <w:szCs w:val="36"/>
        </w:rPr>
      </w:pPr>
    </w:p>
    <w:p>
      <w:pPr>
        <w:rPr>
          <w:rFonts w:hint="eastAsia" w:ascii="黑体" w:hAnsi="黑体" w:eastAsia="黑体"/>
          <w:b w:val="1"/>
          <w:bCs w:val="1"/>
          <w:sz w:val="36"/>
          <w:szCs w:val="36"/>
        </w:rPr>
      </w:pPr>
    </w:p>
    <w:p>
      <w:pPr>
        <w:rPr>
          <w:rFonts w:hint="eastAsia"/>
        </w:rPr>
      </w:pPr>
    </w:p>
    <w:sectPr w:rsidRPr="00B05AA8" w:rsidR="00631533" w:rsidSect="00F92965">
      <w:footerReference r:id="rId14" w:type="first"/>
      <w:footerReference r:id="rId13" w:type="default"/>
      <w:pgSz w:w="11906" w:h="16838"/>
      <w:pgMar w:top="1440" w:right="1800" w:bottom="1440" w:left="1800" w:header="851" w:footer="992" w:gutter="0"/>
      <w:pgNumType w:start="1"/>
      <w:cols w:space="425"/>
      <w:docGrid w:type="lines" w:linePitch="312"/>
    </w:sectPr>
  </w:body>
</w:document>
</file>

<file path=word/endnotes.xml><?xml version="1.0" encoding="utf-8"?>
<w:endnotes xmlns:w="http://schemas.openxmlformats.org/wordprocessingml/2006/main">
  <w:endnote w:type="continuationSeparator" w:id="1">
    <w:p>
      <w:pPr>
        <w:rPr>
          <w:rFonts w:hint="eastAsia"/>
        </w:rPr>
      </w:pPr>
      <w:r>
        <w:rPr/>
        <w:continuationSeparator/>
      </w:r>
    </w:p>
  </w:endnote>
  <w:endnote w:type="separator" w:id="0">
    <w:p>
      <w:pPr>
        <w:rPr>
          <w:rFonts w:hint="eastAsia"/>
        </w:rPr>
      </w:pPr>
      <w:r>
        <w:rPr/>
        <w:separator/>
      </w:r>
    </w:p>
  </w:endnote>
</w:endnotes>
</file>

<file path=word/fontTable.xml><?xml version="1.0" encoding="utf-8"?>
<w:fonts xmlns:w="http://schemas.openxmlformats.org/wordprocessingml/2006/main">
  <w:font w:name="Symbol">
    <w:panose1 w:val="05050102010706020507"/>
    <w:charset w:val="02" w:characterSet="ISO-8859-1"/>
    <w:family w:val="roman"/>
    <w:pitch w:val="variable"/>
    <w:sig w:usb0="00000000" w:usb1="10000000" w:usb2="00000000" w:usb3="00000000" w:csb0="80000000" w:csb1="00000000"/>
  </w:font>
  <w:font w:name="Courier New">
    <w:panose1 w:val="02070309020205020404"/>
    <w:charset w:val="00" w:characterSet="ISO-8859-1"/>
    <w:family w:val="modern"/>
    <w:pitch w:val="fixed"/>
    <w:sig w:usb0="E0002EFF" w:usb1="C0007843" w:usb2="00000009" w:usb3="00000000" w:csb0="000001FF" w:csb1="00000000"/>
  </w:font>
  <w:font w:name="楷体">
    <w:altName w:val="KaiTi"/>
    <w:panose1 w:val="02010609060101010101"/>
    <w:charset w:val="86" w:characterSet="ISO-8859-1"/>
    <w:family w:val="modern"/>
    <w:pitch w:val="fixed"/>
    <w:sig w:usb0="800002BF" w:usb1="38CF7CFA" w:usb2="00000016" w:usb3="00000000" w:csb0="00040001" w:csb1="00000000"/>
  </w:font>
  <w:font w:name="Times New Roman">
    <w:panose1 w:val="02020603050405020304"/>
    <w:charset w:val="00" w:characterSet="ISO-8859-1"/>
    <w:family w:val="roman"/>
    <w:pitch w:val="variable"/>
    <w:sig w:usb0="E0002EFF" w:usb1="C000785B" w:usb2="00000009" w:usb3="00000000" w:csb0="000001FF" w:csb1="00000000"/>
  </w:font>
  <w:font w:name="Wingdings">
    <w:panose1 w:val="05000000000000000000"/>
    <w:charset w:val="02" w:characterSet="ISO-8859-1"/>
    <w:family w:val="auto"/>
    <w:pitch w:val="variable"/>
    <w:sig w:usb0="00000000" w:usb1="10000000" w:usb2="00000000" w:usb3="00000000" w:csb0="80000000" w:csb1="00000000"/>
  </w:font>
  <w:font w:name="黑体">
    <w:altName w:val="SimHei"/>
    <w:panose1 w:val="02010609060101010101"/>
    <w:charset w:val="86" w:characterSet="ISO-8859-1"/>
    <w:family w:val="modern"/>
    <w:pitch w:val="fixed"/>
    <w:sig w:usb0="800002BF" w:usb1="38CF7CFA" w:usb2="00000016" w:usb3="00000000" w:csb0="00040001" w:csb1="00000000"/>
  </w:font>
  <w:font w:name="宋体">
    <w:altName w:val="SimSun"/>
    <w:panose1 w:val="02010600030101010101"/>
    <w:charset w:val="86" w:characterSet="ISO-8859-1"/>
    <w:family w:val="auto"/>
    <w:pitch w:val="variable"/>
    <w:sig w:usb0="00000203" w:usb1="288F0000" w:usb2="00000016" w:usb3="00000000" w:csb0="00040001" w:csb1="00000000"/>
  </w:font>
  <w:font w:name="等线 Light">
    <w:panose1 w:val="02010600030101010101"/>
    <w:charset w:val="86" w:characterSet="ISO-8859-1"/>
    <w:family w:val="auto"/>
    <w:pitch w:val="variable"/>
    <w:sig w:usb0="A00002BF" w:usb1="38CF7CFA" w:usb2="00000016" w:usb3="00000000" w:csb0="0004000F" w:csb1="00000000"/>
  </w:font>
  <w:font w:name="等线">
    <w:altName w:val="DengXian"/>
    <w:panose1 w:val="02010600030101010101"/>
    <w:charset w:val="86" w:characterSet="ISO-8859-1"/>
    <w:family w:val="auto"/>
    <w:pitch w:val="variable"/>
    <w:sig w:usb0="A00002BF" w:usb1="38CF7CFA" w:usb2="00000016" w:usb3="00000000" w:csb0="0004000F" w:csb1="00000000"/>
  </w:font>
  <w:font w:name="Cambria Math">
    <w:panose1 w:val="02040503050406030204"/>
    <w:charset w:val="00" w:characterSet="ISO-8859-1"/>
    <w:family w:val="roman"/>
    <w:pitch w:val="variable"/>
    <w:sig w:usb0="E00006FF" w:usb1="420024FF" w:usb2="02000000" w:usb3="00000000" w:csb0="0000019F" w:csb1="00000000"/>
  </w:font>
</w:fonts>
</file>

<file path=word/footer1.xml><?xml version="1.0" encoding="utf-8"?>
<w:ftr xmlns:w="http://schemas.openxmlformats.org/wordprocessingml/2006/main">
  <w:sdt>
    <w:sdtPr>
      <w:id w:val="1960755645"/>
      <w:docPartObj>
        <w:docPartGallery w:val="Page Numbers (Bottom of Page)"/>
        <w:docPartUnique w:val="1"/>
      </w:docPartObj>
    </w:sdtPr>
    <w:sdtContent>
      <w:p>
        <w:pPr>
          <w:pStyle w:val="000097"/>
          <w:jc w:val="center"/>
          <w:rPr>
            <w:rFonts w:hint="eastAsia"/>
          </w:rPr>
        </w:pPr>
        <w:r>
          <w:rPr/>
          <w:fldChar w:fldCharType="begin"/>
        </w:r>
        <w:r>
          <w:rPr/>
          <w:instrText>PAGE   \* MERGEFORMAT</w:instrText>
        </w:r>
        <w:r>
          <w:rPr/>
          <w:fldChar w:fldCharType="separate"/>
        </w:r>
        <w:r>
          <w:rPr>
            <w:lang w:val="zh-CN"/>
          </w:rPr>
          <w:t>2</w:t>
        </w:r>
        <w:r>
          <w:rPr/>
          <w:fldChar w:fldCharType="end"/>
        </w:r>
      </w:p>
    </w:sdtContent>
  </w:sdt>
  <w:p>
    <w:pPr>
      <w:pStyle w:val="000097"/>
      <w:rPr>
        <w:rFonts w:hint="eastAsia"/>
      </w:rPr>
    </w:pPr>
  </w:p>
</w:ftr>
</file>

<file path=word/footer2.xml><?xml version="1.0" encoding="utf-8"?>
<w:ftr xmlns:w="http://schemas.openxmlformats.org/wordprocessingml/2006/main">
  <w:p>
    <w:pPr>
      <w:pStyle w:val="000097"/>
      <w:tabs>
        <w:tab w:val="left" w:pos="4946"/>
      </w:tabs>
      <w:ind w:right="180"/>
      <w:jc w:val="both"/>
      <w:rPr>
        <w:rFonts w:hint="eastAsia"/>
      </w:rPr>
    </w:pPr>
    <w:r>
      <w:rPr>
        <w:rFonts w:hint="eastAsia"/>
      </w:rPr>
      <w:tab/>
      <w:tab/>
    </w:r>
  </w:p>
  <w:p>
    <w:pPr>
      <w:pStyle w:val="000097"/>
      <w:rPr>
        <w:rFonts w:hint="eastAsia"/>
      </w:rPr>
    </w:pPr>
  </w:p>
</w:ftr>
</file>

<file path=word/footer3.xml><?xml version="1.0" encoding="utf-8"?>
<w:ftr xmlns:w="http://schemas.openxmlformats.org/wordprocessingml/2006/main">
  <w:sdt>
    <w:sdtPr>
      <w:id w:val="2019808591"/>
      <w:docPartObj>
        <w:docPartGallery w:val="Page Numbers (Bottom of Page)"/>
        <w:docPartUnique w:val="1"/>
      </w:docPartObj>
    </w:sdtPr>
    <w:sdtContent>
      <w:p>
        <w:pPr>
          <w:pStyle w:val="000097"/>
          <w:jc w:val="center"/>
          <w:rPr>
            <w:rFonts w:hint="eastAsia"/>
          </w:rPr>
        </w:pPr>
        <w:r>
          <w:rPr/>
          <w:fldChar w:fldCharType="begin"/>
        </w:r>
        <w:r>
          <w:rPr/>
          <w:instrText>PAGE   \* MERGEFORMAT</w:instrText>
        </w:r>
        <w:r>
          <w:rPr/>
          <w:fldChar w:fldCharType="separate"/>
        </w:r>
        <w:r>
          <w:rPr>
            <w:lang w:val="zh-CN"/>
          </w:rPr>
          <w:t>2</w:t>
        </w:r>
        <w:r>
          <w:rPr/>
          <w:fldChar w:fldCharType="end"/>
        </w:r>
      </w:p>
    </w:sdtContent>
  </w:sdt>
  <w:p>
    <w:pPr>
      <w:pStyle w:val="000097"/>
      <w:rPr>
        <w:rFonts w:hint="eastAsia"/>
      </w:rPr>
    </w:pPr>
  </w:p>
</w:ftr>
</file>

<file path=word/footer4.xml><?xml version="1.0" encoding="utf-8"?>
<w:ftr xmlns:w="http://schemas.openxmlformats.org/wordprocessingml/2006/main">
  <w:sdt>
    <w:sdtPr>
      <w:id w:val="-623303251"/>
      <w:docPartObj>
        <w:docPartGallery w:val="Page Numbers (Bottom of Page)"/>
        <w:docPartUnique w:val="1"/>
      </w:docPartObj>
    </w:sdtPr>
    <w:sdtContent>
      <w:p>
        <w:pPr>
          <w:pStyle w:val="000097"/>
          <w:jc w:val="center"/>
          <w:rPr>
            <w:rFonts w:hint="eastAsia"/>
          </w:rPr>
        </w:pPr>
        <w:r>
          <w:rPr/>
          <w:fldChar w:fldCharType="begin"/>
        </w:r>
        <w:r>
          <w:rPr/>
          <w:instrText>PAGE   \* MERGEFORMAT</w:instrText>
        </w:r>
        <w:r>
          <w:rPr/>
          <w:fldChar w:fldCharType="separate"/>
        </w:r>
        <w:r>
          <w:rPr>
            <w:lang w:val="zh-CN"/>
          </w:rPr>
          <w:t>2</w:t>
        </w:r>
        <w:r>
          <w:rPr/>
          <w:fldChar w:fldCharType="end"/>
        </w:r>
      </w:p>
    </w:sdtContent>
  </w:sdt>
  <w:p>
    <w:pPr>
      <w:pStyle w:val="000097"/>
      <w:rPr>
        <w:rFonts w:hint="eastAsia"/>
      </w:rPr>
    </w:pPr>
  </w:p>
</w:ftr>
</file>

<file path=word/footer5.xml><?xml version="1.0" encoding="utf-8"?>
<w:ftr xmlns:w="http://schemas.openxmlformats.org/wordprocessingml/2006/main">
  <w:sdt>
    <w:sdtPr>
      <w:id w:val="-1217662676"/>
      <w:docPartObj>
        <w:docPartGallery w:val="Page Numbers (Bottom of Page)"/>
        <w:docPartUnique w:val="1"/>
      </w:docPartObj>
    </w:sdtPr>
    <w:sdtContent>
      <w:p>
        <w:pPr>
          <w:pStyle w:val="000097"/>
          <w:jc w:val="center"/>
          <w:rPr>
            <w:rFonts w:hint="eastAsia"/>
          </w:rPr>
        </w:pPr>
        <w:r>
          <w:rPr/>
          <w:fldChar w:fldCharType="begin"/>
        </w:r>
        <w:r>
          <w:rPr/>
          <w:instrText>PAGE   \* MERGEFORMAT</w:instrText>
        </w:r>
        <w:r>
          <w:rPr/>
          <w:fldChar w:fldCharType="separate"/>
        </w:r>
        <w:r>
          <w:rPr>
            <w:lang w:val="zh-CN"/>
          </w:rPr>
          <w:t>2</w:t>
        </w:r>
        <w:r>
          <w:rPr/>
          <w:fldChar w:fldCharType="end"/>
        </w:r>
      </w:p>
    </w:sdtContent>
  </w:sdt>
  <w:p>
    <w:pPr>
      <w:pStyle w:val="000097"/>
      <w:rPr>
        <w:rFonts w:hint="eastAsia"/>
      </w:rPr>
    </w:pPr>
  </w:p>
</w:ftr>
</file>

<file path=word/footnotes.xml><?xml version="1.0" encoding="utf-8"?>
<w:footnotes xmlns:w="http://schemas.openxmlformats.org/wordprocessingml/2006/main">
  <w:footnote w:type="continuationSeparator" w:id="0">
    <w:p>
      <w:pPr>
        <w:rPr>
          <w:rFonts w:hint="eastAsia"/>
        </w:rPr>
      </w:pPr>
      <w:r>
        <w:rPr/>
        <w:continuationSeparator/>
      </w:r>
    </w:p>
  </w:footnote>
  <w:footnote w:type="separator" w:id="1">
    <w:p>
      <w:pPr>
        <w:rPr>
          <w:rFonts w:hint="eastAsia"/>
        </w:rPr>
      </w:pPr>
      <w:r>
        <w:rPr/>
        <w:separator/>
      </w:r>
    </w:p>
  </w:footnote>
</w:footnotes>
</file>

<file path=word/header1.xml><?xml version="1.0" encoding="utf-8"?>
<w:hdr xmlns:wps="http://schemas.microsoft.com/office/word/2010/wordprocessingShape" xmlns:a="http://schemas.openxmlformats.org/drawingml/2006/main" xmlns:w14="http://schemas.microsoft.com/office/word/2010/wordml" xmlns:w10="urn:schemas-microsoft-com:office:word" xmlns:o="urn:schemas-microsoft-com:office:office" xmlns:v="urn:schemas-microsoft-com:vml" xmlns:w="http://schemas.openxmlformats.org/wordprocessingml/2006/main" xmlns:r="http://schemas.openxmlformats.org/officeDocument/2006/relationships" xmlns:wp="http://schemas.openxmlformats.org/drawingml/2006/wordprocessingDrawing" xmlns:mc="http://schemas.openxmlformats.org/markup-compatibility/2006" mc:Ignorable="wps w14">
  <w:p>
    <w:pPr>
      <w:pBdr>
        <w:left w:val="single" w:color="156082" w:sz="12" w:space="11"/>
      </w:pBdr>
      <w:tabs>
        <w:tab w:val="left" w:pos="3620"/>
        <w:tab w:val="left" w:pos="3964"/>
      </w:tabs>
      <w:rPr>
        <w:rFonts w:hint="eastAsia" w:ascii="楷体" w:hAnsi="楷体" w:eastAsia="楷体" w:cs="Times New Roman"/>
        <w:color w:val="0F4761"/>
        <w:sz w:val="26"/>
        <w:szCs w:val="26"/>
      </w:rPr>
    </w:pPr>
    <w:r>
      <w:rPr>
        <w:rFonts w:hint="eastAsia" w:ascii="楷体" w:hAnsi="楷体" w:eastAsia="楷体" w:cs="Times New Roman"/>
        <w:noProof w:val="1"/>
        <w:color w:val="0F4761"/>
        <w:sz w:val="26"/>
        <w:szCs w:val="26"/>
      </w:rPr>
      <w:pict w14:anchorId="50B8421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55366861" style="position:absolute;left:0;text-align:left;margin-left:0;margin-top:0;width:622.4pt;height:883.4pt;z-index:-251656192;mso-position-horizontal:center;mso-position-horizontal-relative:margin;mso-position-vertical:center;mso-position-vertical-relative:margin" o:spid="_x0000_s1030" o:allowincell="f" type="#_x0000_t75">
          <v:imagedata o:title="1" r:id="rId0"/>
          <w10:wrap anchorx="margin" anchory="margin"/>
        </v:shape>
      </w:pict>
    </w:r>
    <w:sdt>
      <w:sdtPr>
        <w:rPr>
          <w:rFonts w:ascii="楷体" w:hAnsi="楷体" w:eastAsia="楷体" w:cs="Times New Roman"/>
          <w:color w:val="0F4761"/>
          <w:sz w:val="26"/>
          <w:szCs w:val="26"/>
        </w:rPr>
        <w:alias w:val="标题"/>
        <w:tag w:val=""/>
        <w:id w:val="-932208079"/>
        <w:placeholder>
          <w:docPart w:val="88E71EC8FF7341FEBA2D4E665216CCE7"/>
        </w:placeholder>
        <w:dataBinding w:prefixMappings="xmlns:ns0='http://purl.org/dc/elements/1.1/' xmlns:ns1='http://schemas.openxmlformats.org/package/2006/metadata/core-properties' " w:xpath="/ns1:coreProperties[1]/ns0:title[1]" w:storeItemID="{6C3C8BC8-F283-45AE-878A-BAB7291924A1}"/>
        <w:text/>
      </w:sdtPr>
      <w:sdtEndPr>
        <w:rPr>
          <w:rFonts w:asciiTheme="minorHAnsi" w:hAnsiTheme="minorHAnsi" w:eastAsiaTheme="minorEastAsia" w:cstheme="minorBidi"/>
          <w:color w:val="auto"/>
          <w:sz w:val="21"/>
          <w:szCs w:val="22"/>
        </w:rPr>
      </w:sdtEndPr>
      <w:sdtContent>
        <w:r>
          <w:rPr>
            <w:rFonts w:ascii="楷体" w:hAnsi="楷体" w:eastAsia="楷体" w:cs="Times New Roman"/>
            <w:color w:val="0F4761"/>
            <w:sz w:val="26"/>
            <w:szCs w:val="26"/>
          </w:rPr>
          <w:t>大货车内轮差预警装置商业计划书</w:t>
        </w:r>
      </w:sdtContent>
    </w:sdt>
  </w:p>
  <w:p>
    <w:pPr>
      <w:pStyle w:val="000099"/>
      <w:rPr>
        <w:rFonts w:hint="eastAsia"/>
      </w:rPr>
    </w:pPr>
    <w:r>
      <w:rPr>
        <w:noProof w:val="1"/>
      </w:rPr>
      <w:drawing>
        <wp:anchor distT="0" distB="0" distL="114300" distR="114300" simplePos="0" relativeHeight="251663360" behindDoc="0" locked="0" layoutInCell="1" allowOverlap="1">
          <wp:simplePos x="0" y="0"/>
          <wp:positionH relativeFrom="column">
            <wp:posOffset>-173355</wp:posOffset>
          </wp:positionH>
          <wp:positionV relativeFrom="paragraph">
            <wp:posOffset>122403</wp:posOffset>
          </wp:positionV>
          <wp:extent cx="5277917" cy="0"/>
          <wp:effectExtent l="0" t="0" r="0" b="0"/>
          <wp:wrapNone/>
          <wp:docPr id="122" name="直接连接符 6"/>
          <wp:cNvGraphicFramePr/>
          <a:graphic>
            <a:graphicData uri="http://schemas.microsoft.com/office/word/2010/wordprocessingShape">
              <wps:wsp>
                <wps:cNvCnPr/>
                <wps:spPr>
                  <a:xfrm>
                    <a:off x="0" y="0"/>
                    <a:ext cx="527791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w:r>
  </w:p>
</w:hdr>
</file>

<file path=word/header2.xml><?xml version="1.0" encoding="utf-8"?>
<w:hdr xmlns:r="http://schemas.openxmlformats.org/officeDocument/2006/relationships" xmlns:w="http://schemas.openxmlformats.org/wordprocessingml/2006/main" xmlns:w14="http://schemas.microsoft.com/office/word/2010/wordml" xmlns:v="urn:schemas-microsoft-com:vml" xmlns:o="urn:schemas-microsoft-com:office:office" xmlns:w10="urn:schemas-microsoft-com:office:word" xmlns:mc="http://schemas.openxmlformats.org/markup-compatibility/2006" mc:Ignorable="w14">
  <w:sdt>
    <w:sdtPr>
      <w:rPr>
        <w:rFonts w:ascii="楷体" w:hAnsi="楷体" w:eastAsia="楷体"/>
        <w:caps w:val="1"/>
      </w:rPr>
      <w:alias w:val="标题"/>
      <w:tag w:val=""/>
      <w:id w:val="1189017394"/>
      <w:text/>
    </w:sdtPr>
    <w:sdtContent>
      <w:p>
        <w:pPr>
          <w:pStyle w:val="000099"/>
          <w:rPr>
            <w:rFonts w:hint="eastAsia" w:ascii="楷体" w:hAnsi="楷体" w:eastAsia="楷体"/>
            <w:caps w:val="1"/>
            <w:sz w:val="21"/>
            <w:szCs w:val="22"/>
          </w:rPr>
        </w:pPr>
        <w:r>
          <w:rPr>
            <w:rFonts w:ascii="楷体" w:hAnsi="楷体" w:eastAsia="楷体"/>
            <w:caps w:val="1"/>
          </w:rPr>
          <w:t>大货车内轮差预警装置商业计划书</w:t>
        </w:r>
      </w:p>
    </w:sdtContent>
  </w:sdt>
  <w:p>
    <w:pPr>
      <w:pStyle w:val="000099"/>
      <w:rPr>
        <w:rFonts w:hint="eastAsia"/>
      </w:rPr>
    </w:pPr>
    <w:r>
      <w:rPr>
        <w:rFonts w:hint="eastAsia"/>
        <w:noProof w:val="1"/>
      </w:rPr>
      <w:pict w14:anchorId="3E3695F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55366859" style="position:absolute;left:0;text-align:left;margin-left:0;margin-top:0;width:622.4pt;height:883.4pt;z-index:-251658240;mso-position-horizontal:center;mso-position-horizontal-relative:margin;mso-position-vertical:center;mso-position-vertical-relative:margin" o:spid="_x0000_s1028" o:allowincell="f" type="#_x0000_t75">
          <v:imagedata o:title="1" r:id="rId0"/>
          <w10:wrap anchorx="margin" anchory="margin"/>
        </v:shape>
      </w:pict>
    </w:r>
  </w:p>
</w:hdr>
</file>

<file path=word/header3.xml><?xml version="1.0" encoding="utf-8"?>
<w:hdr xmlns:r="http://schemas.openxmlformats.org/officeDocument/2006/relationships" xmlns:w="http://schemas.openxmlformats.org/wordprocessingml/2006/main" xmlns:w14="http://schemas.microsoft.com/office/word/2010/wordml" xmlns:v="urn:schemas-microsoft-com:vml" xmlns:o="urn:schemas-microsoft-com:office:office" xmlns:w10="urn:schemas-microsoft-com:office:word" xmlns:mc="http://schemas.openxmlformats.org/markup-compatibility/2006" mc:Ignorable="w14">
  <w:p>
    <w:pPr>
      <w:pStyle w:val="000099"/>
      <w:rPr>
        <w:rFonts w:hint="eastAsia"/>
      </w:rPr>
    </w:pPr>
    <w:r>
      <w:rPr>
        <w:rFonts w:hint="eastAsia"/>
        <w:noProof w:val="1"/>
      </w:rPr>
      <w:pict w14:anchorId="5D50106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55366860" style="position:absolute;left:0;text-align:left;margin-left:0;margin-top:0;width:622.4pt;height:883.4pt;z-index:-251657216;mso-position-horizontal:center;mso-position-horizontal-relative:margin;mso-position-vertical:center;mso-position-vertical-relative:margin" o:spid="_x0000_s1029" o:allowincell="f" type="#_x0000_t75">
          <v:imagedata o:title="1" r:id="rId0"/>
          <w10:wrap anchorx="margin" anchory="margin"/>
        </v:shape>
      </w:pict>
    </w:r>
  </w:p>
</w:hdr>
</file>

<file path=word/numbering.xml><?xml version="1.0" encoding="utf-8"?>
<w:numbering xmlns:w="http://schemas.openxmlformats.org/wordprocessingml/2006/main">
  <w:abstractNum w:abstractNumId="0">
    <w:nsid w:val="2E580C97"/>
    <w:multiLevelType w:val="singleLevel"/>
    <w:tmpl w:val="2E580C97"/>
    <w:lvl w:ilvl="0">
      <w:start w:val="1"/>
      <w:numFmt w:val="decimal"/>
      <w:suff w:val="space"/>
      <w:lvlText w:val="（%1）"/>
      <w:lvlJc w:val="left"/>
    </w:lvl>
  </w:abstractNum>
  <w:abstractNum w:abstractNumId="1">
    <w:nsid w:val="C3FB305B"/>
    <w:multiLevelType w:val="singleLevel"/>
    <w:tmpl w:val="C3FB305B"/>
    <w:lvl w:ilvl="0">
      <w:start w:val="1"/>
      <w:numFmt w:val="chineseCounting"/>
      <w:suff w:val="space"/>
      <w:lvlText w:val="（%1）"/>
      <w:lvlJc w:val="left"/>
      <w:rPr>
        <w:rFonts w:hint="eastAsia"/>
      </w:rPr>
    </w:lvl>
  </w:abstractNum>
  <w:abstractNum w:abstractNumId="2">
    <w:nsid w:val="0C932447"/>
    <w:multiLevelType w:val="singleLevel"/>
    <w:tmpl w:val="0C932447"/>
    <w:lvl w:ilvl="0">
      <w:start w:val="1"/>
      <w:numFmt w:val="decimal"/>
      <w:suff w:val="space"/>
      <w:lvlText w:val="（%1）"/>
      <w:lvlJc w:val="left"/>
    </w:lvl>
  </w:abstractNum>
  <w:abstractNum w:abstractNumId="3">
    <w:nsid w:val="25B9E392"/>
    <w:multiLevelType w:val="singleLevel"/>
    <w:tmpl w:val="25B9E392"/>
    <w:lvl w:ilvl="0">
      <w:start w:val="1"/>
      <w:numFmt w:val="decimal"/>
      <w:suff w:val="space"/>
      <w:lvlText w:val="%1."/>
      <w:lvlJc w:val="left"/>
    </w:lvl>
  </w:abstractNum>
  <w:abstractNum w:abstractNumId="4">
    <w:nsid w:val="C3BD71F2"/>
    <w:multiLevelType w:val="singleLevel"/>
    <w:tmpl w:val="C3BD71F2"/>
    <w:lvl w:ilvl="0">
      <w:start w:val="1"/>
      <w:numFmt w:val="decimal"/>
      <w:suff w:val="space"/>
      <w:lvlText w:val="（%1）"/>
      <w:lvlJc w:val="left"/>
    </w:lvl>
  </w:abstractNum>
  <w:abstractNum w:abstractNumId="5">
    <w:nsid w:val="37062287"/>
    <w:multiLevelType w:val="hybridMultilevel"/>
    <w:tmpl w:val="218E8CEA"/>
    <w:lvl w:ilvl="2" w:tplc="0409001B" w:tentative="1">
      <w:start w:val="1"/>
      <w:numFmt w:val="lowerRoman"/>
      <w:lvlText w:val="%3."/>
      <w:lvlJc w:val="right"/>
      <w:pPr>
        <w:ind w:left="1320" w:hanging="440"/>
      </w:pPr>
    </w:lvl>
    <w:lvl w:ilvl="6" w:tplc="0409000F" w:tentative="1">
      <w:start w:val="1"/>
      <w:numFmt w:val="decimal"/>
      <w:lvlText w:val="%7."/>
      <w:lvlJc w:val="left"/>
      <w:pPr>
        <w:ind w:left="308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8" w:tplc="0409001B" w:tentative="1">
      <w:start w:val="1"/>
      <w:numFmt w:val="lowerRoman"/>
      <w:lvlText w:val="%9."/>
      <w:lvlJc w:val="right"/>
      <w:pPr>
        <w:ind w:left="3960" w:hanging="440"/>
      </w:pPr>
    </w:lvl>
    <w:lvl w:ilvl="1" w:tplc="04090019" w:tentative="1">
      <w:start w:val="1"/>
      <w:numFmt w:val="lowerLetter"/>
      <w:lvlText w:val="%2)"/>
      <w:lvlJc w:val="left"/>
      <w:pPr>
        <w:ind w:left="880" w:hanging="440"/>
      </w:pPr>
    </w:lvl>
    <w:lvl w:ilvl="7" w:tplc="04090019" w:tentative="1">
      <w:start w:val="1"/>
      <w:numFmt w:val="lowerLetter"/>
      <w:lvlText w:val="%8)"/>
      <w:lvlJc w:val="left"/>
      <w:pPr>
        <w:ind w:left="3520" w:hanging="440"/>
      </w:pPr>
    </w:lvl>
    <w:lvl w:ilvl="0" w:tplc="89143E16">
      <w:start w:val="2"/>
      <w:numFmt w:val="japaneseCounting"/>
      <w:lvlText w:val="%1、"/>
      <w:lvlJc w:val="left"/>
      <w:pPr>
        <w:ind w:left="720" w:hanging="720"/>
      </w:pPr>
      <w:rPr>
        <w:rFonts w:hint="default"/>
      </w:rPr>
    </w:lvl>
    <w:lvl w:ilvl="3" w:tplc="0409000F" w:tentative="1">
      <w:start w:val="1"/>
      <w:numFmt w:val="decimal"/>
      <w:lvlText w:val="%4."/>
      <w:lvlJc w:val="left"/>
      <w:pPr>
        <w:ind w:left="1760" w:hanging="440"/>
      </w:pPr>
    </w:lvl>
  </w:abstractNum>
  <w:abstractNum w:abstractNumId="6">
    <w:nsid w:val="97AD6313"/>
    <w:multiLevelType w:val="singleLevel"/>
    <w:tmpl w:val="97AD6313"/>
    <w:lvl w:ilvl="0">
      <w:start w:val="1"/>
      <w:numFmt w:val="decimal"/>
      <w:suff w:val="space"/>
      <w:lvlText w:val="（%1）"/>
      <w:lvlJc w:val="left"/>
    </w:lvl>
  </w:abstractNum>
  <w:abstractNum w:abstractNumId="7">
    <w:nsid w:val="30B37EBF"/>
    <w:multiLevelType w:val="hybridMultilevel"/>
    <w:tmpl w:val="545A75EC"/>
    <w:lvl w:ilvl="5" w:tplc="0409001B" w:tentative="1">
      <w:start w:val="1"/>
      <w:numFmt w:val="lowerRoman"/>
      <w:lvlText w:val="%6."/>
      <w:lvlJc w:val="right"/>
      <w:pPr>
        <w:ind w:left="2640" w:hanging="440"/>
      </w:pPr>
    </w:lvl>
    <w:lvl w:ilvl="2" w:tplc="0409001B" w:tentative="1">
      <w:start w:val="1"/>
      <w:numFmt w:val="lowerRoman"/>
      <w:lvlText w:val="%3."/>
      <w:lvlJc w:val="right"/>
      <w:pPr>
        <w:ind w:left="1320" w:hanging="440"/>
      </w:pPr>
    </w:lvl>
    <w:lvl w:ilvl="0" w:tplc="61F21C06">
      <w:start w:val="1"/>
      <w:numFmt w:val="japaneseCounting"/>
      <w:lvlText w:val="（%1）"/>
      <w:lvlJc w:val="left"/>
      <w:pPr>
        <w:ind w:left="746" w:hanging="746"/>
      </w:pPr>
      <w:rPr>
        <w:rFonts w:hint="default"/>
      </w:rPr>
    </w:lvl>
    <w:lvl w:ilvl="7" w:tplc="04090019" w:tentative="1">
      <w:start w:val="1"/>
      <w:numFmt w:val="lowerLetter"/>
      <w:lvlText w:val="%8)"/>
      <w:lvlJc w:val="left"/>
      <w:pPr>
        <w:ind w:left="3520" w:hanging="440"/>
      </w:pPr>
    </w:lvl>
    <w:lvl w:ilvl="6" w:tplc="0409000F" w:tentative="1">
      <w:start w:val="1"/>
      <w:numFmt w:val="decimal"/>
      <w:lvlText w:val="%7."/>
      <w:lvlJc w:val="left"/>
      <w:pPr>
        <w:ind w:left="3080" w:hanging="440"/>
      </w:pPr>
    </w:lvl>
    <w:lvl w:ilvl="8" w:tplc="0409001B" w:tentative="1">
      <w:start w:val="1"/>
      <w:numFmt w:val="lowerRoman"/>
      <w:lvlText w:val="%9."/>
      <w:lvlJc w:val="right"/>
      <w:pPr>
        <w:ind w:left="3960" w:hanging="440"/>
      </w:pPr>
    </w:lvl>
    <w:lvl w:ilvl="3" w:tplc="0409000F" w:tentative="1">
      <w:start w:val="1"/>
      <w:numFmt w:val="decimal"/>
      <w:lvlText w:val="%4."/>
      <w:lvlJc w:val="left"/>
      <w:pPr>
        <w:ind w:left="1760" w:hanging="440"/>
      </w:pPr>
    </w:lvl>
    <w:lvl w:ilvl="1" w:tplc="04090019" w:tentative="1">
      <w:start w:val="1"/>
      <w:numFmt w:val="lowerLetter"/>
      <w:lvlText w:val="%2)"/>
      <w:lvlJc w:val="left"/>
      <w:pPr>
        <w:ind w:left="880" w:hanging="440"/>
      </w:pPr>
    </w:lvl>
    <w:lvl w:ilvl="4" w:tplc="04090019" w:tentative="1">
      <w:start w:val="1"/>
      <w:numFmt w:val="lowerLetter"/>
      <w:lvlText w:val="%5)"/>
      <w:lvlJc w:val="left"/>
      <w:pPr>
        <w:ind w:left="2200" w:hanging="440"/>
      </w:pPr>
    </w:lvl>
  </w:abstractNum>
  <w:abstractNum w:abstractNumId="8">
    <w:nsid w:val="828A4D5F"/>
    <w:multiLevelType w:val="singleLevel"/>
    <w:tmpl w:val="828A4D5F"/>
    <w:lvl w:ilvl="0">
      <w:start w:val="2"/>
      <w:numFmt w:val="decimal"/>
      <w:suff w:val="space"/>
      <w:lvlText w:val="（%1）"/>
      <w:lvlJc w:val="left"/>
    </w:lvl>
  </w:abstractNum>
  <w:abstractNum w:abstractNumId="9">
    <w:nsid w:val="FF909D14"/>
    <w:multiLevelType w:val="singleLevel"/>
    <w:tmpl w:val="FF909D14"/>
    <w:lvl w:ilvl="0">
      <w:start w:val="1"/>
      <w:numFmt w:val="decimal"/>
      <w:suff w:val="space"/>
      <w:lvlText w:val="（%1）"/>
      <w:lvlJc w:val="left"/>
    </w:lvl>
  </w:abstractNum>
  <w:abstractNum w:abstractNumId="10">
    <w:lvl w:ilvl="5">
      <w:start w:val="1"/>
      <w:numFmt w:val="lowerRoman"/>
      <w:lvlText w:val="%6."/>
      <w:pPr>
        <w:ind w:left="420" w:leftChars="1000" w:hanging="336"/>
      </w:pPr>
    </w:lvl>
    <w:lvl w:ilvl="6">
      <w:start w:val="1"/>
      <w:numFmt w:val="decimal"/>
      <w:lvlText w:val="%7."/>
      <w:pPr>
        <w:ind w:left="420" w:leftChars="1200" w:hanging="0"/>
      </w:pPr>
    </w:lvl>
    <w:lvl w:ilvl="2">
      <w:start w:val="1"/>
      <w:numFmt w:val="lowerRoman"/>
      <w:lvlText w:val="%3."/>
      <w:pPr>
        <w:ind w:left="420" w:leftChars="400" w:hanging="336"/>
      </w:pPr>
    </w:lvl>
    <w:lvl w:ilvl="8">
      <w:start w:val="1"/>
      <w:numFmt w:val="lowerRoman"/>
      <w:lvlText w:val="%9."/>
      <w:pPr>
        <w:ind w:left="420" w:leftChars="1600" w:hanging="336"/>
      </w:pPr>
    </w:lvl>
    <w:lvl w:ilvl="4">
      <w:start w:val="1"/>
      <w:numFmt w:val="lowerLetter"/>
      <w:lvlText w:val="%5."/>
      <w:pPr>
        <w:ind w:left="420" w:leftChars="800" w:hanging="336"/>
      </w:pPr>
    </w:lvl>
    <w:lvl w:ilvl="0">
      <w:start w:val="1"/>
      <w:numFmt w:val="decimal"/>
      <w:lvlText w:val="%1."/>
      <w:pPr>
        <w:ind w:left="420"/>
      </w:pPr>
      <w:rPr/>
    </w:lvl>
    <w:lvl w:ilvl="3">
      <w:start w:val="1"/>
      <w:numFmt w:val="decimal"/>
      <w:lvlText w:val="%4."/>
      <w:pPr>
        <w:ind w:left="420" w:leftChars="600" w:hanging="0"/>
      </w:pPr>
    </w:lvl>
    <w:lvl w:ilvl="1">
      <w:start w:val="1"/>
      <w:numFmt w:val="lowerLetter"/>
      <w:lvlText w:val="%2."/>
      <w:pPr>
        <w:ind w:left="420" w:leftChars="200" w:hanging="336"/>
      </w:pPr>
    </w:lvl>
    <w:lvl w:ilvl="7">
      <w:start w:val="1"/>
      <w:numFmt w:val="lowerLetter"/>
      <w:lvlText w:val="%8."/>
      <w:pPr>
        <w:ind w:left="420" w:leftChars="1400" w:hanging="336"/>
      </w:pPr>
    </w:lvl>
  </w:abstractNum>
  <w:abstractNum w:abstractNumId="11">
    <w:nsid w:val="B02C3B13"/>
    <w:multiLevelType w:val="singleLevel"/>
    <w:tmpl w:val="B02C3B13"/>
    <w:lvl w:ilvl="0">
      <w:start w:val="1"/>
      <w:numFmt w:val="chineseCounting"/>
      <w:suff w:val="space"/>
      <w:lvlText w:val="%1、"/>
      <w:lvlJc w:val="left"/>
      <w:rPr>
        <w:rFonts w:hint="eastAsia"/>
      </w:rPr>
    </w:lvl>
  </w:abstractNum>
  <w:abstractNum w:abstractNumId="12">
    <w:nsid w:val="00000014"/>
    <w:multiLevelType w:val="singleLevel"/>
    <w:tmpl w:val="00000014"/>
    <w:lvl w:ilvl="0">
      <w:start w:val="1"/>
      <w:numFmt w:val="chineseCounting"/>
      <w:suff w:val="space"/>
      <w:lvlText w:val="%1、"/>
      <w:lvlJc w:val="left"/>
      <w:rPr>
        <w:rFonts w:hint="eastAsia"/>
      </w:rPr>
    </w:lvl>
  </w:abstractNum>
  <w:abstractNum w:abstractNumId="13">
    <w:nsid w:val="962782CB"/>
    <w:multiLevelType w:val="singleLevel"/>
    <w:tmpl w:val="962782CB"/>
    <w:lvl w:ilvl="0">
      <w:start w:val="1"/>
      <w:numFmt w:val="decimal"/>
      <w:suff w:val="space"/>
      <w:lvlText w:val="%1."/>
      <w:lvlJc w:val="left"/>
    </w:lvl>
  </w:abstractNum>
  <w:abstractNum w:abstractNumId="14">
    <w:nsid w:val="00000016"/>
    <w:multiLevelType w:val="singleLevel"/>
    <w:tmpl w:val="00000016"/>
    <w:lvl w:ilvl="0">
      <w:start w:val="1"/>
      <w:numFmt w:val="chineseCounting"/>
      <w:suff w:val="space"/>
      <w:lvlText w:val="（%1）"/>
      <w:lvlJc w:val="left"/>
      <w:rPr>
        <w:rFonts w:hint="eastAsia"/>
      </w:rPr>
    </w:lvl>
  </w:abstractNum>
  <w:abstractNum w:abstractNumId="15">
    <w:nsid w:val="99F8F2C7"/>
    <w:multiLevelType w:val="singleLevel"/>
    <w:tmpl w:val="99F8F2C7"/>
    <w:lvl w:ilvl="0">
      <w:start w:val="1"/>
      <w:numFmt w:val="decimal"/>
      <w:suff w:val="space"/>
      <w:lvlText w:val="%1."/>
      <w:lvlJc w:val="left"/>
    </w:lvl>
  </w:abstractNum>
  <w:abstractNum w:abstractNumId="16">
    <w:nsid w:val="93D2DEE4"/>
    <w:multiLevelType w:val="singleLevel"/>
    <w:tmpl w:val="93D2DEE4"/>
    <w:lvl w:ilvl="0">
      <w:start w:val="1"/>
      <w:numFmt w:val="decimal"/>
      <w:suff w:val="space"/>
      <w:lvlText w:val="%1."/>
      <w:lvlJc w:val="left"/>
    </w:lvl>
  </w:abstractNum>
  <w:abstractNum w:abstractNumId="17">
    <w:nsid w:val="55963E48"/>
    <w:multiLevelType w:val="singleLevel"/>
    <w:tmpl w:val="55963E48"/>
    <w:lvl w:ilvl="0">
      <w:start w:val="1"/>
      <w:numFmt w:val="chineseCounting"/>
      <w:suff w:val="space"/>
      <w:lvlText w:val="（%1）"/>
      <w:lvlJc w:val="left"/>
      <w:rPr>
        <w:rFonts w:hint="eastAsia"/>
      </w:rPr>
    </w:lvl>
  </w:abstractNum>
  <w:abstractNum w:abstractNumId="18">
    <w:lvl w:ilvl="4">
      <w:start w:val="1"/>
      <w:numFmt w:val="bullet"/>
      <w:lvlText w:val="¡"/>
      <w:pPr>
        <w:ind w:left="201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19">
    <w:nsid w:val="EF49D613"/>
    <w:multiLevelType w:val="singleLevel"/>
    <w:tmpl w:val="EF49D613"/>
    <w:lvl w:ilvl="0">
      <w:start w:val="1"/>
      <w:numFmt w:val="decimal"/>
      <w:suff w:val="space"/>
      <w:lvlText w:val="%1."/>
      <w:lvlJc w:val="left"/>
    </w:lvl>
  </w:abstractNum>
  <w:abstractNum w:abstractNumId="20">
    <w:nsid w:val="157BF390"/>
    <w:multiLevelType w:val="singleLevel"/>
    <w:tmpl w:val="157BF390"/>
    <w:lvl w:ilvl="0">
      <w:start w:val="1"/>
      <w:numFmt w:val="decimal"/>
      <w:suff w:val="space"/>
      <w:lvlText w:val="%1."/>
      <w:lvlJc w:val="left"/>
    </w:lvl>
  </w:abstractNum>
  <w:abstractNum w:abstractNumId="21">
    <w:nsid w:val="5C2B24E2"/>
    <w:multiLevelType w:val="hybridMultilevel"/>
    <w:tmpl w:val="B9F4635A"/>
    <w:lvl w:ilvl="8" w:tplc="0409001B" w:tentative="1">
      <w:start w:val="1"/>
      <w:numFmt w:val="lowerRoman"/>
      <w:lvlText w:val="%9."/>
      <w:lvlJc w:val="right"/>
      <w:pPr>
        <w:ind w:left="3960" w:hanging="440"/>
      </w:pPr>
    </w:lvl>
    <w:lvl w:ilvl="3" w:tplc="0409000F" w:tentative="1">
      <w:start w:val="1"/>
      <w:numFmt w:val="decimal"/>
      <w:lvlText w:val="%4."/>
      <w:lvlJc w:val="left"/>
      <w:pPr>
        <w:ind w:left="1760" w:hanging="440"/>
      </w:pPr>
    </w:lvl>
    <w:lvl w:ilvl="0" w:tplc="7A56D262">
      <w:start w:val="1"/>
      <w:numFmt w:val="japaneseCounting"/>
      <w:lvlText w:val="（%1）"/>
      <w:lvlJc w:val="left"/>
      <w:pPr>
        <w:ind w:left="746" w:hanging="746"/>
      </w:pPr>
      <w:rPr>
        <w:rFonts w:hint="default"/>
      </w:rPr>
    </w:lvl>
    <w:lvl w:ilvl="7" w:tplc="04090019" w:tentative="1">
      <w:start w:val="1"/>
      <w:numFmt w:val="lowerLetter"/>
      <w:lvlText w:val="%8)"/>
      <w:lvlJc w:val="left"/>
      <w:pPr>
        <w:ind w:left="3520" w:hanging="440"/>
      </w:pPr>
    </w:lvl>
    <w:lvl w:ilvl="4" w:tplc="04090019" w:tentative="1">
      <w:start w:val="1"/>
      <w:numFmt w:val="lowerLetter"/>
      <w:lvlText w:val="%5)"/>
      <w:lvlJc w:val="left"/>
      <w:pPr>
        <w:ind w:left="2200" w:hanging="440"/>
      </w:pPr>
    </w:lvl>
    <w:lvl w:ilvl="2" w:tplc="0409001B" w:tentative="1">
      <w:start w:val="1"/>
      <w:numFmt w:val="lowerRoman"/>
      <w:lvlText w:val="%3."/>
      <w:lvlJc w:val="right"/>
      <w:pPr>
        <w:ind w:left="132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1" w:tplc="04090019" w:tentative="1">
      <w:start w:val="1"/>
      <w:numFmt w:val="lowerLetter"/>
      <w:lvlText w:val="%2)"/>
      <w:lvlJc w:val="left"/>
      <w:pPr>
        <w:ind w:left="880" w:hanging="440"/>
      </w:pPr>
    </w:lvl>
  </w:abstractNum>
  <w:abstractNum w:abstractNumId="22">
    <w:nsid w:val="5540399E"/>
    <w:multiLevelType w:val="hybridMultilevel"/>
    <w:tmpl w:val="F9A24C44"/>
    <w:lvl w:ilvl="8" w:tplc="0409001B" w:tentative="1">
      <w:start w:val="1"/>
      <w:numFmt w:val="lowerRoman"/>
      <w:lvlText w:val="%9."/>
      <w:lvlJc w:val="right"/>
      <w:pPr>
        <w:ind w:left="3960" w:hanging="440"/>
      </w:pPr>
    </w:lvl>
    <w:lvl w:ilvl="3" w:tplc="0409000F" w:tentative="1">
      <w:start w:val="1"/>
      <w:numFmt w:val="decimal"/>
      <w:lvlText w:val="%4."/>
      <w:lvlJc w:val="left"/>
      <w:pPr>
        <w:ind w:left="1760" w:hanging="440"/>
      </w:pPr>
    </w:lvl>
    <w:lvl w:ilvl="7" w:tplc="04090019" w:tentative="1">
      <w:start w:val="1"/>
      <w:numFmt w:val="lowerLetter"/>
      <w:lvlText w:val="%8)"/>
      <w:lvlJc w:val="left"/>
      <w:pPr>
        <w:ind w:left="3520" w:hanging="440"/>
      </w:pPr>
    </w:lvl>
    <w:lvl w:ilvl="0" w:tplc="ACD874B0">
      <w:start w:val="1"/>
      <w:numFmt w:val="japaneseCounting"/>
      <w:lvlText w:val="（%1）"/>
      <w:lvlJc w:val="left"/>
      <w:pPr>
        <w:ind w:left="746" w:hanging="746"/>
      </w:pPr>
      <w:rPr>
        <w:rFonts w:hint="default"/>
      </w:rPr>
    </w:lvl>
    <w:lvl w:ilvl="5" w:tplc="0409001B" w:tentative="1">
      <w:start w:val="1"/>
      <w:numFmt w:val="lowerRoman"/>
      <w:lvlText w:val="%6."/>
      <w:lvlJc w:val="right"/>
      <w:pPr>
        <w:ind w:left="2640" w:hanging="440"/>
      </w:pPr>
    </w:lvl>
    <w:lvl w:ilvl="4" w:tplc="04090019" w:tentative="1">
      <w:start w:val="1"/>
      <w:numFmt w:val="lowerLetter"/>
      <w:lvlText w:val="%5)"/>
      <w:lvlJc w:val="left"/>
      <w:pPr>
        <w:ind w:left="2200" w:hanging="440"/>
      </w:pPr>
    </w:lvl>
    <w:lvl w:ilvl="2" w:tplc="0409001B" w:tentative="1">
      <w:start w:val="1"/>
      <w:numFmt w:val="lowerRoman"/>
      <w:lvlText w:val="%3."/>
      <w:lvlJc w:val="right"/>
      <w:pPr>
        <w:ind w:left="1320" w:hanging="440"/>
      </w:pPr>
    </w:lvl>
    <w:lvl w:ilvl="6" w:tplc="0409000F" w:tentative="1">
      <w:start w:val="1"/>
      <w:numFmt w:val="decimal"/>
      <w:lvlText w:val="%7."/>
      <w:lvlJc w:val="left"/>
      <w:pPr>
        <w:ind w:left="3080" w:hanging="440"/>
      </w:pPr>
    </w:lvl>
    <w:lvl w:ilvl="1" w:tplc="04090019" w:tentative="1">
      <w:start w:val="1"/>
      <w:numFmt w:val="lowerLetter"/>
      <w:lvlText w:val="%2)"/>
      <w:lvlJc w:val="left"/>
      <w:pPr>
        <w:ind w:left="880" w:hanging="440"/>
      </w:pPr>
    </w:lvl>
  </w:abstractNum>
  <w:abstractNum w:abstractNumId="23">
    <w:nsid w:val="D97DCDEF"/>
    <w:multiLevelType w:val="singleLevel"/>
    <w:tmpl w:val="D97DCDEF"/>
    <w:lvl w:ilvl="0">
      <w:start w:val="1"/>
      <w:numFmt w:val="decimal"/>
      <w:suff w:val="space"/>
      <w:lvlText w:val="（%1）"/>
      <w:lvlJc w:val="left"/>
    </w:lvl>
  </w:abstractNum>
  <w:abstractNum w:abstractNumId="24">
    <w:nsid w:val="92F83BFD"/>
    <w:multiLevelType w:val="singleLevel"/>
    <w:tmpl w:val="92F83BFD"/>
    <w:lvl w:ilvl="0">
      <w:start w:val="1"/>
      <w:numFmt w:val="decimal"/>
      <w:suff w:val="space"/>
      <w:lvlText w:val="（%1）"/>
      <w:lvlJc w:val="left"/>
    </w:lvl>
  </w:abstractNum>
  <w:abstractNum w:abstractNumId="25">
    <w:nsid w:val="4813452E"/>
    <w:multiLevelType w:val="hybridMultilevel"/>
    <w:tmpl w:val="2F948AE2"/>
    <w:lvl w:ilvl="3" w:tplc="0409000F" w:tentative="1">
      <w:start w:val="1"/>
      <w:numFmt w:val="decimal"/>
      <w:lvlText w:val="%4."/>
      <w:lvlJc w:val="left"/>
      <w:pPr>
        <w:ind w:left="1760" w:hanging="440"/>
      </w:pPr>
    </w:lvl>
    <w:lvl w:ilvl="8" w:tplc="0409001B" w:tentative="1">
      <w:start w:val="1"/>
      <w:numFmt w:val="lowerRoman"/>
      <w:lvlText w:val="%9."/>
      <w:lvlJc w:val="right"/>
      <w:pPr>
        <w:ind w:left="396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4" w:tplc="04090019" w:tentative="1">
      <w:start w:val="1"/>
      <w:numFmt w:val="lowerLetter"/>
      <w:lvlText w:val="%5)"/>
      <w:lvlJc w:val="left"/>
      <w:pPr>
        <w:ind w:left="220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0" w:tplc="877E6864">
      <w:start w:val="2"/>
      <w:numFmt w:val="japaneseCounting"/>
      <w:lvlText w:val="%1、"/>
      <w:lvlJc w:val="left"/>
      <w:pPr>
        <w:ind w:left="583" w:hanging="583"/>
      </w:pPr>
      <w:rPr>
        <w:rFonts w:hint="default"/>
      </w:rPr>
    </w:lvl>
    <w:lvl w:ilvl="5" w:tplc="0409001B" w:tentative="1">
      <w:start w:val="1"/>
      <w:numFmt w:val="lowerRoman"/>
      <w:lvlText w:val="%6."/>
      <w:lvlJc w:val="right"/>
      <w:pPr>
        <w:ind w:left="2640" w:hanging="440"/>
      </w:pPr>
    </w:lvl>
  </w:abstractNum>
  <w:abstractNum w:abstractNumId="26">
    <w:nsid w:val="DECA37C6"/>
    <w:multiLevelType w:val="singleLevel"/>
    <w:tmpl w:val="DECA37C6"/>
    <w:lvl w:ilvl="0">
      <w:start w:val="1"/>
      <w:numFmt w:val="decimal"/>
      <w:suff w:val="space"/>
      <w:lvlText w:val="（%1）"/>
      <w:lvlJc w:val="left"/>
    </w:lvl>
  </w:abstractNum>
  <w:abstractNum w:abstractNumId="27">
    <w:nsid w:val="8A44E36C"/>
    <w:multiLevelType w:val="singleLevel"/>
    <w:tmpl w:val="8A44E36C"/>
    <w:lvl w:ilvl="0">
      <w:start w:val="1"/>
      <w:numFmt w:val="decimal"/>
      <w:suff w:val="space"/>
      <w:lvlText w:val="（%1）"/>
      <w:lvlJc w:val="left"/>
    </w:lvl>
  </w:abstractNum>
  <w:abstractNum w:abstractNumId="28">
    <w:nsid w:val="61BE6779"/>
    <w:multiLevelType w:val="singleLevel"/>
    <w:tmpl w:val="61BE6779"/>
    <w:lvl w:ilvl="0">
      <w:start w:val="1"/>
      <w:numFmt w:val="decimal"/>
      <w:suff w:val="space"/>
      <w:lvlText w:val="（%1）"/>
      <w:lvlJc w:val="left"/>
    </w:lvl>
  </w:abstractNum>
  <w:abstractNum w:abstractNumId="29">
    <w:nsid w:val="98445AF4"/>
    <w:multiLevelType w:val="singleLevel"/>
    <w:tmpl w:val="98445AF4"/>
    <w:lvl w:ilvl="0">
      <w:start w:val="1"/>
      <w:numFmt w:val="decimal"/>
      <w:suff w:val="space"/>
      <w:lvlText w:val="（%1）"/>
      <w:lvlJc w:val="left"/>
    </w:lvl>
  </w:abstractNum>
  <w:abstractNum w:abstractNumId="30">
    <w:nsid w:val="21A9A3C3"/>
    <w:multiLevelType w:val="singleLevel"/>
    <w:tmpl w:val="21A9A3C3"/>
    <w:lvl w:ilvl="0">
      <w:start w:val="1"/>
      <w:numFmt w:val="decimal"/>
      <w:suff w:val="space"/>
      <w:lvlText w:val="（%1）"/>
      <w:lvlJc w:val="left"/>
    </w:lvl>
  </w:abstractNum>
  <w:abstractNum w:abstractNumId="31">
    <w:nsid w:val="7F693BE5"/>
    <w:multiLevelType w:val="singleLevel"/>
    <w:tmpl w:val="7F693BE5"/>
    <w:lvl w:ilvl="0">
      <w:start w:val="1"/>
      <w:numFmt w:val="decimal"/>
      <w:suff w:val="space"/>
      <w:lvlText w:val="%1."/>
      <w:lvlJc w:val="left"/>
    </w:lvl>
  </w:abstractNum>
  <w:abstractNum w:abstractNumId="32">
    <w:nsid w:val="7AE3264A"/>
    <w:multiLevelType w:val="hybridMultilevel"/>
    <w:tmpl w:val="2AE85FB2"/>
    <w:lvl w:ilvl="4" w:tplc="04090019" w:tentative="1">
      <w:start w:val="1"/>
      <w:numFmt w:val="lowerLetter"/>
      <w:lvlText w:val="%5)"/>
      <w:lvlJc w:val="left"/>
      <w:pPr>
        <w:ind w:left="2200" w:hanging="440"/>
      </w:pPr>
    </w:lvl>
    <w:lvl w:ilvl="6" w:tplc="0409000F" w:tentative="1">
      <w:start w:val="1"/>
      <w:numFmt w:val="decimal"/>
      <w:lvlText w:val="%7."/>
      <w:lvlJc w:val="left"/>
      <w:pPr>
        <w:ind w:left="3080" w:hanging="440"/>
      </w:pPr>
    </w:lvl>
    <w:lvl w:ilvl="8" w:tplc="0409001B" w:tentative="1">
      <w:start w:val="1"/>
      <w:numFmt w:val="lowerRoman"/>
      <w:lvlText w:val="%9."/>
      <w:lvlJc w:val="right"/>
      <w:pPr>
        <w:ind w:left="3960" w:hanging="440"/>
      </w:pPr>
    </w:lvl>
    <w:lvl w:ilvl="3" w:tplc="0409000F" w:tentative="1">
      <w:start w:val="1"/>
      <w:numFmt w:val="decimal"/>
      <w:lvlText w:val="%4."/>
      <w:lvlJc w:val="left"/>
      <w:pPr>
        <w:ind w:left="1760" w:hanging="440"/>
      </w:pPr>
    </w:lvl>
    <w:lvl w:ilvl="7" w:tplc="04090019" w:tentative="1">
      <w:start w:val="1"/>
      <w:numFmt w:val="lowerLetter"/>
      <w:lvlText w:val="%8)"/>
      <w:lvlJc w:val="left"/>
      <w:pPr>
        <w:ind w:left="3520" w:hanging="440"/>
      </w:pPr>
    </w:lvl>
    <w:lvl w:ilvl="2" w:tplc="0409001B" w:tentative="1">
      <w:start w:val="1"/>
      <w:numFmt w:val="lowerRoman"/>
      <w:lvlText w:val="%3."/>
      <w:lvlJc w:val="right"/>
      <w:pPr>
        <w:ind w:left="1320" w:hanging="440"/>
      </w:pPr>
    </w:lvl>
    <w:lvl w:ilvl="0" w:tplc="729AFD7C">
      <w:start w:val="1"/>
      <w:numFmt w:val="japaneseCounting"/>
      <w:lvlText w:val="（%1）"/>
      <w:lvlJc w:val="left"/>
      <w:pPr>
        <w:ind w:left="746" w:hanging="746"/>
      </w:pPr>
      <w:rPr>
        <w:rFonts w:hint="default"/>
      </w:rPr>
    </w:lvl>
    <w:lvl w:ilvl="5" w:tplc="0409001B" w:tentative="1">
      <w:start w:val="1"/>
      <w:numFmt w:val="lowerRoman"/>
      <w:lvlText w:val="%6."/>
      <w:lvlJc w:val="right"/>
      <w:pPr>
        <w:ind w:left="2640" w:hanging="440"/>
      </w:pPr>
    </w:lvl>
    <w:lvl w:ilvl="1" w:tplc="04090019" w:tentative="1">
      <w:start w:val="1"/>
      <w:numFmt w:val="lowerLetter"/>
      <w:lvlText w:val="%2)"/>
      <w:lvlJc w:val="left"/>
      <w:pPr>
        <w:ind w:left="880" w:hanging="440"/>
      </w:pPr>
    </w:lvl>
  </w:abstractNum>
  <w:num w:numId="7">
    <w:abstractNumId w:val="28"/>
  </w:num>
  <w:num w:numId="21">
    <w:abstractNumId w:val="9"/>
  </w:num>
  <w:num w:numId="17">
    <w:abstractNumId w:val="23"/>
  </w:num>
  <w:num w:numId="5">
    <w:abstractNumId w:val="14"/>
  </w:num>
  <w:num w:numId="2">
    <w:abstractNumId w:val="10"/>
  </w:num>
  <w:num w:numId="30">
    <w:abstractNumId w:val="22"/>
  </w:num>
  <w:num w:numId="24">
    <w:abstractNumId w:val="19"/>
  </w:num>
  <w:num w:numId="6">
    <w:abstractNumId w:val="20"/>
  </w:num>
  <w:num w:numId="13">
    <w:abstractNumId w:val="30"/>
  </w:num>
  <w:num w:numId="20">
    <w:abstractNumId w:val="0"/>
  </w:num>
  <w:num w:numId="22">
    <w:abstractNumId w:val="1"/>
  </w:num>
  <w:num w:numId="28">
    <w:abstractNumId w:val="25"/>
  </w:num>
  <w:num w:numId="27">
    <w:abstractNumId w:val="7"/>
  </w:num>
  <w:num w:numId="12">
    <w:abstractNumId w:val="16"/>
  </w:num>
  <w:num w:numId="32">
    <w:abstractNumId w:val="31"/>
  </w:num>
  <w:num w:numId="15">
    <w:abstractNumId w:val="27"/>
  </w:num>
  <w:num w:numId="3">
    <w:abstractNumId w:val="5"/>
  </w:num>
  <w:num w:numId="23">
    <w:abstractNumId w:val="13"/>
  </w:num>
  <w:num w:numId="29">
    <w:abstractNumId w:val="32"/>
  </w:num>
  <w:num w:numId="16">
    <w:abstractNumId w:val="29"/>
  </w:num>
  <w:num w:numId="4">
    <w:abstractNumId w:val="12"/>
  </w:num>
  <w:num w:numId="31">
    <w:abstractNumId w:val="17"/>
  </w:num>
  <w:num w:numId="26">
    <w:abstractNumId w:val="11"/>
  </w:num>
  <w:num w:numId="1">
    <w:abstractNumId w:val="18"/>
  </w:num>
  <w:num w:numId="19">
    <w:abstractNumId w:val="4"/>
  </w:num>
  <w:num w:numId="18">
    <w:abstractNumId w:val="6"/>
  </w:num>
  <w:num w:numId="10">
    <w:abstractNumId w:val="24"/>
  </w:num>
  <w:num w:numId="14">
    <w:abstractNumId w:val="8"/>
  </w:num>
  <w:num w:numId="25">
    <w:abstractNumId w:val="21"/>
  </w:num>
  <w:num w:numId="11">
    <w:abstractNumId w:val="2"/>
  </w:num>
  <w:num w:numId="9">
    <w:abstractNumId w:val="15"/>
  </w:num>
  <w:num w:numId="8">
    <w:abstractNumId w:val="26"/>
  </w:num>
  <w:num w:numId="33">
    <w:abstractNumId w:val="3"/>
  </w:num>
</w:numbering>
</file>

<file path=word/settings.xml><?xml version="1.0" encoding="utf-8"?>
<w:settings xmlns:w="http://schemas.openxmlformats.org/wordprocessingml/2006/main">
  <w:zoom w:percent="50"/>
  <w:displayBackgroundShape w:val="1"/>
  <w:bordersDoNotSurroundHeader w:val="1"/>
  <w:bordersDoNotSurroundFooter w:val="1"/>
  <w:proofState w:spelling="dirty" w:grammar="clean"/>
  <w:defaultTabStop w:val="420"/>
  <w:drawingGridHorizontalSpacing w:val="105"/>
  <w:drawingGridVerticalSpacing w:val="156"/>
  <w:displayHorizontalDrawingGridEvery w:val="2"/>
  <w:displayVerticalDrawingGridEvery w:val="2"/>
  <w:noPunctuationKerning w:val="1"/>
  <w:characterSpacingControl w:val="compressPunctuation"/>
  <w:footnotePr>
    <w:footnote w:id="0"/>
    <w:footnote w:id="1"/>
  </w:footnotePr>
  <w:endnotePr>
    <w:endnote w:id="0"/>
    <w:endnote w:id="1"/>
  </w:endnotePr>
  <w:compat>
    <w:spaceForUL w:val="1"/>
    <w:balanceSingleByteDoubleByteWidth w:val="1"/>
    <w:doNotLeaveBackslashAlone w:val="1"/>
    <w:ulTrailSpace w:val="1"/>
    <w:doNotExpandShiftReturn w:val="1"/>
    <w:adjustLineHeightInTable w:val="1"/>
    <w:useFELayout w:val="1"/>
    <w:compatSetting w:name="enableOpenTypeFeatures" w:uri="http://schemas.microsoft.com/office/word" w:val="1"/>
    <w:compatSetting w:name="differentiateMultirowTableHeaders" w:uri="http://schemas.microsoft.com/office/word" w:val="1"/>
    <w:compatSetting w:name="useWord2013TrackBottomHyphenation" w:uri="http://schemas.microsoft.com/office/word" w:val="1"/>
    <w:compatSetting w:name="compatibilityMode" w:uri="http://schemas.microsoft.com/office/word" w:val="15"/>
    <w:compatSetting w:name="doNotFlipMirrorIndents" w:uri="http://schemas.microsoft.com/office/word" w:val="1"/>
    <w:compatSetting w:name="overrideTableStyleFontSizeAndJustification" w:uri="http://schemas.microsoft.com/office/word" w:val="1"/>
  </w:compat>
  <w:rsids>
    <w:rsidRoot w:val="00BA58C8"/>
    <w:rsid w:val="0004429A"/>
    <w:rsid w:val="00047DC4"/>
    <w:rsid w:val="00062479"/>
    <w:rsid w:val="0015265C"/>
    <w:rsid w:val="001546DB"/>
    <w:rsid w:val="00175A97"/>
    <w:rsid w:val="001839AF"/>
    <w:rsid w:val="001846AC"/>
    <w:rsid w:val="0018754B"/>
    <w:rsid w:val="00197090"/>
    <w:rsid w:val="001B2F8A"/>
    <w:rsid w:val="001B3877"/>
    <w:rsid w:val="001C1734"/>
    <w:rsid w:val="001D794E"/>
    <w:rsid w:val="00232EA8"/>
    <w:rsid w:val="00240EC8"/>
    <w:rsid w:val="00276FDB"/>
    <w:rsid w:val="002C24AB"/>
    <w:rsid w:val="002F55D6"/>
    <w:rsid w:val="00344208"/>
    <w:rsid w:val="0035157F"/>
    <w:rsid w:val="003C5F79"/>
    <w:rsid w:val="003D2A70"/>
    <w:rsid w:val="003F4801"/>
    <w:rsid w:val="003F6754"/>
    <w:rsid w:val="00413DC3"/>
    <w:rsid w:val="00417A38"/>
    <w:rsid w:val="00426C39"/>
    <w:rsid w:val="00432786"/>
    <w:rsid w:val="00490858"/>
    <w:rsid w:val="004922D8"/>
    <w:rsid w:val="004A6866"/>
    <w:rsid w:val="004B1534"/>
    <w:rsid w:val="004B7019"/>
    <w:rsid w:val="004B75C8"/>
    <w:rsid w:val="004C0B08"/>
    <w:rsid w:val="004C1A98"/>
    <w:rsid w:val="004D1886"/>
    <w:rsid w:val="004F529A"/>
    <w:rsid w:val="00542FD3"/>
    <w:rsid w:val="00550257"/>
    <w:rsid w:val="0057326C"/>
    <w:rsid w:val="005F6604"/>
    <w:rsid w:val="00631533"/>
    <w:rsid w:val="00640C70"/>
    <w:rsid w:val="00644CFA"/>
    <w:rsid w:val="00684831"/>
    <w:rsid w:val="006931C3"/>
    <w:rsid w:val="006B58E3"/>
    <w:rsid w:val="006C52E2"/>
    <w:rsid w:val="006C7271"/>
    <w:rsid w:val="006E1239"/>
    <w:rsid w:val="0072625E"/>
    <w:rsid w:val="00740D5C"/>
    <w:rsid w:val="00773423"/>
    <w:rsid w:val="007750EB"/>
    <w:rsid w:val="00791AFC"/>
    <w:rsid w:val="007B0D4C"/>
    <w:rsid w:val="007C0F0C"/>
    <w:rsid w:val="007F6605"/>
    <w:rsid w:val="00801596"/>
    <w:rsid w:val="008133C6"/>
    <w:rsid w:val="00832000"/>
    <w:rsid w:val="00845392"/>
    <w:rsid w:val="008524CF"/>
    <w:rsid w:val="00872797"/>
    <w:rsid w:val="0089672D"/>
    <w:rsid w:val="008B7EF2"/>
    <w:rsid w:val="008C3BED"/>
    <w:rsid w:val="00934521"/>
    <w:rsid w:val="00936338"/>
    <w:rsid w:val="00945894"/>
    <w:rsid w:val="00955F04"/>
    <w:rsid w:val="0098294E"/>
    <w:rsid w:val="00985BEF"/>
    <w:rsid w:val="00986976"/>
    <w:rsid w:val="00987773"/>
    <w:rsid w:val="009B641F"/>
    <w:rsid w:val="009C6708"/>
    <w:rsid w:val="009F37D7"/>
    <w:rsid w:val="00A25A47"/>
    <w:rsid w:val="00A52E0C"/>
    <w:rsid w:val="00A54FC5"/>
    <w:rsid w:val="00A71B18"/>
    <w:rsid w:val="00A72EFB"/>
    <w:rsid w:val="00A9279A"/>
    <w:rsid w:val="00AA3603"/>
    <w:rsid w:val="00AE4D1A"/>
    <w:rsid w:val="00B05AA8"/>
    <w:rsid w:val="00B6541D"/>
    <w:rsid w:val="00BA58C8"/>
    <w:rsid w:val="00BB4AFC"/>
    <w:rsid w:val="00BC422A"/>
    <w:rsid w:val="00C00C77"/>
    <w:rsid w:val="00C616B0"/>
    <w:rsid w:val="00C6545B"/>
    <w:rsid w:val="00C739C5"/>
    <w:rsid w:val="00C7432D"/>
    <w:rsid w:val="00C803F1"/>
    <w:rsid w:val="00CB5958"/>
    <w:rsid w:val="00CC51CC"/>
    <w:rsid w:val="00CE4D30"/>
    <w:rsid w:val="00CE7E4A"/>
    <w:rsid w:val="00D013AE"/>
    <w:rsid w:val="00D01C6E"/>
    <w:rsid w:val="00D36894"/>
    <w:rsid w:val="00D618B8"/>
    <w:rsid w:val="00D83DF9"/>
    <w:rsid w:val="00DA3B83"/>
    <w:rsid w:val="00DC2E99"/>
    <w:rsid w:val="00DF0AF9"/>
    <w:rsid w:val="00E26805"/>
    <w:rsid w:val="00E43672"/>
    <w:rsid w:val="00E55319"/>
    <w:rsid w:val="00E9031A"/>
    <w:rsid w:val="00E91A5F"/>
    <w:rsid w:val="00E927E7"/>
    <w:rsid w:val="00EB637C"/>
    <w:rsid w:val="00F0384B"/>
    <w:rsid w:val="00F37ADD"/>
    <w:rsid w:val="00F42EAB"/>
    <w:rsid w:val="00F476BB"/>
    <w:rsid w:val="00F5674C"/>
    <w:rsid w:val="00F67A80"/>
    <w:rsid w:val="00F7450D"/>
    <w:rsid w:val="00F82A1B"/>
    <w:rsid w:val="00F84110"/>
    <w:rsid w:val="00F92965"/>
    <w:rsid w:val="00FB43B0"/>
    <w:rsid w:val="00FD7ABB"/>
    <w:rsid w:val="1F36CDEF"/>
    <w:rsid w:val="37FF0624"/>
    <w:rsid w:val="3AF370FA"/>
    <w:rsid w:val="3E5FB78B"/>
    <w:rsid w:val="5A7DA9B7"/>
    <w:rsid w:val="5B5ABCBD"/>
    <w:rsid w:val="74EB86D2"/>
    <w:rsid w:val="77F3B809"/>
    <w:rsid w:val="7F6F03DC"/>
    <w:rsid w:val="7F778AE7"/>
    <w:rsid w:val="7FBACE13"/>
    <w:rsid w:val="9D7BB007"/>
    <w:rsid w:val="DD5F6517"/>
    <w:rsid w:val="DFFE181E"/>
    <w:rsid w:val="EE7331D5"/>
    <w:rsid w:val="EEEE9795"/>
    <w:rsid w:val="F7EFCF99"/>
    <w:rsid w:val="FAAF0714"/>
    <w:rsid w:val="FCDF5DE3"/>
    <w:rsid w:val="FE779A21"/>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ecimalSymbol w:val="."/>
  <w:listSeparator w:val=","/>
</w:settings>
</file>

<file path=word/styles.xml><?xml version="1.0" encoding="utf-8"?>
<w:styles xmlns:w="http://schemas.openxmlformats.org/wordprocessingml/2006/main">
  <w:docDefaults>
    <w:rPrDefault>
      <w:rPr>
        <w:rFonts w:ascii="Times New Roman" w:hAnsi="Times New Roman" w:eastAsia="宋体" w:cs="Times New Roman"/>
        <w:lang w:val="en-US" w:eastAsia="zh-CN" w:bidi="ar-SA"/>
      </w:rPr>
    </w:rPrDefault>
    <w:pPrDefault/>
  </w:docDefaults>
  <w:latentStyles w:defLockedState="0" w:defUIPriority="99" w:defSemiHidden="0" w:defUnhideWhenUsed="0" w:defQFormat="0" w:count="376">
    <w:lsdException w:name="Smart Link" w:semiHidden="1" w:unhideWhenUsed="1"/>
    <w:lsdException w:name="List Table 6 Colorful Accent 2" w:uiPriority="51"/>
    <w:lsdException w:name="Grid Table 3 Accent 6" w:uiPriority="48"/>
    <w:lsdException w:name="Medium List 1 Accent 3" w:uiPriority="65"/>
    <w:lsdException w:name="Medium Grid 1 Accent 2" w:uiPriority="67"/>
    <w:lsdException w:name="Grid Table 2 Accent 1" w:uiPriority="47"/>
    <w:lsdException w:name="Block Text" w:semiHidden="1" w:unhideWhenUsed="1"/>
    <w:lsdException w:name="Light Shading Accent 3" w:uiPriority="60"/>
    <w:lsdException w:name="List Continue 4" w:semiHidden="1" w:unhideWhenUsed="1"/>
    <w:lsdException w:name="List Table 6 Colorful" w:uiPriority="51"/>
    <w:lsdException w:name="Medium Grid 1 Accent 4" w:uiPriority="67"/>
    <w:lsdException w:name="List 2" w:semiHidden="1" w:unhideWhenUsed="1"/>
    <w:lsdException w:name="Colorful Shading Accent 5" w:uiPriority="71"/>
    <w:lsdException w:name="Dark List Accent 1" w:uiPriority="70"/>
    <w:lsdException w:name="Grid Table 5 Dark Accent 1" w:uiPriority="50"/>
    <w:lsdException w:name="Light Grid Accent 1" w:uiPriority="62"/>
    <w:lsdException w:name="Table Simple 2" w:semiHidden="1" w:unhideWhenUsed="1"/>
    <w:lsdException w:name="Grid Table 5 Dark Accent 5" w:uiPriority="50"/>
    <w:lsdException w:name="toc 1" w:uiPriority="39" w:semiHidden="1" w:unhideWhenUsed="1" w:qFormat="1"/>
    <w:lsdException w:name="toc 7" w:uiPriority="39" w:semiHidden="1" w:unhideWhenUsed="1"/>
    <w:lsdException w:name="Subtle Reference" w:uiPriority="31" w:qFormat="1"/>
    <w:lsdException w:name="footnote reference" w:semiHidden="1" w:unhideWhenUsed="1"/>
    <w:lsdException w:name="footnote text" w:semiHidden="1" w:unhideWhenUsed="1"/>
    <w:lsdException w:name="Medium List 1 Accent 6" w:uiPriority="65"/>
    <w:lsdException w:name="List Table 4 Accent 2" w:uiPriority="49"/>
    <w:lsdException w:name="Colorful Shading" w:uiPriority="71"/>
    <w:lsdException w:name="Grid Table 6 Colorful Accent 2" w:uiPriority="51"/>
    <w:lsdException w:name="Unresolved Mention" w:semiHidden="1" w:unhideWhenUsed="1"/>
    <w:lsdException w:name="List Table 2 Accent 2" w:uiPriority="47"/>
    <w:lsdException w:name="Colorful Shading Accent 4" w:uiPriority="71"/>
    <w:lsdException w:name="List Table 4 Accent 3" w:uiPriority="49"/>
    <w:lsdException w:name="heading 4" w:uiPriority="9" w:semiHidden="1" w:unhideWhenUsed="1" w:qFormat="1"/>
    <w:lsdException w:name="Grid Table 2" w:uiPriority="47"/>
    <w:lsdException w:name="Table 3D effects 2" w:semiHidden="1" w:unhideWhenUsed="1"/>
    <w:lsdException w:name="Medium Shading 1 Accent 5" w:uiPriority="63"/>
    <w:lsdException w:name="Outline List 3" w:semiHidden="1" w:unhideWhenUsed="1"/>
    <w:lsdException w:name="Grid Table 4 Accent 1" w:uiPriority="49"/>
    <w:lsdException w:name="Medium Shading 2 Accent 1" w:uiPriority="64"/>
    <w:lsdException w:name="Medium List 2 Accent 3" w:uiPriority="66"/>
    <w:lsdException w:name="Table List 1" w:semiHidden="1" w:unhideWhenUsed="1"/>
    <w:lsdException w:name="HTML Bottom of Form" w:semiHidden="1" w:unhideWhenUsed="1"/>
    <w:lsdException w:name="Table Simple 1" w:semiHidden="1" w:unhideWhenUsed="1"/>
    <w:lsdException w:name="List Table 7 Colorful" w:uiPriority="52"/>
    <w:lsdException w:name="HTML Cite" w:semiHidden="1" w:unhideWhenUsed="1"/>
    <w:lsdException w:name="Colorful List Accent 2" w:uiPriority="72"/>
    <w:lsdException w:name="heading 6" w:uiPriority="9" w:semiHidden="1" w:unhideWhenUsed="1" w:qFormat="1"/>
    <w:lsdException w:name="Normal" w:uiPriority="0" w:qFormat="1"/>
    <w:lsdException w:name="Medium List 2 Accent 4" w:uiPriority="66"/>
    <w:lsdException w:name="Light Shading Accent 4" w:uiPriority="60"/>
    <w:lsdException w:name="Table Classic 4" w:semiHidden="1" w:unhideWhenUsed="1"/>
    <w:lsdException w:name="HTML Address" w:semiHidden="1" w:unhideWhenUsed="1"/>
    <w:lsdException w:name="Grid Table 6 Colorful Accent 1" w:uiPriority="51"/>
    <w:lsdException w:name="Table Grid 7" w:semiHidden="1" w:unhideWhenUsed="1"/>
    <w:lsdException w:name="Medium List 1 Accent 5" w:uiPriority="65"/>
    <w:lsdException w:name="Light List Accent 1" w:uiPriority="61"/>
    <w:lsdException w:name="Plain Table 5" w:uiPriority="45"/>
    <w:lsdException w:name="Body Text First Indent" w:semiHidden="1" w:unhideWhenUsed="1"/>
    <w:lsdException w:name="Table Colorful 2" w:semiHidden="1" w:unhideWhenUsed="1"/>
    <w:lsdException w:name="Salutation" w:semiHidden="1" w:unhideWhenUsed="1"/>
    <w:lsdException w:name="Colorful Shading Accent 2" w:uiPriority="71"/>
    <w:lsdException w:name="toc 4" w:uiPriority="39" w:semiHidden="1" w:unhideWhenUsed="1"/>
    <w:lsdException w:name="footer" w:unhideWhenUsed="1" w:qFormat="1"/>
    <w:lsdException w:name="toc 2" w:uiPriority="39" w:semiHidden="1" w:unhideWhenUsed="1" w:qFormat="1"/>
    <w:lsdException w:name="Grid Table 3 Accent 3" w:uiPriority="48"/>
    <w:lsdException w:name="Table Colorful 3" w:semiHidden="1" w:unhideWhenUsed="1"/>
    <w:lsdException w:name="Medium Grid 1 Accent 1" w:uiPriority="67"/>
    <w:lsdException w:name="List Table 7 Colorful Accent 1" w:uiPriority="52"/>
    <w:lsdException w:name="No Spacing" w:uiPriority="1" w:semiHidden="1" w:unhideWhenUsed="1" w:qFormat="1"/>
    <w:lsdException w:name="Table Columns 4" w:semiHidden="1" w:unhideWhenUsed="1"/>
    <w:lsdException w:name="List Number 5" w:semiHidden="1" w:unhideWhenUsed="1"/>
    <w:lsdException w:name="List Table 5 Dark Accent 4" w:uiPriority="50"/>
    <w:lsdException w:name="List Table 5 Dark Accent 2" w:uiPriority="50"/>
    <w:lsdException w:name="List Table 3 Accent 5" w:uiPriority="48"/>
    <w:lsdException w:name="Default Paragraph Font" w:uiPriority="1" w:unhideWhenUsed="1"/>
    <w:lsdException w:name="Table Grid 1" w:semiHidden="1" w:unhideWhenUsed="1"/>
    <w:lsdException w:name="Table Grid" w:uiPriority="39" w:qFormat="1"/>
    <w:lsdException w:name="Dark List" w:uiPriority="70"/>
    <w:lsdException w:name="heading 9" w:uiPriority="9" w:semiHidden="1" w:unhideWhenUsed="1" w:qFormat="1"/>
    <w:lsdException w:name="Grid Table 5 Dark Accent 2" w:uiPriority="50"/>
    <w:lsdException w:name="Grid Table 7 Colorful" w:uiPriority="52"/>
    <w:lsdException w:name="Grid Table 5 Dark Accent 6" w:uiPriority="50"/>
    <w:lsdException w:name="Body Text First Indent 2" w:semiHidden="1" w:unhideWhenUsed="1"/>
    <w:lsdException w:name="List Table 1 Light Accent 1" w:uiPriority="46"/>
    <w:lsdException w:name="Medium Grid 1 Accent 3" w:uiPriority="67"/>
    <w:lsdException w:name="Grid Table 7 Colorful Accent 5" w:uiPriority="52"/>
    <w:lsdException w:name="heading 7" w:uiPriority="9" w:semiHidden="1" w:unhideWhenUsed="1" w:qFormat="1"/>
    <w:lsdException w:name="Table Columns 3" w:semiHidden="1" w:unhideWhenUsed="1"/>
    <w:lsdException w:name="HTML Typewriter" w:semiHidden="1" w:unhideWhenUsed="1"/>
    <w:lsdException w:name="List Continue 3" w:semiHidden="1" w:unhideWhenUsed="1"/>
    <w:lsdException w:name="Medium Grid 2 Accent 2" w:uiPriority="68"/>
    <w:lsdException w:name="List Bullet 2" w:semiHidden="1" w:unhideWhenUsed="1"/>
    <w:lsdException w:name="List Table 6 Colorful Accent 5" w:uiPriority="51"/>
    <w:lsdException w:name="Table Colorful 1" w:semiHidden="1" w:unhideWhenUsed="1"/>
    <w:lsdException w:name="Colorful List Accent 3" w:uiPriority="72"/>
    <w:lsdException w:name="header" w:unhideWhenUsed="1" w:qFormat="1"/>
    <w:lsdException w:name="Grid Table 1 Light Accent 2" w:uiPriority="46"/>
    <w:lsdException w:name="Table Columns 2" w:semiHidden="1" w:unhideWhenUsed="1"/>
    <w:lsdException w:name="index 4" w:semiHidden="1" w:unhideWhenUsed="1"/>
    <w:lsdException w:name="Normal Table" w:semiHidden="1" w:unhideWhenUsed="1"/>
    <w:lsdException w:name="Table Columns 1" w:semiHidden="1" w:unhideWhenUsed="1"/>
    <w:lsdException w:name="Body Text Indent 3" w:semiHidden="1" w:unhideWhenUsed="1"/>
    <w:lsdException w:name="Table 3D effects 1" w:semiHidden="1" w:unhideWhenUsed="1"/>
    <w:lsdException w:name="Medium Grid 2 Accent 5" w:uiPriority="68"/>
    <w:lsdException w:name="Grid Table 4" w:uiPriority="49"/>
    <w:lsdException w:name="Hyperlink" w:semiHidden="1" w:unhideWhenUsed="1"/>
    <w:lsdException w:name="Plain Table 2" w:uiPriority="42"/>
    <w:lsdException w:name="Table Professional" w:semiHidden="1" w:unhideWhenUsed="1"/>
    <w:lsdException w:name="Light List Accent 5" w:uiPriority="61"/>
    <w:lsdException w:name="Grid Table 2 Accent 3" w:uiPriority="47"/>
    <w:lsdException w:name="List Table 2 Accent 3" w:uiPriority="47"/>
    <w:lsdException w:name="annotation reference" w:semiHidden="1" w:unhideWhenUsed="1" w:qFormat="1"/>
    <w:lsdException w:name="Grid Table 2 Accent 5" w:uiPriority="47"/>
    <w:lsdException w:name="index 1" w:semiHidden="1" w:unhideWhenUsed="1"/>
    <w:lsdException w:name="List Table 3 Accent 1" w:uiPriority="48"/>
    <w:lsdException w:name="HTML Sample" w:semiHidden="1" w:unhideWhenUsed="1"/>
    <w:lsdException w:name="List Table 5 Dark Accent 5" w:uiPriority="50"/>
    <w:lsdException w:name="Grid Table 7 Colorful Accent 1" w:uiPriority="52"/>
    <w:lsdException w:name="TOC Heading" w:uiPriority="39" w:semiHidden="1" w:unhideWhenUsed="1" w:qFormat="1"/>
    <w:lsdException w:name="Table Web 2" w:semiHidden="1" w:unhideWhenUsed="1"/>
    <w:lsdException w:name="List Table 6 Colorful Accent 6" w:uiPriority="51"/>
    <w:lsdException w:name="caption" w:uiPriority="35" w:semiHidden="1" w:unhideWhenUsed="1" w:qFormat="1"/>
    <w:lsdException w:name="Table List 6" w:semiHidden="1" w:unhideWhenUsed="1"/>
    <w:lsdException w:name="Light List Accent 3" w:uiPriority="61"/>
    <w:lsdException w:name="Grid Table 6 Colorful Accent 5" w:uiPriority="51"/>
    <w:lsdException w:name="List Number" w:semiHidden="1" w:unhideWhenUsed="1"/>
    <w:lsdException w:name="Normal Indent" w:semiHidden="1" w:unhideWhenUsed="1"/>
    <w:lsdException w:name="List 3" w:semiHidden="1" w:unhideWhenUsed="1"/>
    <w:lsdException w:name="toa heading" w:semiHidden="1" w:unhideWhenUsed="1"/>
    <w:lsdException w:name="Table 3D effects 3" w:semiHidden="1" w:unhideWhenUsed="1"/>
    <w:lsdException w:name="index 7" w:semiHidden="1" w:unhideWhenUsed="1"/>
    <w:lsdException w:name="Table Classic 1" w:semiHidden="1" w:unhideWhenUsed="1"/>
    <w:lsdException w:name="Medium List 2 Accent 2" w:uiPriority="66"/>
    <w:lsdException w:name="List Table 6 Colorful Accent 3" w:uiPriority="51"/>
    <w:lsdException w:name="index 3" w:semiHidden="1" w:unhideWhenUsed="1"/>
    <w:lsdException w:name="Medium Shading 2 Accent 5" w:uiPriority="64"/>
    <w:lsdException w:name="Grid Table 7 Colorful Accent 3" w:uiPriority="52"/>
    <w:lsdException w:name="List Table 2 Accent 1" w:uiPriority="47"/>
    <w:lsdException w:name="List Table 1 Light Accent 5" w:uiPriority="46"/>
    <w:lsdException w:name="annotation subject" w:semiHidden="1" w:unhideWhenUsed="1" w:qFormat="1"/>
    <w:lsdException w:name="Medium Shading 1 Accent 6" w:uiPriority="63"/>
    <w:lsdException w:name="Grid Table 6 Colorful Accent 4" w:uiPriority="51"/>
    <w:lsdException w:name="Placeholder Text" w:semiHidden="1" w:unhideWhenUsed="1"/>
    <w:lsdException w:name="Grid Table 7 Colorful Accent 2" w:uiPriority="52"/>
    <w:lsdException w:name="Light List" w:uiPriority="61"/>
    <w:lsdException w:name="Medium Shading 1 Accent 3" w:uiPriority="63"/>
    <w:lsdException w:name="List Table 1 Light Accent 3" w:uiPriority="46"/>
    <w:lsdException w:name="List Table 7 Colorful Accent 5" w:uiPriority="52"/>
    <w:lsdException w:name="Table Grid 2" w:semiHidden="1" w:unhideWhenUsed="1"/>
    <w:lsdException w:name="List Table 5 Dark Accent 3" w:uiPriority="50"/>
    <w:lsdException w:name="Medium Grid 3 Accent 4" w:uiPriority="69"/>
    <w:lsdException w:name="Revision" w:semiHidden="1" w:unhideWhenUsed="1"/>
    <w:lsdException w:name="Grid Table 4 Accent 6" w:uiPriority="49"/>
    <w:lsdException w:name="Medium Grid 3 Accent 6" w:uiPriority="69"/>
    <w:lsdException w:name="Medium List 1 Accent 2" w:uiPriority="65"/>
    <w:lsdException w:name="Grid Table 2 Accent 2" w:uiPriority="47"/>
    <w:lsdException w:name="Emphasis" w:uiPriority="20" w:qFormat="1"/>
    <w:lsdException w:name="Medium Shading 2 Accent 4" w:uiPriority="64"/>
    <w:lsdException w:name="Grid Table 2 Accent 4" w:uiPriority="47"/>
    <w:lsdException w:name="Medium Shading 2 Accent 6" w:uiPriority="64"/>
    <w:lsdException w:name="List Table 7 Colorful Accent 4" w:uiPriority="52"/>
    <w:lsdException w:name="Plain Text" w:semiHidden="1" w:unhideWhenUsed="1"/>
    <w:lsdException w:name="Grid Table 7 Colorful Accent 6" w:uiPriority="52"/>
    <w:lsdException w:name="Grid Table 1 Light Accent 1" w:uiPriority="46"/>
    <w:lsdException w:name="List" w:semiHidden="1" w:unhideWhenUsed="1"/>
    <w:lsdException w:name="Strong" w:uiPriority="22" w:qFormat="1"/>
    <w:lsdException w:name="Colorful Grid" w:uiPriority="73"/>
    <w:lsdException w:name="Medium Grid 2 Accent 3" w:uiPriority="68"/>
    <w:lsdException w:name="Dark List Accent 5" w:uiPriority="70"/>
    <w:lsdException w:name="Grid Table 3 Accent 4" w:uiPriority="48"/>
    <w:lsdException w:name="envelope address" w:semiHidden="1" w:unhideWhenUsed="1"/>
    <w:lsdException w:name="endnote reference" w:semiHidden="1" w:unhideWhenUsed="1"/>
    <w:lsdException w:name="index 2" w:semiHidden="1" w:unhideWhenUsed="1"/>
    <w:lsdException w:name="HTML Acronym" w:semiHidden="1" w:unhideWhenUsed="1"/>
    <w:lsdException w:name="Medium Shading 1 Accent 1" w:uiPriority="63"/>
    <w:lsdException w:name="Bibliography" w:uiPriority="37" w:semiHidden="1" w:unhideWhenUsed="1"/>
    <w:lsdException w:name="Colorful List" w:uiPriority="72"/>
    <w:lsdException w:name="Table List 3" w:semiHidden="1" w:unhideWhenUsed="1"/>
    <w:lsdException w:name="Grid Table 1 Light Accent 5" w:uiPriority="46"/>
    <w:lsdException w:name="List Table 5 Dark Accent 1" w:uiPriority="50"/>
    <w:lsdException w:name="Light Grid Accent 2" w:uiPriority="62"/>
    <w:lsdException w:name="Colorful Grid Accent 1" w:uiPriority="73"/>
    <w:lsdException w:name="List Bullet 5" w:semiHidden="1" w:unhideWhenUsed="1"/>
    <w:lsdException w:name="Table Simple 3" w:semiHidden="1" w:unhideWhenUsed="1"/>
    <w:lsdException w:name="Colorful Grid Accent 5" w:uiPriority="73"/>
    <w:lsdException w:name="Grid Table 1 Light Accent 4" w:uiPriority="46"/>
    <w:lsdException w:name="table of authorities" w:semiHidden="1" w:unhideWhenUsed="1"/>
    <w:lsdException w:name="Medium List 2 Accent 1" w:uiPriority="66"/>
    <w:lsdException w:name="Grid Table 1 Light Accent 6" w:uiPriority="46"/>
    <w:lsdException w:name="List Table 2" w:uiPriority="47"/>
    <w:lsdException w:name="List Table 2 Accent 6" w:uiPriority="47"/>
    <w:lsdException w:name="List Table 5 Dark Accent 6" w:uiPriority="50"/>
    <w:lsdException w:name="List Table 4 Accent 4" w:uiPriority="49"/>
    <w:lsdException w:name="Dark List Accent 3" w:uiPriority="70"/>
    <w:lsdException w:name="Colorful Shading Accent 3" w:uiPriority="71"/>
    <w:lsdException w:name="Colorful Shading Accent 6" w:uiPriority="71"/>
    <w:lsdException w:name="toc 5" w:uiPriority="39" w:semiHidden="1" w:unhideWhenUsed="1"/>
    <w:lsdException w:name="Table Subtle 1" w:semiHidden="1" w:unhideWhenUsed="1"/>
    <w:lsdException w:name="List Bullet" w:semiHidden="1" w:unhideWhenUsed="1"/>
    <w:lsdException w:name="Table Web 3" w:semiHidden="1" w:unhideWhenUsed="1"/>
    <w:lsdException w:name="Grid Table 7 Colorful Accent 4" w:uiPriority="52"/>
    <w:lsdException w:name="endnote text" w:semiHidden="1" w:unhideWhenUsed="1"/>
    <w:lsdException w:name="Subtitle" w:uiPriority="11" w:qFormat="1"/>
    <w:lsdException w:name="List Table 3" w:uiPriority="48"/>
    <w:lsdException w:name="Mention" w:semiHidden="1" w:unhideWhenUsed="1"/>
    <w:lsdException w:name="Body Text Indent 2" w:semiHidden="1" w:unhideWhenUsed="1"/>
    <w:lsdException w:name="No List" w:semiHidden="1" w:unhideWhenUsed="1"/>
    <w:lsdException w:name="Body Text Indent" w:semiHidden="1" w:unhideWhenUsed="1"/>
    <w:lsdException w:name="Body Text 3" w:semiHidden="1" w:unhideWhenUsed="1"/>
    <w:lsdException w:name="Medium List 1" w:uiPriority="65"/>
    <w:lsdException w:name="Table Web 1" w:semiHidden="1" w:unhideWhenUsed="1"/>
    <w:lsdException w:name="List 4" w:semiHidden="1" w:unhideWhenUsed="1"/>
    <w:lsdException w:name="List Number 3" w:semiHidden="1" w:unhideWhenUsed="1"/>
    <w:lsdException w:name="Table Grid 6" w:semiHidden="1" w:unhideWhenUsed="1"/>
    <w:lsdException w:name="Colorful Grid Accent 2" w:uiPriority="73"/>
    <w:lsdException w:name="index heading" w:semiHidden="1" w:unhideWhenUsed="1"/>
    <w:lsdException w:name="Table List 8" w:semiHidden="1" w:unhideWhenUsed="1"/>
    <w:lsdException w:name="List Continue" w:semiHidden="1" w:unhideWhenUsed="1"/>
    <w:lsdException w:name="Light Shading Accent 6" w:uiPriority="60"/>
    <w:lsdException w:name="heading 3" w:uiPriority="9" w:semiHidden="1" w:unhideWhenUsed="1" w:qFormat="1"/>
    <w:lsdException w:name="macro" w:semiHidden="1" w:unhideWhenUsed="1"/>
    <w:lsdException w:name="toc 6" w:uiPriority="39" w:semiHidden="1" w:unhideWhenUsed="1"/>
    <w:lsdException w:name="Body Text" w:semiHidden="1" w:unhideWhenUsed="1"/>
    <w:lsdException w:name="Colorful List Accent 5" w:uiPriority="72"/>
    <w:lsdException w:name="heading 2" w:uiPriority="9" w:semiHidden="1" w:unhideWhenUsed="1" w:qFormat="1"/>
    <w:lsdException w:name="Colorful Grid Accent 6" w:uiPriority="73"/>
    <w:lsdException w:name="Signature" w:semiHidden="1" w:unhideWhenUsed="1"/>
    <w:lsdException w:name="Plain Table 4" w:uiPriority="44"/>
    <w:lsdException w:name="List Table 4 Accent 6" w:uiPriority="49"/>
    <w:lsdException w:name="Medium Shading 1 Accent 2" w:uiPriority="63"/>
    <w:lsdException w:name="Table Theme" w:semiHidden="1" w:unhideWhenUsed="1"/>
    <w:lsdException w:name="Table Contemporary" w:semiHidden="1" w:unhideWhenUsed="1"/>
    <w:lsdException w:name="Smart Hyperlink" w:semiHidden="1" w:unhideWhenUsed="1"/>
    <w:lsdException w:name="Message Header" w:semiHidden="1" w:unhideWhenUsed="1"/>
    <w:lsdException w:name="List Table 7 Colorful Accent 3" w:uiPriority="52"/>
    <w:lsdException w:name="List Table 5 Dark" w:uiPriority="50"/>
    <w:lsdException w:name="Table Grid 4" w:semiHidden="1" w:unhideWhenUsed="1"/>
    <w:lsdException w:name="Medium Grid 2 Accent 6" w:uiPriority="68"/>
    <w:lsdException w:name="line number" w:semiHidden="1" w:unhideWhenUsed="1"/>
    <w:lsdException w:name="Table Grid 5" w:semiHidden="1" w:unhideWhenUsed="1"/>
    <w:lsdException w:name="List Table 4" w:uiPriority="49"/>
    <w:lsdException w:name="Colorful List Accent 1" w:uiPriority="72"/>
    <w:lsdException w:name="Subtle Emphasis" w:uiPriority="19" w:qFormat="1"/>
    <w:lsdException w:name="HTML Definition" w:semiHidden="1" w:unhideWhenUsed="1"/>
    <w:lsdException w:name="Medium List 2 Accent 6" w:uiPriority="66"/>
    <w:lsdException w:name="Grid Table 5 Dark" w:uiPriority="50"/>
    <w:lsdException w:name="Medium Shading 2 Accent 3" w:uiPriority="64"/>
    <w:lsdException w:name="Medium Grid 1 Accent 6" w:uiPriority="67"/>
    <w:lsdException w:name="HTML Top of Form" w:semiHidden="1" w:unhideWhenUsed="1"/>
    <w:lsdException w:name="Medium Grid 3 Accent 2" w:uiPriority="69"/>
    <w:lsdException w:name="List Table 4 Accent 5" w:uiPriority="49"/>
    <w:lsdException w:name="heading 1" w:uiPriority="9" w:qFormat="1"/>
    <w:lsdException w:name="Grid Table 2 Accent 6" w:uiPriority="47"/>
    <w:lsdException w:name="Table List 5" w:semiHidden="1" w:unhideWhenUsed="1"/>
    <w:lsdException w:name="Outline List 2" w:semiHidden="1" w:unhideWhenUsed="1"/>
    <w:lsdException w:name="Balloon Text" w:semiHidden="1" w:unhideWhenUsed="1"/>
    <w:lsdException w:name="Closing" w:semiHidden="1" w:unhideWhenUsed="1"/>
    <w:lsdException w:name="List Table 6 Colorful Accent 4" w:uiPriority="51"/>
    <w:lsdException w:name="Medium Grid 2 Accent 4" w:uiPriority="68"/>
    <w:lsdException w:name="Medium Grid 1" w:uiPriority="67"/>
    <w:lsdException w:name="Medium Shading 2 Accent 2" w:uiPriority="64"/>
    <w:lsdException w:name="Grid Table 4 Accent 5" w:uiPriority="49"/>
    <w:lsdException w:name="List Continue 5" w:semiHidden="1" w:unhideWhenUsed="1"/>
    <w:lsdException w:name="Table Grid 3" w:semiHidden="1" w:unhideWhenUsed="1"/>
    <w:lsdException w:name="HTML Variable" w:semiHidden="1" w:unhideWhenUsed="1"/>
    <w:lsdException w:name="Grid Table 5 Dark Accent 3" w:uiPriority="50"/>
    <w:lsdException w:name="Grid Table 6 Colorful" w:uiPriority="51"/>
    <w:lsdException w:name="Medium Grid 1 Accent 5" w:uiPriority="67"/>
    <w:lsdException w:name="Medium Grid 3 Accent 3" w:uiPriority="69"/>
    <w:lsdException w:name="heading 5" w:uiPriority="9" w:semiHidden="1" w:unhideWhenUsed="1" w:qFormat="1"/>
    <w:lsdException w:name="table of figures" w:semiHidden="1" w:unhideWhenUsed="1"/>
    <w:lsdException w:name="Dark List Accent 2" w:uiPriority="70"/>
    <w:lsdException w:name="Normal (Web)" w:semiHidden="1" w:unhideWhenUsed="1" w:qFormat="1"/>
    <w:lsdException w:name="List 5" w:semiHidden="1" w:unhideWhenUsed="1"/>
    <w:lsdException w:name="Light Grid Accent 6" w:uiPriority="62"/>
    <w:lsdException w:name="Table Classic 3" w:semiHidden="1" w:unhideWhenUsed="1"/>
    <w:lsdException w:name="List Table 1 Light Accent 2" w:uiPriority="46"/>
    <w:lsdException w:name="Colorful List Accent 4" w:uiPriority="72"/>
    <w:lsdException w:name="Intense Reference" w:uiPriority="32" w:qFormat="1"/>
    <w:lsdException w:name="Book Title" w:uiPriority="33" w:qFormat="1"/>
    <w:lsdException w:name="Body Text 2" w:semiHidden="1" w:unhideWhenUsed="1"/>
    <w:lsdException w:name="List Continue 2" w:semiHidden="1" w:unhideWhenUsed="1"/>
    <w:lsdException w:name="Grid Table 5 Dark Accent 4" w:uiPriority="50"/>
    <w:lsdException w:name="envelope return" w:semiHidden="1" w:unhideWhenUsed="1"/>
    <w:lsdException w:name="Colorful Grid Accent 3" w:uiPriority="73"/>
    <w:lsdException w:name="Grid Table 3" w:uiPriority="48"/>
    <w:lsdException w:name="List Table 1 Light" w:uiPriority="46"/>
    <w:lsdException w:name="Medium Shading 1" w:uiPriority="63"/>
    <w:lsdException w:name="Document Map" w:semiHidden="1" w:unhideWhenUsed="1"/>
    <w:lsdException w:name="Grid Table Light" w:uiPriority="40"/>
    <w:lsdException w:name="Medium Shading 2" w:uiPriority="64"/>
    <w:lsdException w:name="Colorful Grid Accent 4" w:uiPriority="73"/>
    <w:lsdException w:name="Grid Table 1 Light" w:uiPriority="46"/>
    <w:lsdException w:name="List Table 4 Accent 1" w:uiPriority="49"/>
    <w:lsdException w:name="Note Heading" w:semiHidden="1" w:unhideWhenUsed="1"/>
    <w:lsdException w:name="index 9" w:semiHidden="1" w:unhideWhenUsed="1"/>
    <w:lsdException w:name="Light Grid Accent 3" w:uiPriority="62"/>
    <w:lsdException w:name="Medium Shading 1 Accent 4" w:uiPriority="63"/>
    <w:lsdException w:name="Light List Accent 4" w:uiPriority="61"/>
    <w:lsdException w:name="List Table 2 Accent 4" w:uiPriority="47"/>
    <w:lsdException w:name="Medium Grid 3 Accent 1" w:uiPriority="69"/>
    <w:lsdException w:name="Colorful List Accent 6" w:uiPriority="72"/>
    <w:lsdException w:name="List Table 7 Colorful Accent 6" w:uiPriority="52"/>
    <w:lsdException w:name="heading 8" w:uiPriority="9" w:semiHidden="1" w:unhideWhenUsed="1" w:qFormat="1"/>
    <w:lsdException w:name="Medium List 2 Accent 5" w:uiPriority="66"/>
    <w:lsdException w:name="Title" w:uiPriority="10" w:qFormat="1"/>
    <w:lsdException w:name="Medium Grid 2 Accent 1" w:uiPriority="68"/>
    <w:lsdException w:name="List Number 4" w:semiHidden="1" w:unhideWhenUsed="1"/>
    <w:lsdException w:name="Table Classic 2" w:semiHidden="1" w:unhideWhenUsed="1"/>
    <w:lsdException w:name="Table Subtle 2" w:semiHidden="1" w:unhideWhenUsed="1"/>
    <w:lsdException w:name="Light Grid Accent 4" w:uiPriority="62"/>
    <w:lsdException w:name="Grid Table 6 Colorful Accent 6" w:uiPriority="51"/>
    <w:lsdException w:name="List Table 3 Accent 3" w:uiPriority="48"/>
    <w:lsdException w:name="Table List 7" w:semiHidden="1" w:unhideWhenUsed="1"/>
    <w:lsdException w:name="Medium Grid 3" w:uiPriority="69"/>
    <w:lsdException w:name="Outline List 1" w:semiHidden="1" w:unhideWhenUsed="1"/>
    <w:lsdException w:name="Quote" w:uiPriority="29" w:qFormat="1"/>
    <w:lsdException w:name="Table Columns 5" w:semiHidden="1" w:unhideWhenUsed="1"/>
    <w:lsdException w:name="Dark List Accent 6" w:uiPriority="70"/>
    <w:lsdException w:name="Light Shading Accent 5" w:uiPriority="60"/>
    <w:lsdException w:name="Grid Table 4 Accent 2" w:uiPriority="49"/>
    <w:lsdException w:name="Plain Table 3" w:uiPriority="43"/>
    <w:lsdException w:name="Table Elegant" w:semiHidden="1" w:unhideWhenUsed="1"/>
    <w:lsdException w:name="Plain Table 1" w:uiPriority="41"/>
    <w:lsdException w:name="Grid Table 4 Accent 3" w:uiPriority="49"/>
    <w:lsdException w:name="Table List 2" w:semiHidden="1" w:unhideWhenUsed="1"/>
    <w:lsdException w:name="List Bullet 4" w:semiHidden="1" w:unhideWhenUsed="1"/>
    <w:lsdException w:name="Light List Accent 6" w:uiPriority="61"/>
    <w:lsdException w:name="Medium List 2" w:uiPriority="66"/>
    <w:lsdException w:name="List Paragraph" w:uiPriority="34" w:qFormat="1"/>
    <w:lsdException w:name="List Table 1 Light Accent 4" w:uiPriority="46"/>
    <w:lsdException w:name="HTML Preformatted" w:semiHidden="1" w:unhideWhenUsed="1"/>
    <w:lsdException w:name="List Table 3 Accent 4" w:uiPriority="48"/>
    <w:lsdException w:name="index 6" w:semiHidden="1" w:unhideWhenUsed="1"/>
    <w:lsdException w:name="index 5" w:semiHidden="1" w:unhideWhenUsed="1"/>
    <w:lsdException w:name="FollowedHyperlink" w:semiHidden="1" w:unhideWhenUsed="1"/>
    <w:lsdException w:name="Medium Grid 2" w:uiPriority="68"/>
    <w:lsdException w:name="toc 9" w:uiPriority="39" w:semiHidden="1" w:unhideWhenUsed="1"/>
    <w:lsdException w:name="E-mail Signature" w:semiHidden="1" w:unhideWhenUsed="1"/>
    <w:lsdException w:name="Table Grid 8" w:semiHidden="1" w:unhideWhenUsed="1"/>
    <w:lsdException w:name="Medium Grid 3 Accent 5" w:uiPriority="69"/>
    <w:lsdException w:name="Light Shading Accent 2" w:uiPriority="60"/>
    <w:lsdException w:name="Light Grid" w:uiPriority="62"/>
    <w:lsdException w:name="Date" w:semiHidden="1" w:unhideWhenUsed="1"/>
    <w:lsdException w:name="index 8" w:semiHidden="1" w:unhideWhenUsed="1"/>
    <w:lsdException w:name="List Table 1 Light Accent 6" w:uiPriority="46"/>
    <w:lsdException w:name="Grid Table 3 Accent 1" w:uiPriority="48"/>
    <w:lsdException w:name="page number" w:semiHidden="1" w:unhideWhenUsed="1"/>
    <w:lsdException w:name="Light Shading" w:uiPriority="60"/>
    <w:lsdException w:name="Medium List 1 Accent 4" w:uiPriority="65"/>
    <w:lsdException w:name="List Table 3 Accent 2" w:uiPriority="48"/>
    <w:lsdException w:name="Grid Table 4 Accent 4" w:uiPriority="49"/>
    <w:lsdException w:name="Light Grid Accent 5" w:uiPriority="62"/>
    <w:lsdException w:name="HTML Keyboard" w:semiHidden="1" w:unhideWhenUsed="1"/>
    <w:lsdException w:name="toc 3" w:uiPriority="39" w:semiHidden="1" w:unhideWhenUsed="1" w:qFormat="1"/>
    <w:lsdException w:name="Dark List Accent 4" w:uiPriority="70"/>
    <w:lsdException w:name="Grid Table 3 Accent 2" w:uiPriority="48"/>
    <w:lsdException w:name="List Table 3 Accent 6" w:uiPriority="48"/>
    <w:lsdException w:name="annotation text" w:semiHidden="1" w:unhideWhenUsed="1" w:qFormat="1"/>
    <w:lsdException w:name="Light List Accent 2" w:uiPriority="61"/>
    <w:lsdException w:name="Grid Table 6 Colorful Accent 3" w:uiPriority="51"/>
    <w:lsdException w:name="Colorful Shading Accent 1" w:uiPriority="71"/>
    <w:lsdException w:name="Medium List 1 Accent 1" w:uiPriority="65"/>
    <w:lsdException w:name="Intense Quote" w:uiPriority="30" w:qFormat="1"/>
    <w:lsdException w:name="Table List 4" w:semiHidden="1" w:unhideWhenUsed="1"/>
    <w:lsdException w:name="List Table 6 Colorful Accent 1" w:uiPriority="51"/>
    <w:lsdException w:name="List Table 7 Colorful Accent 2" w:uiPriority="52"/>
    <w:lsdException w:name="toc 8" w:uiPriority="39" w:semiHidden="1" w:unhideWhenUsed="1"/>
    <w:lsdException w:name="List Table 2 Accent 5" w:uiPriority="47"/>
    <w:lsdException w:name="List Bullet 3" w:semiHidden="1" w:unhideWhenUsed="1"/>
    <w:lsdException w:name="Hashtag" w:semiHidden="1" w:unhideWhenUsed="1"/>
    <w:lsdException w:name="Grid Table 3 Accent 5" w:uiPriority="48"/>
    <w:lsdException w:name="Grid Table 1 Light Accent 3" w:uiPriority="46"/>
    <w:lsdException w:name="List Number 2" w:semiHidden="1" w:unhideWhenUsed="1"/>
    <w:lsdException w:name="HTML Code" w:semiHidden="1" w:unhideWhenUsed="1"/>
    <w:lsdException w:name="Intense Emphasis" w:uiPriority="21" w:qFormat="1"/>
    <w:lsdException w:name="Light Shading Accent 1" w:uiPriority="60"/>
  </w:latentStyles>
  <w:style w:type="character" w:styleId="0000a8" w:customStyle="1">
    <w:name w:val="明显参考1"/>
    <w:basedOn w:val="000094"/>
    <w:uiPriority w:val="32"/>
    <w:qFormat w:val="1"/>
    <w:rPr>
      <w:b w:val="1"/>
      <w:bCs w:val="1"/>
      <w:smallCaps w:val="1"/>
      <w:color w:val="0F4761" w:themeColor="accent1" w:themeShade="BF"/>
      <w:spacing w:val="5"/>
    </w:rPr>
  </w:style>
  <w:style w:type="paragraph" w:styleId="000090">
    <w:name w:val="heading 8"/>
    <w:basedOn w:val="000081"/>
    <w:next w:val="000081"/>
    <w:link w:val="000091"/>
    <w:uiPriority w:val="9"/>
    <w:semiHidden w:val="1"/>
    <w:unhideWhenUsed w:val="1"/>
    <w:qFormat w:val="1"/>
    <w:pPr>
      <w:keepNext w:val="1"/>
      <w:keepLines w:val="1"/>
      <w:outlineLvl w:val="7"/>
    </w:pPr>
    <w:rPr>
      <w:rFonts w:cstheme="majorBidi"/>
      <w:color w:val="595959" w:themeColor="text1" w:themeTint="A6"/>
    </w:rPr>
  </w:style>
  <w:style w:type="paragraph" w:styleId="000086">
    <w:name w:val="heading 3"/>
    <w:basedOn w:val="000081"/>
    <w:next w:val="000081"/>
    <w:link w:val="000087"/>
    <w:uiPriority w:val="9"/>
    <w:unhideWhenUsed w:val="1"/>
    <w:qFormat w:val="1"/>
    <w:pPr>
      <w:keepNext w:val="1"/>
      <w:keepLines w:val="1"/>
      <w:spacing w:before="160" w:after="80"/>
      <w:outlineLvl w:val="2"/>
    </w:pPr>
    <w:rPr>
      <w:rFonts w:asciiTheme="majorHAnsi" w:hAnsiTheme="majorHAnsi" w:eastAsiaTheme="majorEastAsia" w:cstheme="majorBidi"/>
      <w:color w:val="0F4761" w:themeColor="accent1" w:themeShade="BF"/>
      <w:sz w:val="32"/>
      <w:szCs w:val="32"/>
    </w:rPr>
  </w:style>
  <w:style w:type="paragraph" w:styleId="000088">
    <w:name w:val="heading 4"/>
    <w:basedOn w:val="000081"/>
    <w:next w:val="000081"/>
    <w:link w:val="000089"/>
    <w:uiPriority w:val="9"/>
    <w:semiHidden w:val="1"/>
    <w:unhideWhenUsed w:val="1"/>
    <w:qFormat w:val="1"/>
    <w:pPr>
      <w:keepNext w:val="1"/>
      <w:keepLines w:val="1"/>
      <w:spacing w:before="80" w:after="40"/>
      <w:outlineLvl w:val="3"/>
    </w:pPr>
    <w:rPr>
      <w:rFonts w:cstheme="majorBidi"/>
      <w:color w:val="0F4761" w:themeColor="accent1" w:themeShade="BF"/>
      <w:sz w:val="28"/>
      <w:szCs w:val="28"/>
    </w:rPr>
  </w:style>
  <w:style w:type="paragraph" w:styleId="00008c">
    <w:name w:val="heading 6"/>
    <w:basedOn w:val="000081"/>
    <w:next w:val="000081"/>
    <w:link w:val="00008d"/>
    <w:uiPriority w:val="9"/>
    <w:semiHidden w:val="1"/>
    <w:unhideWhenUsed w:val="1"/>
    <w:qFormat w:val="1"/>
    <w:pPr>
      <w:keepNext w:val="1"/>
      <w:keepLines w:val="1"/>
      <w:spacing w:before="40"/>
      <w:outlineLvl w:val="5"/>
    </w:pPr>
    <w:rPr>
      <w:rFonts w:cstheme="majorBidi"/>
      <w:b w:val="1"/>
      <w:bCs w:val="1"/>
      <w:color w:val="0F4761" w:themeColor="accent1" w:themeShade="BF"/>
    </w:rPr>
  </w:style>
  <w:style w:type="character" w:styleId="000083" w:customStyle="1">
    <w:name w:val="标题 1 字符"/>
    <w:basedOn w:val="000094"/>
    <w:link w:val="000082"/>
    <w:uiPriority w:val="9"/>
    <w:qFormat w:val="1"/>
    <w:rPr>
      <w:rFonts w:asciiTheme="majorHAnsi" w:hAnsiTheme="majorHAnsi" w:eastAsiaTheme="majorEastAsia" w:cstheme="majorBidi"/>
      <w:color w:val="0F4761" w:themeColor="accent1" w:themeShade="BF"/>
      <w:sz w:val="48"/>
      <w:szCs w:val="48"/>
    </w:rPr>
  </w:style>
  <w:style w:type="paragraph" w:styleId="0000a6">
    <w:name w:val="Intense Quote"/>
    <w:basedOn w:val="000081"/>
    <w:next w:val="000081"/>
    <w:link w:val="0000a7"/>
    <w:uiPriority w:val="30"/>
    <w:qFormat w:val="1"/>
    <w:pPr>
      <w:pBdr>
        <w:top w:val="single" w:color="0F4761" w:themeColor="accent1" w:themeShade="BF" w:sz="4" w:space="10"/>
        <w:bottom w:val="single" w:color="0F4761" w:themeColor="accent1" w:themeShade="BF" w:sz="4" w:space="10"/>
      </w:pBdr>
      <w:spacing w:before="360" w:after="360"/>
      <w:ind w:left="864" w:right="864"/>
      <w:jc w:val="center"/>
    </w:pPr>
    <w:rPr>
      <w:i w:val="1"/>
      <w:iCs w:val="1"/>
      <w:color w:val="0F4761" w:themeColor="accent1" w:themeShade="BF"/>
    </w:rPr>
  </w:style>
  <w:style w:type="character" w:styleId="00008f" w:customStyle="1">
    <w:name w:val="标题 7 字符"/>
    <w:basedOn w:val="000094"/>
    <w:link w:val="00008e"/>
    <w:uiPriority w:val="9"/>
    <w:semiHidden w:val="1"/>
    <w:qFormat w:val="1"/>
    <w:rPr>
      <w:rFonts w:cstheme="majorBidi"/>
      <w:b w:val="1"/>
      <w:bCs w:val="1"/>
      <w:color w:val="595959" w:themeColor="text1" w:themeTint="A6"/>
    </w:rPr>
  </w:style>
  <w:style w:type="character" w:styleId="000093" w:customStyle="1">
    <w:name w:val="标题 9 字符"/>
    <w:basedOn w:val="000094"/>
    <w:link w:val="000092"/>
    <w:uiPriority w:val="9"/>
    <w:semiHidden w:val="1"/>
    <w:qFormat w:val="1"/>
    <w:rPr>
      <w:rFonts w:eastAsiaTheme="majorEastAsia" w:cstheme="majorBidi"/>
      <w:color w:val="595959" w:themeColor="text1" w:themeTint="A6"/>
    </w:rPr>
  </w:style>
  <w:style w:type="paragraph" w:styleId="00008e">
    <w:name w:val="heading 7"/>
    <w:basedOn w:val="000081"/>
    <w:next w:val="000081"/>
    <w:link w:val="00008f"/>
    <w:uiPriority w:val="9"/>
    <w:semiHidden w:val="1"/>
    <w:unhideWhenUsed w:val="1"/>
    <w:qFormat w:val="1"/>
    <w:pPr>
      <w:keepNext w:val="1"/>
      <w:keepLines w:val="1"/>
      <w:spacing w:before="40"/>
      <w:outlineLvl w:val="6"/>
    </w:pPr>
    <w:rPr>
      <w:rFonts w:cstheme="majorBidi"/>
      <w:b w:val="1"/>
      <w:bCs w:val="1"/>
      <w:color w:val="595959" w:themeColor="text1" w:themeTint="A6"/>
    </w:rPr>
  </w:style>
  <w:style w:type="character" w:styleId="0000a3" w:customStyle="1">
    <w:name w:val="引用 字符"/>
    <w:basedOn w:val="000094"/>
    <w:link w:val="0000a2"/>
    <w:uiPriority w:val="29"/>
    <w:qFormat w:val="1"/>
    <w:rPr>
      <w:i w:val="1"/>
      <w:iCs w:val="1"/>
      <w:color w:val="404040" w:themeColor="text1" w:themeTint="BF"/>
    </w:rPr>
  </w:style>
  <w:style w:type="paragraph" w:styleId="000099">
    <w:name w:val="header"/>
    <w:basedOn w:val="000081"/>
    <w:link w:val="00009a"/>
    <w:uiPriority w:val="99"/>
    <w:unhideWhenUsed w:val="1"/>
    <w:qFormat w:val="1"/>
    <w:pPr>
      <w:tabs>
        <w:tab w:val="center" w:pos="4153"/>
        <w:tab w:val="right" w:pos="8306"/>
      </w:tabs>
      <w:snapToGrid w:val="0"/>
      <w:jc w:val="center"/>
    </w:pPr>
    <w:rPr>
      <w:sz w:val="18"/>
      <w:szCs w:val="18"/>
    </w:rPr>
  </w:style>
  <w:style w:type="paragraph" w:styleId="000084">
    <w:name w:val="heading 2"/>
    <w:basedOn w:val="000081"/>
    <w:next w:val="000081"/>
    <w:link w:val="000085"/>
    <w:uiPriority w:val="9"/>
    <w:semiHidden w:val="1"/>
    <w:unhideWhenUsed w:val="1"/>
    <w:qFormat w:val="1"/>
    <w:pPr>
      <w:keepNext w:val="1"/>
      <w:keepLines w:val="1"/>
      <w:spacing w:before="160" w:after="80"/>
      <w:outlineLvl w:val="1"/>
    </w:pPr>
    <w:rPr>
      <w:rFonts w:asciiTheme="majorHAnsi" w:hAnsiTheme="majorHAnsi" w:eastAsiaTheme="majorEastAsia" w:cstheme="majorBidi"/>
      <w:color w:val="0F4761" w:themeColor="accent1" w:themeShade="BF"/>
      <w:sz w:val="40"/>
      <w:szCs w:val="40"/>
    </w:rPr>
  </w:style>
  <w:style w:type="character" w:styleId="00009c" w:customStyle="1">
    <w:name w:val="副标题 字符"/>
    <w:basedOn w:val="000094"/>
    <w:link w:val="00009b"/>
    <w:uiPriority w:val="11"/>
    <w:qFormat w:val="1"/>
    <w:rPr>
      <w:rFonts w:asciiTheme="majorHAnsi" w:hAnsiTheme="majorHAnsi" w:eastAsiaTheme="majorEastAsia" w:cstheme="majorBidi"/>
      <w:color w:val="595959" w:themeColor="text1" w:themeTint="A6"/>
      <w:spacing w:val="15"/>
      <w:sz w:val="28"/>
      <w:szCs w:val="28"/>
    </w:rPr>
  </w:style>
  <w:style w:type="paragraph" w:styleId="000081" w:default="1">
    <w:name w:val="Normal"/>
    <w:qFormat w:val="1"/>
    <w:pPr>
      <w:widowControl w:val="0"/>
      <w:jc w:val="both"/>
    </w:pPr>
    <w:rPr>
      <w:rFonts w:asciiTheme="minorHAnsi" w:hAnsiTheme="minorHAnsi" w:eastAsiaTheme="minorEastAsia" w:cstheme="minorBidi"/>
      <w:kern w:val="2"/>
      <w:sz w:val="21"/>
      <w:szCs w:val="22"/>
    </w:rPr>
  </w:style>
  <w:style w:type="paragraph" w:styleId="0000af">
    <w:name w:val="No Spacing"/>
    <w:link w:val="0000b0"/>
    <w:uiPriority w:val="1"/>
    <w:qFormat w:val="1"/>
    <w:rsid w:val="00240EC8"/>
    <w:rPr>
      <w:rFonts w:asciiTheme="minorHAnsi" w:hAnsiTheme="minorHAnsi" w:eastAsiaTheme="minorEastAsia" w:cstheme="minorBidi"/>
      <w:sz w:val="22"/>
      <w:szCs w:val="22"/>
    </w:rPr>
  </w:style>
  <w:style w:type="paragraph" w:styleId="0000a4">
    <w:name w:val="List Paragraph"/>
    <w:basedOn w:val="000081"/>
    <w:uiPriority w:val="34"/>
    <w:qFormat w:val="1"/>
    <w:pPr>
      <w:ind w:left="720"/>
      <w:contextualSpacing w:val="1"/>
    </w:pPr>
  </w:style>
  <w:style w:type="character" w:styleId="0000ad" w:customStyle="1">
    <w:name w:val="批注主题 字符"/>
    <w:basedOn w:val="0000ab"/>
    <w:link w:val="0000ac"/>
    <w:uiPriority w:val="99"/>
    <w:semiHidden w:val="1"/>
    <w:qFormat w:val="1"/>
    <w:rsid w:val="00C739C5"/>
    <w:rPr>
      <w:rFonts w:asciiTheme="minorHAnsi" w:hAnsiTheme="minorHAnsi" w:eastAsiaTheme="minorEastAsia" w:cstheme="minorBidi"/>
      <w:b w:val="1"/>
      <w:bCs w:val="1"/>
      <w:kern w:val="2"/>
      <w:sz w:val="21"/>
      <w:szCs w:val="22"/>
    </w:rPr>
  </w:style>
  <w:style w:type="paragraph" w:styleId="000092">
    <w:name w:val="heading 9"/>
    <w:basedOn w:val="000081"/>
    <w:next w:val="000081"/>
    <w:link w:val="000093"/>
    <w:uiPriority w:val="9"/>
    <w:semiHidden w:val="1"/>
    <w:unhideWhenUsed w:val="1"/>
    <w:qFormat w:val="1"/>
    <w:pPr>
      <w:keepNext w:val="1"/>
      <w:keepLines w:val="1"/>
      <w:outlineLvl w:val="8"/>
    </w:pPr>
    <w:rPr>
      <w:rFonts w:eastAsiaTheme="majorEastAsia" w:cstheme="majorBidi"/>
      <w:color w:val="595959" w:themeColor="text1" w:themeTint="A6"/>
    </w:rPr>
  </w:style>
  <w:style w:type="character" w:styleId="0000a7" w:customStyle="1">
    <w:name w:val="明显引用 字符"/>
    <w:basedOn w:val="000094"/>
    <w:link w:val="0000a6"/>
    <w:uiPriority w:val="30"/>
    <w:qFormat w:val="1"/>
    <w:rPr>
      <w:i w:val="1"/>
      <w:iCs w:val="1"/>
      <w:color w:val="0F4761" w:themeColor="accent1" w:themeShade="BF"/>
    </w:rPr>
  </w:style>
  <w:style w:type="table" w:styleId="0000a0">
    <w:name w:val="Table Grid"/>
    <w:basedOn w:val="000095"/>
    <w:uiPriority w:val="39"/>
    <w:qFormat w:val="1"/>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0000b3">
    <w:name w:val="toc 1"/>
    <w:basedOn w:val="000081"/>
    <w:next w:val="000081"/>
    <w:autoRedefine w:val="1"/>
    <w:uiPriority w:val="39"/>
    <w:unhideWhenUsed w:val="1"/>
    <w:qFormat w:val="1"/>
    <w:rsid w:val="00832000"/>
    <w:pPr>
      <w:widowControl w:val="1"/>
      <w:spacing w:after="100" w:line="259" w:lineRule="auto"/>
      <w:jc w:val="left"/>
    </w:pPr>
    <w:rPr>
      <w:rFonts w:cs="Times New Roman"/>
      <w:kern w:val="0"/>
      <w:sz w:val="22"/>
    </w:rPr>
  </w:style>
  <w:style w:type="paragraph" w:styleId="00008a">
    <w:name w:val="heading 5"/>
    <w:basedOn w:val="000081"/>
    <w:next w:val="000081"/>
    <w:link w:val="00008b"/>
    <w:uiPriority w:val="9"/>
    <w:semiHidden w:val="1"/>
    <w:unhideWhenUsed w:val="1"/>
    <w:qFormat w:val="1"/>
    <w:pPr>
      <w:keepNext w:val="1"/>
      <w:keepLines w:val="1"/>
      <w:spacing w:before="80" w:after="40"/>
      <w:outlineLvl w:val="4"/>
    </w:pPr>
    <w:rPr>
      <w:rFonts w:cstheme="majorBidi"/>
      <w:color w:val="0F4761" w:themeColor="accent1" w:themeShade="BF"/>
      <w:sz w:val="24"/>
      <w:szCs w:val="24"/>
    </w:rPr>
  </w:style>
  <w:style w:type="paragraph" w:styleId="00009e">
    <w:name w:val="Title"/>
    <w:basedOn w:val="000081"/>
    <w:next w:val="000081"/>
    <w:link w:val="00009f"/>
    <w:uiPriority w:val="10"/>
    <w:qFormat w:val="1"/>
    <w:pPr>
      <w:spacing w:after="80"/>
      <w:contextualSpacing w:val="1"/>
      <w:jc w:val="center"/>
    </w:pPr>
    <w:rPr>
      <w:rFonts w:asciiTheme="majorHAnsi" w:hAnsiTheme="majorHAnsi" w:eastAsiaTheme="majorEastAsia" w:cstheme="majorBidi"/>
      <w:spacing w:val="-10"/>
      <w:kern w:val="28"/>
      <w:sz w:val="56"/>
      <w:szCs w:val="56"/>
    </w:rPr>
  </w:style>
  <w:style w:type="character" w:styleId="00008b" w:customStyle="1">
    <w:name w:val="标题 5 字符"/>
    <w:basedOn w:val="000094"/>
    <w:link w:val="00008a"/>
    <w:uiPriority w:val="9"/>
    <w:semiHidden w:val="1"/>
    <w:qFormat w:val="1"/>
    <w:rPr>
      <w:rFonts w:cstheme="majorBidi"/>
      <w:color w:val="0F4761" w:themeColor="accent1" w:themeShade="BF"/>
      <w:sz w:val="24"/>
      <w:szCs w:val="24"/>
    </w:rPr>
  </w:style>
  <w:style w:type="paragraph" w:styleId="0000ae" w:customStyle="1">
    <w:name w:val="ds-markdown-paragraph"/>
    <w:basedOn w:val="000081"/>
    <w:qFormat w:val="1"/>
    <w:rsid w:val="008133C6"/>
    <w:pPr>
      <w:widowControl w:val="1"/>
      <w:spacing w:before="100" w:beforeAutospacing="1" w:after="100" w:afterAutospacing="1"/>
      <w:jc w:val="left"/>
    </w:pPr>
    <w:rPr>
      <w:rFonts w:ascii="宋体" w:hAnsi="宋体" w:eastAsia="宋体" w:cs="宋体"/>
      <w:kern w:val="0"/>
      <w:sz w:val="24"/>
      <w:szCs w:val="24"/>
    </w:rPr>
  </w:style>
  <w:style w:type="paragraph" w:styleId="0000ac">
    <w:name w:val="annotation subject"/>
    <w:basedOn w:val="0000aa"/>
    <w:next w:val="0000aa"/>
    <w:link w:val="0000ad"/>
    <w:uiPriority w:val="99"/>
    <w:semiHidden w:val="1"/>
    <w:unhideWhenUsed w:val="1"/>
    <w:qFormat w:val="1"/>
    <w:rsid w:val="00C739C5"/>
    <w:rPr>
      <w:b w:val="1"/>
      <w:bCs w:val="1"/>
    </w:rPr>
  </w:style>
  <w:style w:type="character" w:styleId="00008d" w:customStyle="1">
    <w:name w:val="标题 6 字符"/>
    <w:basedOn w:val="000094"/>
    <w:link w:val="00008c"/>
    <w:uiPriority w:val="9"/>
    <w:semiHidden w:val="1"/>
    <w:qFormat w:val="1"/>
    <w:rPr>
      <w:rFonts w:cstheme="majorBidi"/>
      <w:b w:val="1"/>
      <w:bCs w:val="1"/>
      <w:color w:val="0F4761" w:themeColor="accent1" w:themeShade="BF"/>
    </w:rPr>
  </w:style>
  <w:style w:type="paragraph" w:styleId="0000b5" w:customStyle="1">
    <w:name w:val="TOC 标题1"/>
    <w:basedOn w:val="000082"/>
    <w:next w:val="000081"/>
    <w:uiPriority w:val="39"/>
    <w:unhideWhenUsed w:val="1"/>
    <w:qFormat w:val="1"/>
    <w:rsid w:val="00DF0AF9"/>
    <w:pPr>
      <w:widowControl w:val="1"/>
      <w:spacing w:before="240" w:after="0" w:line="259" w:lineRule="auto"/>
      <w:jc w:val="left"/>
      <w:outlineLvl w:val="9"/>
    </w:pPr>
    <w:rPr>
      <w:kern w:val="0"/>
      <w:sz w:val="32"/>
      <w:szCs w:val="32"/>
    </w:rPr>
  </w:style>
  <w:style w:type="paragraph" w:styleId="0000a2">
    <w:name w:val="Quote"/>
    <w:basedOn w:val="000081"/>
    <w:next w:val="000081"/>
    <w:link w:val="0000a3"/>
    <w:uiPriority w:val="29"/>
    <w:qFormat w:val="1"/>
    <w:pPr>
      <w:spacing w:before="160" w:after="160"/>
      <w:jc w:val="center"/>
    </w:pPr>
    <w:rPr>
      <w:i w:val="1"/>
      <w:iCs w:val="1"/>
      <w:color w:val="404040" w:themeColor="text1" w:themeTint="BF"/>
    </w:rPr>
  </w:style>
  <w:style w:type="paragraph" w:styleId="00009d">
    <w:name w:val="Normal (Web)"/>
    <w:basedOn w:val="000081"/>
    <w:uiPriority w:val="99"/>
    <w:semiHidden w:val="1"/>
    <w:unhideWhenUsed w:val="1"/>
    <w:qFormat w:val="1"/>
    <w:rPr>
      <w:sz w:val="24"/>
    </w:rPr>
  </w:style>
  <w:style w:type="character" w:styleId="0000ab" w:customStyle="1">
    <w:name w:val="批注文字 字符"/>
    <w:basedOn w:val="000094"/>
    <w:link w:val="0000aa"/>
    <w:uiPriority w:val="99"/>
    <w:qFormat w:val="1"/>
    <w:rsid w:val="00C739C5"/>
    <w:rPr>
      <w:rFonts w:asciiTheme="minorHAnsi" w:hAnsiTheme="minorHAnsi" w:eastAsiaTheme="minorEastAsia" w:cstheme="minorBidi"/>
      <w:kern w:val="2"/>
      <w:sz w:val="21"/>
      <w:szCs w:val="22"/>
    </w:rPr>
  </w:style>
  <w:style w:type="character" w:styleId="0000b0" w:customStyle="1">
    <w:name w:val="无间隔 字符"/>
    <w:basedOn w:val="000094"/>
    <w:link w:val="0000af"/>
    <w:uiPriority w:val="1"/>
    <w:qFormat w:val="1"/>
    <w:rsid w:val="00240EC8"/>
    <w:rPr>
      <w:rFonts w:asciiTheme="minorHAnsi" w:hAnsiTheme="minorHAnsi" w:eastAsiaTheme="minorEastAsia" w:cstheme="minorBidi"/>
      <w:sz w:val="22"/>
      <w:szCs w:val="22"/>
    </w:rPr>
  </w:style>
  <w:style w:type="paragraph" w:styleId="000082">
    <w:name w:val="heading 1"/>
    <w:basedOn w:val="000081"/>
    <w:next w:val="000081"/>
    <w:link w:val="000083"/>
    <w:uiPriority w:val="9"/>
    <w:qFormat w:val="1"/>
    <w:pPr>
      <w:keepNext w:val="1"/>
      <w:keepLines w:val="1"/>
      <w:spacing w:before="480" w:after="80"/>
      <w:outlineLvl w:val="0"/>
    </w:pPr>
    <w:rPr>
      <w:rFonts w:asciiTheme="majorHAnsi" w:hAnsiTheme="majorHAnsi" w:eastAsiaTheme="majorEastAsia" w:cstheme="majorBidi"/>
      <w:color w:val="0F4761" w:themeColor="accent1" w:themeShade="BF"/>
      <w:sz w:val="48"/>
      <w:szCs w:val="48"/>
    </w:rPr>
  </w:style>
  <w:style w:type="character" w:styleId="0000a9">
    <w:name w:val="annotation reference"/>
    <w:basedOn w:val="000094"/>
    <w:uiPriority w:val="99"/>
    <w:semiHidden w:val="1"/>
    <w:unhideWhenUsed w:val="1"/>
    <w:qFormat w:val="1"/>
    <w:rsid w:val="00C739C5"/>
    <w:rPr>
      <w:sz w:val="21"/>
      <w:szCs w:val="21"/>
    </w:rPr>
  </w:style>
  <w:style w:type="character" w:styleId="000085" w:customStyle="1">
    <w:name w:val="标题 2 字符"/>
    <w:basedOn w:val="000094"/>
    <w:link w:val="000084"/>
    <w:uiPriority w:val="9"/>
    <w:semiHidden w:val="1"/>
    <w:qFormat w:val="1"/>
    <w:rPr>
      <w:rFonts w:asciiTheme="majorHAnsi" w:hAnsiTheme="majorHAnsi" w:eastAsiaTheme="majorEastAsia" w:cstheme="majorBidi"/>
      <w:color w:val="0F4761" w:themeColor="accent1" w:themeShade="BF"/>
      <w:sz w:val="40"/>
      <w:szCs w:val="40"/>
    </w:rPr>
  </w:style>
  <w:style w:type="paragraph" w:styleId="0000aa">
    <w:name w:val="annotation text"/>
    <w:basedOn w:val="000081"/>
    <w:link w:val="0000ab"/>
    <w:uiPriority w:val="99"/>
    <w:unhideWhenUsed w:val="1"/>
    <w:qFormat w:val="1"/>
    <w:rsid w:val="00C739C5"/>
    <w:pPr>
      <w:jc w:val="left"/>
    </w:pPr>
  </w:style>
  <w:style w:type="character" w:styleId="00009f" w:customStyle="1">
    <w:name w:val="标题 字符"/>
    <w:basedOn w:val="000094"/>
    <w:link w:val="00009e"/>
    <w:uiPriority w:val="10"/>
    <w:qFormat w:val="1"/>
    <w:rPr>
      <w:rFonts w:asciiTheme="majorHAnsi" w:hAnsiTheme="majorHAnsi" w:eastAsiaTheme="majorEastAsia" w:cstheme="majorBidi"/>
      <w:spacing w:val="-10"/>
      <w:kern w:val="28"/>
      <w:sz w:val="56"/>
      <w:szCs w:val="56"/>
    </w:rPr>
  </w:style>
  <w:style w:type="character" w:styleId="000094" w:default="1">
    <w:name w:val="Default Paragraph Font"/>
    <w:uiPriority w:val="1"/>
    <w:semiHidden w:val="1"/>
    <w:unhideWhenUsed w:val="1"/>
  </w:style>
  <w:style w:type="character" w:styleId="000087" w:customStyle="1">
    <w:name w:val="标题 3 字符"/>
    <w:basedOn w:val="000094"/>
    <w:link w:val="000086"/>
    <w:uiPriority w:val="9"/>
    <w:qFormat w:val="1"/>
    <w:rPr>
      <w:rFonts w:asciiTheme="majorHAnsi" w:hAnsiTheme="majorHAnsi" w:eastAsiaTheme="majorEastAsia" w:cstheme="majorBidi"/>
      <w:color w:val="0F4761" w:themeColor="accent1" w:themeShade="BF"/>
      <w:sz w:val="32"/>
      <w:szCs w:val="32"/>
    </w:rPr>
  </w:style>
  <w:style w:type="numbering" w:styleId="000096" w:default="1">
    <w:name w:val="No List"/>
    <w:uiPriority w:val="99"/>
    <w:semiHidden w:val="1"/>
    <w:unhideWhenUsed w:val="1"/>
  </w:style>
  <w:style w:type="paragraph" w:styleId="0000b1">
    <w:name w:val="TOC Heading"/>
    <w:basedOn w:val="000082"/>
    <w:next w:val="000081"/>
    <w:uiPriority w:val="39"/>
    <w:unhideWhenUsed w:val="1"/>
    <w:qFormat w:val="1"/>
    <w:rsid w:val="00832000"/>
    <w:pPr>
      <w:widowControl w:val="1"/>
      <w:spacing w:before="240" w:after="0" w:line="259" w:lineRule="auto"/>
      <w:jc w:val="left"/>
      <w:outlineLvl w:val="9"/>
    </w:pPr>
    <w:rPr>
      <w:kern w:val="0"/>
      <w:sz w:val="32"/>
      <w:szCs w:val="32"/>
    </w:rPr>
  </w:style>
  <w:style w:type="character" w:styleId="0000a1">
    <w:name w:val="Strong"/>
    <w:basedOn w:val="000094"/>
    <w:uiPriority w:val="22"/>
    <w:qFormat w:val="1"/>
    <w:rPr>
      <w:b w:val="1"/>
    </w:rPr>
  </w:style>
  <w:style w:type="paragraph" w:styleId="00009b">
    <w:name w:val="Subtitle"/>
    <w:basedOn w:val="000081"/>
    <w:next w:val="000081"/>
    <w:link w:val="00009c"/>
    <w:uiPriority w:val="11"/>
    <w:qFormat w:val="1"/>
    <w:pPr>
      <w:spacing w:after="160"/>
      <w:jc w:val="center"/>
    </w:pPr>
    <w:rPr>
      <w:rFonts w:asciiTheme="majorHAnsi" w:hAnsiTheme="majorHAnsi" w:eastAsiaTheme="majorEastAsia" w:cstheme="majorBidi"/>
      <w:color w:val="595959" w:themeColor="text1" w:themeTint="A6"/>
      <w:spacing w:val="15"/>
      <w:sz w:val="28"/>
      <w:szCs w:val="28"/>
    </w:rPr>
  </w:style>
  <w:style w:type="character" w:styleId="00009a" w:customStyle="1">
    <w:name w:val="页眉 字符"/>
    <w:basedOn w:val="000094"/>
    <w:link w:val="000099"/>
    <w:uiPriority w:val="99"/>
    <w:qFormat w:val="1"/>
    <w:rPr>
      <w:sz w:val="18"/>
      <w:szCs w:val="18"/>
    </w:rPr>
  </w:style>
  <w:style w:type="paragraph" w:styleId="000097">
    <w:name w:val="footer"/>
    <w:basedOn w:val="000081"/>
    <w:link w:val="000098"/>
    <w:uiPriority w:val="99"/>
    <w:unhideWhenUsed w:val="1"/>
    <w:qFormat w:val="1"/>
    <w:pPr>
      <w:tabs>
        <w:tab w:val="center" w:pos="4153"/>
        <w:tab w:val="right" w:pos="8306"/>
      </w:tabs>
      <w:snapToGrid w:val="0"/>
      <w:jc w:val="left"/>
    </w:pPr>
    <w:rPr>
      <w:sz w:val="18"/>
      <w:szCs w:val="18"/>
    </w:rPr>
  </w:style>
  <w:style w:type="character" w:styleId="000098" w:customStyle="1">
    <w:name w:val="页脚 字符"/>
    <w:basedOn w:val="000094"/>
    <w:link w:val="000097"/>
    <w:uiPriority w:val="99"/>
    <w:qFormat w:val="1"/>
    <w:rPr>
      <w:sz w:val="18"/>
      <w:szCs w:val="18"/>
    </w:rPr>
  </w:style>
  <w:style w:type="character" w:styleId="0000a5" w:customStyle="1">
    <w:name w:val="明显强调1"/>
    <w:basedOn w:val="000094"/>
    <w:uiPriority w:val="21"/>
    <w:qFormat w:val="1"/>
    <w:rPr>
      <w:i w:val="1"/>
      <w:iCs w:val="1"/>
      <w:color w:val="0F4761" w:themeColor="accent1" w:themeShade="BF"/>
    </w:rPr>
  </w:style>
  <w:style w:type="paragraph" w:styleId="0000b4">
    <w:name w:val="toc 3"/>
    <w:basedOn w:val="000081"/>
    <w:next w:val="000081"/>
    <w:autoRedefine w:val="1"/>
    <w:uiPriority w:val="39"/>
    <w:unhideWhenUsed w:val="1"/>
    <w:qFormat w:val="1"/>
    <w:rsid w:val="00832000"/>
    <w:pPr>
      <w:widowControl w:val="1"/>
      <w:spacing w:after="100" w:line="259" w:lineRule="auto"/>
      <w:ind w:left="440"/>
      <w:jc w:val="left"/>
    </w:pPr>
    <w:rPr>
      <w:rFonts w:cs="Times New Roman"/>
      <w:kern w:val="0"/>
      <w:sz w:val="22"/>
    </w:rPr>
  </w:style>
  <w:style w:type="character" w:styleId="000089" w:customStyle="1">
    <w:name w:val="标题 4 字符"/>
    <w:basedOn w:val="000094"/>
    <w:link w:val="000088"/>
    <w:uiPriority w:val="9"/>
    <w:semiHidden w:val="1"/>
    <w:qFormat w:val="1"/>
    <w:rPr>
      <w:rFonts w:cstheme="majorBidi"/>
      <w:color w:val="0F4761" w:themeColor="accent1" w:themeShade="BF"/>
      <w:sz w:val="28"/>
      <w:szCs w:val="28"/>
    </w:rPr>
  </w:style>
  <w:style w:type="paragraph" w:styleId="0000b2">
    <w:name w:val="toc 2"/>
    <w:basedOn w:val="000081"/>
    <w:next w:val="000081"/>
    <w:autoRedefine w:val="1"/>
    <w:uiPriority w:val="39"/>
    <w:unhideWhenUsed w:val="1"/>
    <w:qFormat w:val="1"/>
    <w:rsid w:val="00832000"/>
    <w:pPr>
      <w:widowControl w:val="1"/>
      <w:spacing w:after="100" w:line="259" w:lineRule="auto"/>
      <w:ind w:left="220"/>
      <w:jc w:val="left"/>
    </w:pPr>
    <w:rPr>
      <w:rFonts w:cs="Times New Roman"/>
      <w:kern w:val="0"/>
      <w:sz w:val="22"/>
    </w:rPr>
  </w:style>
  <w:style w:type="table" w:styleId="000095" w:default="1">
    <w:name w:val="Normal Table"/>
    <w:uiPriority w:val="99"/>
    <w:semiHidden w:val="1"/>
    <w:unhideWhenUsed w:val="1"/>
    <w:tblPr>
      <w:tblInd w:w="0" w:type="dxa"/>
      <w:tblCellMar>
        <w:top w:w="0" w:type="dxa"/>
        <w:left w:w="108" w:type="dxa"/>
        <w:bottom w:w="0" w:type="dxa"/>
        <w:right w:w="108" w:type="dxa"/>
      </w:tblCellMar>
    </w:tblPr>
  </w:style>
  <w:style w:type="character" w:styleId="000091" w:customStyle="1">
    <w:name w:val="标题 8 字符"/>
    <w:basedOn w:val="000094"/>
    <w:link w:val="000090"/>
    <w:uiPriority w:val="9"/>
    <w:semiHidden w:val="1"/>
    <w:qFormat w:val="1"/>
    <w:rPr>
      <w:rFonts w:cstheme="majorBidi"/>
      <w:color w:val="595959" w:themeColor="text1" w:themeTint="A6"/>
    </w:rPr>
  </w:style>
</w:styles>
</file>

<file path=word/_rels/document.xml.rels><?xml version="1.0" encoding="UTF-8" standalone="yes"?><Relationships xmlns="http://schemas.openxmlformats.org/package/2006/relationships"><Relationship Id="rId8" Type="http://schemas.openxmlformats.org/officeDocument/2006/relationships/header" Target="header2.xml" /><Relationship Id="rId7" Type="http://schemas.openxmlformats.org/officeDocument/2006/relationships/header" Target="header1.xml" /><Relationship Id="rId49" Type="http://schemas.openxmlformats.org/officeDocument/2006/relationships/image" Target="media/image35.png" /><Relationship Id="rId9" Type="http://schemas.openxmlformats.org/officeDocument/2006/relationships/header" Target="header3.xml" /><Relationship Id="rId48" Type="http://schemas.openxmlformats.org/officeDocument/2006/relationships/image" Target="media/image34.jpg" /><Relationship Id="rId47" Type="http://schemas.openxmlformats.org/officeDocument/2006/relationships/image" Target="media/image33.jpg" /><Relationship Id="rId45" Type="http://schemas.openxmlformats.org/officeDocument/2006/relationships/image" Target="media/image31.png" /><Relationship Id="rId44" Type="http://schemas.openxmlformats.org/officeDocument/2006/relationships/image" Target="media/image30.png" /><Relationship Id="rId5" Type="http://schemas.openxmlformats.org/officeDocument/2006/relationships/theme" Target="theme/theme1.xml" /><Relationship Id="rId43" Type="http://schemas.openxmlformats.org/officeDocument/2006/relationships/image" Target="media/image29.png" /><Relationship Id="rId42" Type="http://schemas.openxmlformats.org/officeDocument/2006/relationships/image" Target="media/image28.png" /><Relationship Id="rId41" Type="http://schemas.openxmlformats.org/officeDocument/2006/relationships/image" Target="media/image27.png" /><Relationship Id="rId22" Type="http://schemas.openxmlformats.org/officeDocument/2006/relationships/image" Target="media/image8.png" /><Relationship Id="rId21" Type="http://schemas.openxmlformats.org/officeDocument/2006/relationships/image" Target="media/image7.png" /><Relationship Id="rId18" Type="http://schemas.openxmlformats.org/officeDocument/2006/relationships/image" Target="media/image4.png" /><Relationship Id="rId46" Type="http://schemas.openxmlformats.org/officeDocument/2006/relationships/image" Target="media/image32.jpg" /><Relationship Id="rId32" Type="http://schemas.openxmlformats.org/officeDocument/2006/relationships/image" Target="media/image18.jpg" /><Relationship Id="rId20" Type="http://schemas.openxmlformats.org/officeDocument/2006/relationships/image" Target="media/image6.png" /><Relationship Id="rId0" Type="http://schemas.openxmlformats.org/officeDocument/2006/relationships/styles" Target="styles.xml" /><Relationship Id="rId6" Type="http://schemas.openxmlformats.org/officeDocument/2006/relationships/numbering" Target="numbering.xml" /><Relationship Id="rId17" Type="http://schemas.openxmlformats.org/officeDocument/2006/relationships/image" Target="media/image3.png" /><Relationship Id="rId1" Type="http://schemas.openxmlformats.org/officeDocument/2006/relationships/settings" Target="settings.xml" /><Relationship Id="rId16" Type="http://schemas.openxmlformats.org/officeDocument/2006/relationships/image" Target="media/image2.png" /><Relationship Id="rId25" Type="http://schemas.openxmlformats.org/officeDocument/2006/relationships/image" Target="media/image11.jpg" /><Relationship Id="rId15" Type="http://schemas.openxmlformats.org/officeDocument/2006/relationships/image" Target="media/image1.png" /><Relationship Id="rId33" Type="http://schemas.openxmlformats.org/officeDocument/2006/relationships/image" Target="media/image19.jpg" /><Relationship Id="rId10" Type="http://schemas.openxmlformats.org/officeDocument/2006/relationships/footer" Target="footer1.xml" /><Relationship Id="rId30" Type="http://schemas.openxmlformats.org/officeDocument/2006/relationships/image" Target="media/image16.jpg" /><Relationship Id="rId23" Type="http://schemas.openxmlformats.org/officeDocument/2006/relationships/image" Target="media/image9.png" /><Relationship Id="rId12" Type="http://schemas.openxmlformats.org/officeDocument/2006/relationships/footer" Target="footer3.xml" /><Relationship Id="rId14" Type="http://schemas.openxmlformats.org/officeDocument/2006/relationships/footer" Target="footer5.xml" /><Relationship Id="rId26" Type="http://schemas.openxmlformats.org/officeDocument/2006/relationships/image" Target="media/image12.jpg" /><Relationship Id="rId13" Type="http://schemas.openxmlformats.org/officeDocument/2006/relationships/footer" Target="footer4.xml" /><Relationship Id="rId24" Type="http://schemas.openxmlformats.org/officeDocument/2006/relationships/image" Target="media/image10.png" /><Relationship Id="rId50" Type="http://schemas.openxmlformats.org/officeDocument/2006/relationships/image" Target="media/image36.png" /><Relationship Id="rId40" Type="http://schemas.openxmlformats.org/officeDocument/2006/relationships/image" Target="media/image26.png" /><Relationship Id="rId19" Type="http://schemas.openxmlformats.org/officeDocument/2006/relationships/image" Target="media/image5.png" /><Relationship Id="rId27" Type="http://schemas.openxmlformats.org/officeDocument/2006/relationships/image" Target="media/image13.jpg" /><Relationship Id="rId28" Type="http://schemas.openxmlformats.org/officeDocument/2006/relationships/image" Target="media/image14.jpg" /><Relationship Id="rId29" Type="http://schemas.openxmlformats.org/officeDocument/2006/relationships/image" Target="media/image15.jpg" /><Relationship Id="rId3" Type="http://schemas.openxmlformats.org/officeDocument/2006/relationships/endnotes" Target="endnotes.xml" /><Relationship Id="rId31" Type="http://schemas.openxmlformats.org/officeDocument/2006/relationships/image" Target="media/image17.jpg" /><Relationship Id="rId34" Type="http://schemas.openxmlformats.org/officeDocument/2006/relationships/image" Target="media/image20.jpg" /><Relationship Id="rId35" Type="http://schemas.openxmlformats.org/officeDocument/2006/relationships/image" Target="media/image21.png" /><Relationship Id="rId11" Type="http://schemas.openxmlformats.org/officeDocument/2006/relationships/footer" Target="footer2.xml" /><Relationship Id="rId36" Type="http://schemas.openxmlformats.org/officeDocument/2006/relationships/image" Target="media/image22.png" /><Relationship Id="rId38" Type="http://schemas.openxmlformats.org/officeDocument/2006/relationships/image" Target="media/image24.png" /><Relationship Id="rId37" Type="http://schemas.openxmlformats.org/officeDocument/2006/relationships/image" Target="media/image23.png" /><Relationship Id="rId39" Type="http://schemas.openxmlformats.org/officeDocument/2006/relationships/image" Target="media/image25.png" /><Relationship Id="rId2" Type="http://schemas.openxmlformats.org/officeDocument/2006/relationships/footnotes" Target="footnotes.xml" /><Relationship Id="rId4" Type="http://schemas.openxmlformats.org/officeDocument/2006/relationships/fontTable" Target="fontTable.xml" /></Relationships>
</file>

<file path=word/_rels/header1.xml.rels><?xml version="1.0" encoding="UTF-8" standalone="yes"?><Relationships xmlns="http://schemas.openxmlformats.org/package/2006/relationships"><Relationship Id="rId0" Type="http://schemas.openxmlformats.org/officeDocument/2006/relationships/image" Target="media/image37.png" /></Relationships>
</file>

<file path=word/_rels/header2.xml.rels><?xml version="1.0" encoding="UTF-8" standalone="yes"?><Relationships xmlns="http://schemas.openxmlformats.org/package/2006/relationships"><Relationship Id="rId0" Type="http://schemas.openxmlformats.org/officeDocument/2006/relationships/image" Target="media/image37.png" /></Relationships>
</file>

<file path=word/_rels/header3.xml.rels><?xml version="1.0" encoding="UTF-8" standalone="yes"?><Relationships xmlns="http://schemas.openxmlformats.org/package/2006/relationships"><Relationship Id="rId0" Type="http://schemas.openxmlformats.org/officeDocument/2006/relationships/image" Target="media/image37.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2026-08-18T23:57:59Z</dcterms:created>
  <dcterms:modified xsi:type="dcterms:W3CDTF">2026-08-18T23:57:59Z</dcterms:modified>
</cp:coreProperties>
</file>