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t>Fostering a Culture of Operational Analytics</w:t>
      </w:r>
    </w:p>
    <w:p>
      <w:pPr>
        <w:pStyle w:val="Normal"/>
        <w:jc w:val="center"/>
        <w:rPr>
          <w:rFonts w:ascii="Times New Roman" w:hAnsi="Times New Roman"/>
          <w:sz w:val="24"/>
          <w:szCs w:val="24"/>
        </w:rPr>
      </w:pPr>
      <w:r>
        <w:rPr>
          <w:rFonts w:ascii="Times New Roman" w:hAnsi="Times New Roman"/>
          <w:sz w:val="24"/>
          <w:szCs w:val="24"/>
        </w:rPr>
        <w:t>IS415 – Informatics &amp; Analytics</w:t>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jc w:val="center"/>
        <w:rPr>
          <w:rFonts w:ascii="Times New Roman" w:hAnsi="Times New Roman"/>
          <w:sz w:val="24"/>
          <w:szCs w:val="24"/>
        </w:rPr>
      </w:pPr>
      <w:r>
        <w:rPr>
          <w:rFonts w:ascii="Times New Roman" w:hAnsi="Times New Roman"/>
          <w:sz w:val="24"/>
          <w:szCs w:val="24"/>
        </w:rPr>
        <w:t>Tracy Harvey</w:t>
      </w:r>
    </w:p>
    <w:p>
      <w:pPr>
        <w:pStyle w:val="Normal"/>
        <w:spacing w:lineRule="auto" w:line="480"/>
        <w:rPr>
          <w:rFonts w:ascii="Times New Roman" w:hAnsi="Times New Roman"/>
          <w:sz w:val="24"/>
          <w:szCs w:val="24"/>
        </w:rPr>
      </w:pPr>
      <w:r>
        <w:rPr>
          <w:rFonts w:ascii="Times New Roman" w:hAnsi="Times New Roman"/>
          <w:sz w:val="24"/>
          <w:szCs w:val="24"/>
        </w:rPr>
        <w:t xml:space="preserve">Introduction: </w:t>
      </w:r>
    </w:p>
    <w:p>
      <w:pPr>
        <w:pStyle w:val="Normal"/>
        <w:spacing w:lineRule="auto" w:line="480"/>
        <w:rPr>
          <w:rFonts w:ascii="Times New Roman" w:hAnsi="Times New Roman"/>
          <w:sz w:val="24"/>
          <w:szCs w:val="24"/>
        </w:rPr>
      </w:pPr>
      <w:r>
        <w:rPr>
          <w:rFonts w:ascii="Times New Roman" w:hAnsi="Times New Roman"/>
          <w:sz w:val="24"/>
          <w:szCs w:val="24"/>
        </w:rPr>
        <w:t>In the ever-changing field of help desk operations, where efficiency and customer satisfaction are critical, integrating operational analytics is not only a competitive advantage but also a must. The application of Frank's (2014) paradigm acts as a road map for the Chief Analytics Officer (CAO) tasked with leading this change and cultivating an operational analytics-embracing culture. This framework offers an organized method for maximizing the potential of data-driven decision-making in the help desk setting. It consists of four key components: a successful attitude, efficient policies, success facilitation, and handling failure.</w:t>
        <w:br/>
        <w:t xml:space="preserve">In this paper we will examine the tactical implementation of Frank's framework in help desk operations environment. Through the integration of analytical insights and customer support nuances, our goal is to support a culture in which every encounter serves as a platform for continuous optimization and enhancement. We want support desk agents to understand the trans-formative power of analytics as a group through the perspective of correct mindset. Strong policies are the cornerstone of this shift, guaranteeing the ethical and responsible use of data while preserving the security and privacy of customers. Moreover, we enable help desk teams to use analytics as a driver for operational excellence by supporting success via resource allocation and cross-functional cooperation. We cultivate a culture of resilience and continual improvement by accepting failure as a necessary step toward innovation and viewing setbacks as instructive rather than discouraging experiences. </w:t>
      </w:r>
    </w:p>
    <w:p>
      <w:pPr>
        <w:pStyle w:val="Normal"/>
        <w:spacing w:lineRule="auto" w:line="480"/>
        <w:rPr>
          <w:rFonts w:ascii="Times New Roman" w:hAnsi="Times New Roman"/>
          <w:sz w:val="24"/>
          <w:szCs w:val="24"/>
        </w:rPr>
      </w:pPr>
      <w:r>
        <w:rPr>
          <w:rFonts w:ascii="Times New Roman" w:hAnsi="Times New Roman"/>
          <w:sz w:val="24"/>
          <w:szCs w:val="24"/>
        </w:rPr>
        <w:t xml:space="preserve">In the pages that follow, we provide a process for putting Frank's philosophy into practice in a help desk setting. By embracing an all-encompassing strategy, we hope to transform help desk operations into a model of excellence, with analytics acting as the foundation for both customer satisfaction and service delivery. </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 xml:space="preserve">Proper Mindset: </w:t>
      </w:r>
    </w:p>
    <w:p>
      <w:pPr>
        <w:pStyle w:val="Normal"/>
        <w:spacing w:lineRule="auto" w:line="480"/>
        <w:rPr>
          <w:rFonts w:ascii="Times New Roman" w:hAnsi="Times New Roman"/>
          <w:sz w:val="24"/>
          <w:szCs w:val="24"/>
        </w:rPr>
      </w:pPr>
      <w:r>
        <w:rPr>
          <w:rFonts w:ascii="Times New Roman" w:hAnsi="Times New Roman"/>
          <w:sz w:val="24"/>
          <w:szCs w:val="24"/>
        </w:rPr>
        <w:t xml:space="preserve">Developing the right mentality in a help desk setting entails highlighting the significance of data-driven decision-making in swiftly and successfully resolving client difficulties. To show help desk employees how analytics may be used to spot typical problems, anticipate client demands, and allocate resources optimally, I would set up training sessions. It would be crucial to support agents' analytical thinking and provide them the tools they need to use data insights in their regular client encounters. </w:t>
      </w:r>
    </w:p>
    <w:p>
      <w:pPr>
        <w:pStyle w:val="Normal"/>
        <w:spacing w:lineRule="auto" w:line="480"/>
        <w:rPr>
          <w:rFonts w:ascii="Times New Roman" w:hAnsi="Times New Roman"/>
          <w:sz w:val="24"/>
          <w:szCs w:val="24"/>
        </w:rPr>
      </w:pPr>
      <w:r>
        <w:rPr>
          <w:rFonts w:ascii="Times New Roman" w:hAnsi="Times New Roman"/>
          <w:sz w:val="24"/>
          <w:szCs w:val="24"/>
        </w:rPr>
        <w:t>Effective Policies:</w:t>
      </w:r>
    </w:p>
    <w:p>
      <w:pPr>
        <w:pStyle w:val="Normal"/>
        <w:spacing w:lineRule="auto" w:line="480"/>
        <w:rPr>
          <w:rFonts w:ascii="Times New Roman" w:hAnsi="Times New Roman"/>
          <w:sz w:val="24"/>
          <w:szCs w:val="24"/>
        </w:rPr>
      </w:pPr>
      <w:r>
        <w:rPr>
          <w:rFonts w:ascii="Times New Roman" w:hAnsi="Times New Roman"/>
          <w:sz w:val="24"/>
          <w:szCs w:val="24"/>
        </w:rPr>
        <w:t xml:space="preserve">In order to guarantee data integrity, privacy, and security in help desk operations, proper policies must be established. This entails establishing policies for the responsible use of analytics tools and technology, as well as methods for obtaining and managing consumer data. Furthermore, it is imperative to establish clear protocols for recording and disseminating analytics-derived insights to promote knowledge sharing and teamwork among help desk representatives. </w:t>
      </w:r>
    </w:p>
    <w:p>
      <w:pPr>
        <w:pStyle w:val="Normal"/>
        <w:spacing w:lineRule="auto" w:line="480"/>
        <w:rPr>
          <w:rFonts w:ascii="Times New Roman" w:hAnsi="Times New Roman"/>
          <w:sz w:val="24"/>
          <w:szCs w:val="24"/>
        </w:rPr>
      </w:pPr>
      <w:r>
        <w:rPr>
          <w:rFonts w:ascii="Times New Roman" w:hAnsi="Times New Roman"/>
          <w:sz w:val="24"/>
          <w:szCs w:val="24"/>
        </w:rPr>
        <w:t>Facilitation of Success:</w:t>
      </w:r>
    </w:p>
    <w:p>
      <w:pPr>
        <w:pStyle w:val="Normal"/>
        <w:spacing w:lineRule="auto" w:line="480"/>
        <w:rPr>
          <w:rFonts w:ascii="Times New Roman" w:hAnsi="Times New Roman"/>
          <w:sz w:val="24"/>
          <w:szCs w:val="24"/>
        </w:rPr>
      </w:pPr>
      <w:r>
        <w:rPr>
          <w:rFonts w:ascii="Times New Roman" w:hAnsi="Times New Roman"/>
          <w:sz w:val="24"/>
          <w:szCs w:val="24"/>
        </w:rPr>
        <w:t xml:space="preserve">Enabling the help desk environment with the right resources and support systems is essential for operational analytics to succeed. To record and examine client contacts, this can entail making an investment in a help desk analytics platform that interfaces with current ticketing systems. In addition, the establishment of cross-functional teams composed of IT specialists, help desk agents, and data analysts can promote cooperation in recognizing opportunities for process enhancement and executing data-driven resolutions. </w:t>
      </w:r>
    </w:p>
    <w:p>
      <w:pPr>
        <w:pStyle w:val="Normal"/>
        <w:spacing w:lineRule="auto" w:line="480"/>
        <w:rPr>
          <w:rFonts w:ascii="Times New Roman" w:hAnsi="Times New Roman"/>
          <w:sz w:val="24"/>
          <w:szCs w:val="24"/>
        </w:rPr>
      </w:pPr>
      <w:r>
        <w:rPr>
          <w:rFonts w:ascii="Times New Roman" w:hAnsi="Times New Roman"/>
          <w:sz w:val="24"/>
          <w:szCs w:val="24"/>
        </w:rPr>
        <w:t>Enabling and Handling Failure:</w:t>
      </w:r>
    </w:p>
    <w:p>
      <w:pPr>
        <w:pStyle w:val="Normal"/>
        <w:spacing w:lineRule="auto" w:line="480"/>
        <w:rPr>
          <w:rFonts w:ascii="Times New Roman" w:hAnsi="Times New Roman"/>
          <w:sz w:val="24"/>
          <w:szCs w:val="24"/>
        </w:rPr>
      </w:pPr>
      <w:r>
        <w:rPr>
          <w:rFonts w:ascii="Times New Roman" w:hAnsi="Times New Roman"/>
          <w:sz w:val="24"/>
          <w:szCs w:val="24"/>
        </w:rPr>
        <w:t xml:space="preserve">It's crucial to accept failure as a teaching opportunity in a dynamic help desk setting where problems might and probably will crop up at any time. Fostering an environment of experimentation and creativity, wherein agents are enabled to explore novel approaches and resolutions, can provide significant discoveries for enhancing the quality of service provision. Post-failure evaluations of failed interactions or unresolved problems can also be used to find the root causes and guide future initiatives to improve the efficiency of customer assistance. </w:t>
      </w:r>
    </w:p>
    <w:p>
      <w:pPr>
        <w:pStyle w:val="Normal"/>
        <w:spacing w:lineRule="auto" w:line="480" w:before="0" w:after="160"/>
        <w:rPr>
          <w:rFonts w:ascii="Times New Roman" w:hAnsi="Times New Roman"/>
          <w:sz w:val="24"/>
          <w:szCs w:val="24"/>
        </w:rPr>
      </w:pPr>
      <w:r>
        <w:rPr>
          <w:rFonts w:ascii="Times New Roman" w:hAnsi="Times New Roman"/>
          <w:sz w:val="24"/>
          <w:szCs w:val="24"/>
        </w:rPr>
        <w:t xml:space="preserve">In conclusion, we can foster an operational analytics-embracing culture within help desk operations by putting Frank's methodology into practice. This will allow desk agents to use data-driven insights to provide outstanding customer support. </w:t>
      </w:r>
    </w:p>
    <w:p>
      <w:pPr>
        <w:pStyle w:val="Normal"/>
        <w:spacing w:lineRule="auto" w:line="480" w:before="0" w:after="160"/>
        <w:rPr>
          <w:rFonts w:ascii="Times New Roman" w:hAnsi="Times New Roman"/>
          <w:sz w:val="24"/>
          <w:szCs w:val="24"/>
        </w:rPr>
      </w:pPr>
      <w:r>
        <w:rPr>
          <w:rFonts w:ascii="Times New Roman" w:hAnsi="Times New Roman"/>
          <w:sz w:val="24"/>
          <w:szCs w:val="24"/>
        </w:rPr>
      </w:r>
    </w:p>
    <w:p>
      <w:pPr>
        <w:pStyle w:val="Normal"/>
        <w:spacing w:lineRule="auto" w:line="480" w:before="0" w:after="160"/>
        <w:rPr>
          <w:rFonts w:ascii="Times New Roman" w:hAnsi="Times New Roman"/>
          <w:sz w:val="24"/>
          <w:szCs w:val="24"/>
        </w:rPr>
      </w:pPr>
      <w:r>
        <w:rPr>
          <w:rFonts w:ascii="Times New Roman" w:hAnsi="Times New Roman"/>
          <w:sz w:val="24"/>
          <w:szCs w:val="24"/>
        </w:rPr>
      </w:r>
    </w:p>
    <w:p>
      <w:pPr>
        <w:pStyle w:val="Normal"/>
        <w:spacing w:lineRule="auto" w:line="480" w:before="0" w:after="160"/>
        <w:rPr>
          <w:rFonts w:ascii="Times New Roman" w:hAnsi="Times New Roman"/>
          <w:sz w:val="24"/>
          <w:szCs w:val="24"/>
        </w:rPr>
      </w:pPr>
      <w:r>
        <w:rPr>
          <w:rFonts w:ascii="Times New Roman" w:hAnsi="Times New Roman"/>
          <w:sz w:val="24"/>
          <w:szCs w:val="24"/>
        </w:rPr>
      </w:r>
    </w:p>
    <w:p>
      <w:pPr>
        <w:pStyle w:val="Normal"/>
        <w:spacing w:lineRule="auto" w:line="480" w:before="0" w:after="160"/>
        <w:rPr>
          <w:rFonts w:ascii="Times New Roman" w:hAnsi="Times New Roman"/>
          <w:sz w:val="24"/>
          <w:szCs w:val="24"/>
        </w:rPr>
      </w:pPr>
      <w:r>
        <w:rPr>
          <w:rFonts w:ascii="Times New Roman" w:hAnsi="Times New Roman"/>
          <w:sz w:val="24"/>
          <w:szCs w:val="24"/>
        </w:rPr>
      </w:r>
    </w:p>
    <w:p>
      <w:pPr>
        <w:pStyle w:val="Normal"/>
        <w:spacing w:lineRule="auto" w:line="480" w:before="0" w:after="160"/>
        <w:rPr>
          <w:rFonts w:ascii="Times New Roman" w:hAnsi="Times New Roman"/>
          <w:sz w:val="24"/>
          <w:szCs w:val="24"/>
        </w:rPr>
      </w:pPr>
      <w:r>
        <w:rPr>
          <w:rFonts w:ascii="Times New Roman" w:hAnsi="Times New Roman"/>
          <w:sz w:val="24"/>
          <w:szCs w:val="24"/>
        </w:rPr>
      </w:r>
    </w:p>
    <w:p>
      <w:pPr>
        <w:pStyle w:val="Normal"/>
        <w:spacing w:lineRule="auto" w:line="480" w:before="0" w:after="160"/>
        <w:rPr>
          <w:rFonts w:ascii="Times New Roman" w:hAnsi="Times New Roman"/>
          <w:sz w:val="24"/>
          <w:szCs w:val="24"/>
        </w:rPr>
      </w:pPr>
      <w:r>
        <w:rPr>
          <w:rFonts w:ascii="Times New Roman" w:hAnsi="Times New Roman"/>
          <w:sz w:val="24"/>
          <w:szCs w:val="24"/>
        </w:rPr>
      </w:r>
    </w:p>
    <w:p>
      <w:pPr>
        <w:pStyle w:val="Normal"/>
        <w:spacing w:lineRule="auto" w:line="480" w:before="0" w:after="160"/>
        <w:rPr>
          <w:rFonts w:ascii="Times New Roman" w:hAnsi="Times New Roman"/>
          <w:sz w:val="24"/>
          <w:szCs w:val="24"/>
        </w:rPr>
      </w:pPr>
      <w:r>
        <w:rPr>
          <w:rFonts w:ascii="Times New Roman" w:hAnsi="Times New Roman"/>
          <w:sz w:val="24"/>
          <w:szCs w:val="24"/>
        </w:rPr>
      </w:r>
    </w:p>
    <w:p>
      <w:pPr>
        <w:pStyle w:val="Normal"/>
        <w:spacing w:lineRule="auto" w:line="480" w:before="0" w:after="160"/>
        <w:rPr>
          <w:rFonts w:ascii="Times New Roman" w:hAnsi="Times New Roman"/>
          <w:sz w:val="24"/>
          <w:szCs w:val="24"/>
        </w:rPr>
      </w:pPr>
      <w:r>
        <w:rPr>
          <w:rFonts w:ascii="Times New Roman" w:hAnsi="Times New Roman"/>
          <w:sz w:val="24"/>
          <w:szCs w:val="24"/>
        </w:rPr>
      </w:r>
    </w:p>
    <w:p>
      <w:pPr>
        <w:pStyle w:val="Normal"/>
        <w:spacing w:lineRule="auto" w:line="480" w:before="0" w:after="160"/>
        <w:rPr>
          <w:rFonts w:ascii="Times New Roman" w:hAnsi="Times New Roman"/>
          <w:sz w:val="24"/>
          <w:szCs w:val="24"/>
        </w:rPr>
      </w:pPr>
      <w:r>
        <w:rPr>
          <w:rFonts w:ascii="Times New Roman" w:hAnsi="Times New Roman"/>
          <w:sz w:val="24"/>
          <w:szCs w:val="24"/>
        </w:rPr>
      </w:r>
    </w:p>
    <w:p>
      <w:pPr>
        <w:pStyle w:val="Normal"/>
        <w:spacing w:lineRule="auto" w:line="480" w:before="0" w:after="160"/>
        <w:jc w:val="center"/>
        <w:rPr>
          <w:rFonts w:ascii="Times New Roman" w:hAnsi="Times New Roman"/>
          <w:b/>
          <w:b/>
          <w:bCs/>
          <w:sz w:val="24"/>
          <w:szCs w:val="24"/>
          <w:u w:val="none"/>
        </w:rPr>
      </w:pPr>
      <w:r>
        <w:rPr>
          <w:rFonts w:ascii="Times New Roman" w:hAnsi="Times New Roman"/>
          <w:b/>
          <w:bCs/>
          <w:sz w:val="24"/>
          <w:szCs w:val="24"/>
          <w:u w:val="none"/>
        </w:rPr>
        <w:t xml:space="preserve">References: </w:t>
      </w:r>
    </w:p>
    <w:p>
      <w:pPr>
        <w:pStyle w:val="TextBody"/>
        <w:spacing w:lineRule="auto" w:line="480" w:before="0" w:after="160"/>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Franks, B. (2014). </w:t>
      </w:r>
      <w:r>
        <w:rPr>
          <w:rFonts w:ascii="Times New Roman" w:hAnsi="Times New Roman"/>
          <w:b w:val="false"/>
          <w:bCs w:val="false"/>
          <w:i/>
          <w:sz w:val="24"/>
          <w:szCs w:val="24"/>
          <w:u w:val="none"/>
        </w:rPr>
        <w:t>The Analytics Revolution: How to improve your business by making analytics operational in the Big Data Era</w:t>
      </w:r>
      <w:r>
        <w:rPr>
          <w:rFonts w:ascii="Times New Roman" w:hAnsi="Times New Roman"/>
          <w:b w:val="false"/>
          <w:bCs w:val="false"/>
          <w:sz w:val="24"/>
          <w:szCs w:val="24"/>
          <w:u w:val="none"/>
        </w:rPr>
        <w:t xml:space="preserve">. Wiley. </w:t>
      </w:r>
    </w:p>
    <w:p>
      <w:pPr>
        <w:pStyle w:val="Normal"/>
        <w:spacing w:lineRule="auto" w:line="480" w:before="0" w:after="160"/>
        <w:jc w:val="center"/>
        <w:rPr>
          <w:rFonts w:ascii="Times New Roman" w:hAnsi="Times New Roman"/>
          <w:b/>
          <w:b/>
          <w:bCs/>
          <w:sz w:val="24"/>
          <w:szCs w:val="24"/>
          <w:u w:val="none"/>
        </w:rPr>
      </w:pPr>
      <w:r>
        <w:rPr>
          <w:rFonts w:ascii="Times New Roman" w:hAnsi="Times New Roman"/>
          <w:b/>
          <w:bCs/>
          <w:sz w:val="24"/>
          <w:szCs w:val="24"/>
          <w:u w:val="none"/>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407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14407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14407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14407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14407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14407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14407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14407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14407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407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14407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14407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14407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14407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14407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14407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14407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14407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14407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407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144072"/>
    <w:rPr>
      <w:i/>
      <w:iCs/>
      <w:color w:val="404040" w:themeColor="text1" w:themeTint="bf"/>
    </w:rPr>
  </w:style>
  <w:style w:type="character" w:styleId="IntenseEmphasis">
    <w:name w:val="Intense Emphasis"/>
    <w:basedOn w:val="DefaultParagraphFont"/>
    <w:uiPriority w:val="21"/>
    <w:qFormat/>
    <w:rsid w:val="00144072"/>
    <w:rPr>
      <w:i/>
      <w:iCs/>
      <w:color w:val="0F4761" w:themeColor="accent1" w:themeShade="bf"/>
    </w:rPr>
  </w:style>
  <w:style w:type="character" w:styleId="IntenseQuoteChar" w:customStyle="1">
    <w:name w:val="Intense Quote Char"/>
    <w:basedOn w:val="DefaultParagraphFont"/>
    <w:link w:val="IntenseQuote"/>
    <w:uiPriority w:val="30"/>
    <w:qFormat/>
    <w:rsid w:val="00144072"/>
    <w:rPr>
      <w:i/>
      <w:iCs/>
      <w:color w:val="0F4761" w:themeColor="accent1" w:themeShade="bf"/>
    </w:rPr>
  </w:style>
  <w:style w:type="character" w:styleId="IntenseReference">
    <w:name w:val="Intense Reference"/>
    <w:basedOn w:val="DefaultParagraphFont"/>
    <w:uiPriority w:val="32"/>
    <w:qFormat/>
    <w:rsid w:val="00144072"/>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rsid w:val="0014407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4407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144072"/>
    <w:pPr>
      <w:spacing w:before="160" w:after="160"/>
      <w:jc w:val="center"/>
    </w:pPr>
    <w:rPr>
      <w:i/>
      <w:iCs/>
      <w:color w:val="404040" w:themeColor="text1" w:themeTint="bf"/>
    </w:rPr>
  </w:style>
  <w:style w:type="paragraph" w:styleId="ListParagraph">
    <w:name w:val="List Paragraph"/>
    <w:basedOn w:val="Normal"/>
    <w:uiPriority w:val="34"/>
    <w:qFormat/>
    <w:rsid w:val="00144072"/>
    <w:pPr>
      <w:spacing w:before="0" w:after="160"/>
      <w:ind w:left="720" w:hanging="0"/>
      <w:contextualSpacing/>
    </w:pPr>
    <w:rPr/>
  </w:style>
  <w:style w:type="paragraph" w:styleId="IntenseQuote">
    <w:name w:val="Intense Quote"/>
    <w:basedOn w:val="Normal"/>
    <w:next w:val="Normal"/>
    <w:link w:val="IntenseQuoteChar"/>
    <w:uiPriority w:val="30"/>
    <w:qFormat/>
    <w:rsid w:val="0014407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LibreOffice/7.3.4.2$Windows_X86_64 LibreOffice_project/728fec16bd5f605073805c3c9e7c4212a0120dc5</Application>
  <AppVersion>15.0000</AppVersion>
  <Pages>5</Pages>
  <Words>657</Words>
  <Characters>3930</Characters>
  <CharactersWithSpaces>4582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2024-03-02T22:50:00Z</dcterms:created>
  <dc:creator>Tracy Harvey</dc:creator>
  <dc:description/>
  <dc:language>en-US</dc:language>
  <cp:lastModifiedBy/>
  <dcterms:modified xsi:type="dcterms:W3CDTF">2024-03-02T16:03:26Z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