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rPr>
          <w:b/>
        </w:rPr>
        <w:t>BizTalk 2016 → Azure Integration Services migration for Melbourne Water</w:t>
      </w:r>
      <w:r/>
    </w:p>
    <w:p>
      <w:r/>
      <w:r>
        <w:rPr>
          <w:b/>
        </w:rPr>
        <w:t>Specifications</w:t>
      </w:r>
      <w:r/>
    </w:p>
    <w:p>
      <w:r/>
      <w:r>
        <w:rPr>
          <w:b/>
        </w:rPr>
        <w:t>Scope</w:t>
      </w:r>
      <w:r/>
    </w:p>
    <w:p>
      <w:r/>
      <w:r>
        <w:t>~55 in-scope BizTalk integrations across 18 application groups</w:t>
      </w:r>
      <w:r/>
    </w:p>
    <w:p>
      <w:r/>
      <w:r>
        <w:rPr>
          <w:b/>
        </w:rPr>
        <w:t>Excluded</w:t>
      </w:r>
      <w:r/>
    </w:p>
    <w:p>
      <w:r/>
      <w:r>
        <w:t>13-WaterWorks (CGI-managed), 18-BizTalk system apps (decom only), 20-Flash Flood (retire)</w:t>
      </w:r>
      <w:r/>
    </w:p>
    <w:p>
      <w:r/>
      <w:r>
        <w:rPr>
          <w:b/>
        </w:rPr>
        <w:t>Approach</w:t>
      </w:r>
      <w:r/>
    </w:p>
    <w:p>
      <w:r/>
      <w:r>
        <w:t>3 waves: pattern templates → bulk migration → complex rewrites + decommission</w:t>
      </w:r>
      <w:r/>
    </w:p>
    <w:p>
      <w:r/>
      <w:r>
        <w:rPr>
          <w:b/>
        </w:rPr>
        <w:t>Platform</w:t>
      </w:r>
      <w:r/>
    </w:p>
    <w:p>
      <w:r/>
      <w:r>
        <w:t>Logic Apps Standard, APIM (existing), Service Bus Premium, Function Apps, Key Vault, Data Factory, Storage — built on MW’s existing AVM Bicep + CI/CD patterns</w:t>
      </w:r>
      <w:r/>
    </w:p>
    <w:p>
      <w:r/>
      <w:r>
        <w:rPr>
          <w:b/>
        </w:rPr>
        <w:t>Hard deadline</w:t>
      </w:r>
      <w:r/>
    </w:p>
    <w:p>
      <w:r/>
      <w:r>
        <w:t>BizTalk 2016 EOL Jan 2027 (end of support)</w:t>
      </w:r>
      <w:r/>
    </w:p>
    <w:p>
      <w:r/>
      <w:r>
        <w:rPr>
          <w:b/>
        </w:rPr>
        <w:t>Recommended start</w:t>
      </w:r>
      <w:r/>
    </w:p>
    <w:p>
      <w:r/>
      <w:r>
        <w:t>Mid-2026</w:t>
      </w:r>
      <w:r/>
    </w:p>
    <w:p>
      <w:r/>
      <w:r>
        <w:rPr>
          <w:b/>
        </w:rPr>
        <w:t>Recommended team</w:t>
      </w:r>
      <w:r/>
    </w:p>
    <w:p>
      <w:r/>
      <w:r>
        <w:t>2 in-house DevOps engineers (strong Azure + Python + .NET)</w:t>
      </w:r>
      <w:r/>
    </w:p>
    <w:p>
      <w:r/>
      <w:r>
        <w:rPr>
          <w:b/>
        </w:rPr>
        <w:t>Background</w:t>
      </w:r>
      <w:r/>
    </w:p>
    <w:p>
      <w:r/>
      <w:r>
        <w:t>Melbourne Water operates approximately 55 BizTalk 2016 integrations across 18 application groups, connecting enterprise systems including TechOne, Pega, SAP, and a range of on-premises and cloud-hosted operational data sources. BizTalk 2016 reaches end of support in January 2027, creating a hard deadline for migration to a modern, supportable platform.</w:t>
      </w:r>
      <w:r/>
    </w:p>
    <w:p>
      <w:r/>
      <w:r>
        <w:t>The target platform is Logic Apps Standard for orchestration, Azure API Management for inbound and outbound API governance, Service Bus Premium for reliable async messaging, Function Apps for custom transforms and adapters, and Azure Data Factory for bulk data movement. All infrastructure is delivered as Bicep via Melbourne Water’s existing AVM patterns and Azure DevOps CI/CD pipelines. Key Vault and managed identity are used throughout — no stored credentials.</w:t>
      </w:r>
      <w:r/>
    </w:p>
    <w:p>
      <w:r/>
      <w:r>
        <w:t>The migration is structured in three waves. Wave 1 establishes reusable pattern templates and validates the approach with three pilot integrations. Wave 2 executes the bulk of simple, standard, and complex migrations using those templates. Wave 3 tackles very complex rewrites and decommissions the BizTalk environment. Thirteen WaterWorks integrations (CGI-managed), BizTalk system apps, and the Flash Flood integration are excluded from scope.</w:t>
      </w:r>
      <w:r/>
    </w:p>
    <w:p>
      <w:r/>
      <w:r>
        <w:rPr>
          <w:b/>
        </w:rPr>
        <w:t>Scope of Works</w:t>
      </w:r>
      <w:r/>
    </w:p>
    <w:p>
      <w:r/>
      <w:r>
        <w:t>The scope of this project includes:</w:t>
      </w:r>
      <w:r/>
      <w:r/>
    </w:p>
    <w:p>
      <w:pPr>
        <w:pStyle w:val="ListBullet"/>
        <w:spacing w:line="240" w:lineRule="auto"/>
        <w:ind w:left="720"/>
      </w:pPr>
      <w:r/>
      <w:r>
        <w:rPr>
          <w:b/>
        </w:rPr>
        <w:t>Discovery and Interface Analysis</w:t>
      </w:r>
      <w:r>
        <w:t xml:space="preserve"> of all 55 in-scope BizTalk integrations using aimbiztalk and BizTalk Documenter tooling to validate message schemas, maps, adapters, orchestrations, and receive/send port configurations.</w:t>
      </w:r>
      <w:r/>
    </w:p>
    <w:p>
      <w:pPr>
        <w:pStyle w:val="ListBullet"/>
        <w:spacing w:line="240" w:lineRule="auto"/>
        <w:ind w:left="720"/>
      </w:pPr>
      <w:r/>
      <w:r>
        <w:rPr>
          <w:b/>
        </w:rPr>
        <w:t>Pattern Classification</w:t>
      </w:r>
      <w:r>
        <w:t xml:space="preserve"> of each integration into complexity buckets, with documented rationale and a migration approach per integration.</w:t>
      </w:r>
      <w:r/>
    </w:p>
    <w:p>
      <w:pPr>
        <w:pStyle w:val="ListBullet"/>
        <w:spacing w:line="240" w:lineRule="auto"/>
        <w:ind w:left="720"/>
      </w:pPr>
      <w:r/>
      <w:r>
        <w:rPr>
          <w:b/>
        </w:rPr>
        <w:t>Platform and Infrastructure Setup</w:t>
      </w:r>
      <w:r>
        <w:t xml:space="preserve"> — Bicep modules for Logic Apps Standard, Service Bus Premium, APIM policy updates, Function Apps, Data Factory, Key Vault, and associated networking across Dev, Test, UAT, Production, and DR environments.</w:t>
      </w:r>
      <w:r/>
    </w:p>
    <w:p>
      <w:pPr>
        <w:pStyle w:val="ListBullet"/>
        <w:spacing w:line="240" w:lineRule="auto"/>
        <w:ind w:left="720"/>
      </w:pPr>
      <w:r/>
      <w:r>
        <w:rPr>
          <w:b/>
        </w:rPr>
        <w:t>Wave 1 — Pattern Templates and Pilot Migrations</w:t>
      </w:r>
      <w:r>
        <w:t xml:space="preserve"> — build reusable Logic Apps and Function App templates for each complexity pattern and validate with three pilot integrations end-to-end, including cutover and parallel run.</w:t>
      </w:r>
      <w:r/>
    </w:p>
    <w:p>
      <w:pPr>
        <w:pStyle w:val="ListBullet"/>
        <w:spacing w:line="240" w:lineRule="auto"/>
        <w:ind w:left="720"/>
      </w:pPr>
      <w:r/>
      <w:r>
        <w:rPr>
          <w:b/>
        </w:rPr>
        <w:t>Wave 2 — Bulk Migration</w:t>
      </w:r>
      <w:r>
        <w:t xml:space="preserve"> of simple, standard, and complex integrations using Wave 1 templates; includes per-integration build, test, and cutover execution.</w:t>
      </w:r>
      <w:r/>
    </w:p>
    <w:p>
      <w:pPr>
        <w:pStyle w:val="ListBullet"/>
        <w:spacing w:line="240" w:lineRule="auto"/>
        <w:ind w:left="720"/>
      </w:pPr>
      <w:r/>
      <w:r>
        <w:rPr>
          <w:b/>
        </w:rPr>
        <w:t>Wave 3 — Very Complex Rewrites</w:t>
      </w:r>
      <w:r>
        <w:t xml:space="preserve"> of the highest-complexity integrations (stateful orchestrations, custom adapters, multi-system correlation); includes extended parallel-run periods.</w:t>
      </w:r>
      <w:r/>
    </w:p>
    <w:p>
      <w:pPr>
        <w:pStyle w:val="ListBullet"/>
        <w:spacing w:line="240" w:lineRule="auto"/>
        <w:ind w:left="720"/>
      </w:pPr>
      <w:r/>
      <w:r>
        <w:rPr>
          <w:b/>
        </w:rPr>
        <w:t>Cutover and Parallel-Run Operations</w:t>
      </w:r>
      <w:r>
        <w:t xml:space="preserve"> — coordinated cutover execution per integration, parallel monitoring windows, and rollback procedures.</w:t>
      </w:r>
      <w:r/>
    </w:p>
    <w:p>
      <w:pPr>
        <w:pStyle w:val="ListBullet"/>
        <w:spacing w:line="240" w:lineRule="auto"/>
        <w:ind w:left="720"/>
      </w:pPr>
      <w:r/>
      <w:r>
        <w:rPr>
          <w:b/>
        </w:rPr>
        <w:t>BizTalk Decommission</w:t>
      </w:r>
      <w:r>
        <w:t xml:space="preserve"> — retire BizTalk applications, remove receive/send ports, and clean up on-premises infrastructure following final cutover.</w:t>
      </w:r>
      <w:r/>
    </w:p>
    <w:p>
      <w:pPr>
        <w:pStyle w:val="ListBullet"/>
        <w:spacing w:line="240" w:lineRule="auto"/>
        <w:ind w:left="720"/>
      </w:pPr>
      <w:r/>
      <w:r>
        <w:rPr>
          <w:b/>
        </w:rPr>
        <w:t>CI/CD Pipelines</w:t>
      </w:r>
      <w:r>
        <w:t xml:space="preserve"> for all Logic Apps, Function Apps, and Bicep infrastructure across all environments using managed identity — no stored service principal secrets.</w:t>
      </w:r>
      <w:r/>
    </w:p>
    <w:p>
      <w:pPr>
        <w:pStyle w:val="ListBullet"/>
        <w:spacing w:line="240" w:lineRule="auto"/>
        <w:ind w:left="720"/>
      </w:pPr>
      <w:r/>
      <w:r>
        <w:rPr>
          <w:b/>
        </w:rPr>
        <w:t>Validation and Testing</w:t>
      </w:r>
      <w:r>
        <w:t xml:space="preserve"> including integration-level smoke tests, end-to-end regression, and sign-off from application owners.</w:t>
      </w:r>
      <w:r/>
    </w:p>
    <w:p>
      <w:pPr>
        <w:pStyle w:val="ListBullet"/>
        <w:spacing w:line="240" w:lineRule="auto"/>
        <w:ind w:left="720"/>
      </w:pPr>
      <w:r/>
      <w:r>
        <w:rPr>
          <w:b/>
        </w:rPr>
        <w:t>Knowledge Transfer and Documentation</w:t>
      </w:r>
      <w:r>
        <w:t xml:space="preserve"> — runbooks, architecture decision records, and pipeline documentation for the AIS team.</w:t>
      </w:r>
      <w:r/>
      <w:r/>
    </w:p>
    <w:p>
      <w:r/>
      <w:r>
        <w:rPr>
          <w:b/>
        </w:rPr>
        <w:t>Effort shown is DevOps engineering effort only</w:t>
      </w:r>
      <w:r>
        <w:t xml:space="preserve"> — programme management overhead, CAB approval lead times, freeze periods, stakeholder scheduling, and external partner dependencies are out of scope and owned by the programme manager. The PM should layer those on top of the engineering numbers below to produce a committed delivery date.</w:t>
      </w:r>
      <w:r/>
    </w:p>
    <w:p>
      <w:r/>
      <w:r>
        <w:t>The following table details the estimated engineering effort required for delivery. Estimates assume two DevOps/Integration Engineers working in parallel.</w:t>
      </w:r>
      <w:r/>
    </w:p>
    <w:p>
      <w:r/>
      <w:r>
        <w:rPr>
          <w:b/>
        </w:rPr>
        <w:t>CONSERVATIVE ESTIMATE</w:t>
      </w:r>
      <w:r/>
    </w:p>
    <w:p>
      <w:r/>
      <w:r>
        <w:rPr>
          <w:b/>
        </w:rPr>
        <w:t>Name</w:t>
      </w:r>
      <w:r/>
    </w:p>
    <w:p>
      <w:r/>
      <w:r>
        <w:rPr>
          <w:b/>
        </w:rPr>
        <w:t>Notes</w:t>
      </w:r>
      <w:r/>
    </w:p>
    <w:p>
      <w:r/>
      <w:r>
        <w:rPr>
          <w:b/>
        </w:rPr>
        <w:t>Estimate (Days)</w:t>
      </w:r>
      <w:r/>
    </w:p>
    <w:p>
      <w:r/>
      <w:r>
        <w:t>Discovery and Interface Analysis</w:t>
      </w:r>
      <w:r/>
    </w:p>
    <w:p>
      <w:r/>
      <w:r>
        <w:t>Run aimbiztalk and BizTalk Documenter across all 55 in-scope integrations. Validate message schemas, adapters, orchestrations, maps, and receive/send port configurations. Classify each integration into a complexity bucket with documented rationale. Produce interface register and migration approach per integration.</w:t>
      </w:r>
      <w:r/>
    </w:p>
    <w:p>
      <w:r/>
      <w:r>
        <w:t>60</w:t>
      </w:r>
      <w:r/>
    </w:p>
    <w:p>
      <w:r/>
      <w:r>
        <w:t>Platform and Infrastructure Setup (IaC)</w:t>
      </w:r>
      <w:r/>
    </w:p>
    <w:p>
      <w:r/>
      <w:r>
        <w:t>Provision Logic Apps Standard environments, Service Bus Premium namespaces, Function App hosting plans, Data Factory instances, Key Vault, Application Insights, and Log Analytics Workspace across Dev, Test, UAT, Production, and DR. All resources as Bicep via Azure DevOps pipelines with managed identity. Establish CI/CD pipeline skeletons for Logic App and Function App deployments.</w:t>
      </w:r>
      <w:r/>
    </w:p>
    <w:p>
      <w:r/>
      <w:r>
        <w:t>25</w:t>
      </w:r>
      <w:r/>
    </w:p>
    <w:p>
      <w:r/>
      <w:r>
        <w:t>Wave 1 — Pattern Templates and Pilot Migrations</w:t>
      </w:r>
      <w:r/>
    </w:p>
    <w:p>
      <w:r/>
      <w:r>
        <w:t>Build reusable Logic Apps and Function App templates for each complexity pattern (file move, request-response, transform-heavy, stateful). Validate templates against three representative pilot integrations end-to-end, including cutover, parallel-run monitoring, and application owner sign-off. Templates form the build standard for all Wave 2 work.</w:t>
      </w:r>
      <w:r/>
    </w:p>
    <w:p>
      <w:r/>
      <w:r>
        <w:t>105</w:t>
      </w:r>
      <w:r/>
    </w:p>
    <w:p>
      <w:r/>
      <w:r>
        <w:t>Wave 2 — Bulk Migration: Simple and Standard (30 integrations)</w:t>
      </w:r>
      <w:r/>
    </w:p>
    <w:p>
      <w:r/>
      <w:r>
        <w:t>Migrate all simple and standard integrations using Wave 1 templates. Includes per-integration Logic Apps build or APIM policy configuration, schema and transform migration, unit and integration testing, cutover coordination, and short parallel-run monitoring. Allows for a proportion of integrations requiring deviation from the standard template.</w:t>
      </w:r>
      <w:r/>
    </w:p>
    <w:p>
      <w:r/>
      <w:r>
        <w:t>175</w:t>
      </w:r>
      <w:r/>
    </w:p>
    <w:p>
      <w:r/>
      <w:r>
        <w:t>Wave 2 — Bulk Migration: Complex (20 integrations)</w:t>
      </w:r>
      <w:r/>
    </w:p>
    <w:p>
      <w:r/>
      <w:r>
        <w:t>Migrate complex integrations requiring structural reshaping, XSLT or Liquid transforms, SOAP and on-premises connectivity via on-premises data gateway, or .NET helper logic ported to Function Apps. Includes more extensive unit testing, longer parallel-run periods, and formal application owner sign-off per integration.</w:t>
      </w:r>
      <w:r/>
    </w:p>
    <w:p>
      <w:r/>
      <w:r>
        <w:t>225</w:t>
      </w:r>
      <w:r/>
    </w:p>
    <w:p>
      <w:r/>
      <w:r>
        <w:t>Wave 3 — Very Complex Rewrites (5 integrations)</w:t>
      </w:r>
      <w:r/>
    </w:p>
    <w:p>
      <w:r/>
      <w:r>
        <w:t>Rewrite the highest-complexity integrations — stateful orchestrations, multi-system correlation, custom adapters, or integrations with no direct Logic Apps connector equivalent. Includes significant design work, extended parallel-run periods (up to two weeks per integration), and close coordination with application owners and vendor teams.</w:t>
      </w:r>
      <w:r/>
    </w:p>
    <w:p>
      <w:r/>
      <w:r>
        <w:t>90</w:t>
      </w:r>
      <w:r/>
    </w:p>
    <w:p>
      <w:r/>
      <w:r>
        <w:t>Cutover and Extended Parallel-Run Operations</w:t>
      </w:r>
      <w:r/>
    </w:p>
    <w:p>
      <w:r/>
      <w:r>
        <w:t>Coordinated cutover execution across all waves. Includes scheduling cutover windows with application owners, monitoring parallel-run periods, incident triage and bug fix cycles, rollback execution where required, and final sign-off. Allows for complex integrations requiring extended monitoring beyond the standard one-week window.</w:t>
      </w:r>
      <w:r/>
    </w:p>
    <w:p>
      <w:r/>
      <w:r>
        <w:t>95</w:t>
      </w:r>
      <w:r/>
    </w:p>
    <w:p>
      <w:r/>
      <w:r>
        <w:t>BizTalk Decommission and Environment Cleanup</w:t>
      </w:r>
      <w:r/>
    </w:p>
    <w:p>
      <w:r/>
      <w:r>
        <w:t>Retire all migrated BizTalk applications, remove receive/send ports and orchestrations, uninstall BizTalk bindings, and coordinate decommission of on-premises BizTalk infrastructure with the infrastructure team. Includes final validation that all integrations are live on the new platform before decommission proceeds.</w:t>
      </w:r>
      <w:r/>
    </w:p>
    <w:p>
      <w:r/>
      <w:r>
        <w:t>25</w:t>
      </w:r>
      <w:r/>
    </w:p>
    <w:p>
      <w:r/>
      <w:r>
        <w:t>Escalation and Surprise Reserve</w:t>
      </w:r>
      <w:r/>
    </w:p>
    <w:p>
      <w:r/>
      <w:r>
        <w:t>Buffer for late-breaking discoveries: undocumented custom adapters, BAM surface area, EDI integrations not identified in discovery, extended parallel-run requirements due to data quality issues, rework cycles following application owner testing, or delays caused by vendor-side changes during cutover.</w:t>
      </w:r>
      <w:r/>
    </w:p>
    <w:p>
      <w:r/>
      <w:r>
        <w:t>70</w:t>
      </w:r>
      <w:r/>
    </w:p>
    <w:p>
      <w:r/>
      <w:r>
        <w:rPr>
          <w:b/>
        </w:rPr>
        <w:t>TOTAL</w:t>
      </w:r>
      <w:r/>
    </w:p>
    <w:p>
      <w:r/>
      <w:r>
        <w:rPr>
          <w:b/>
        </w:rPr>
        <w:t>870</w:t>
      </w:r>
      <w:r/>
    </w:p>
    <w:p>
      <w:r/>
      <w:r>
        <w:rPr>
          <w:i/>
        </w:rPr>
        <w:t>*Estimates can vary depending on undiscovered integration complexity and organisational scheduling dependencies.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