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engineering-decisions-log"/>
    <w:p>
      <w:pPr>
        <w:pStyle w:val="Heading1"/>
      </w:pPr>
      <w:r>
        <w:t xml:space="preserve">Engineering Decisions Log</w:t>
      </w:r>
    </w:p>
    <w:p>
      <w:pPr>
        <w:pStyle w:val="FirstParagraph"/>
      </w:pPr>
      <w:r>
        <w:t xml:space="preserve">This file records deliberate deviations from the reference structure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the project playbook (</w:t>
      </w:r>
      <w:r>
        <w:rPr>
          <w:rStyle w:val="VerbatimChar"/>
        </w:rPr>
        <w:t xml:space="preserve">4_sprints.pdf</w:t>
      </w:r>
      <w:r>
        <w:t xml:space="preserve">), along with the engineering reasoning behind them. Each entry follows an ADR (Architecture Decision Record) format so that markers and future maintainers can audit our intent rather than infer it.</w:t>
      </w:r>
    </w:p>
    <w:p>
      <w:pPr>
        <w:pStyle w:val="BodyText"/>
      </w:pPr>
      <w:r>
        <w:t xml:space="preserve">Decisions are append-only. If a decision is later reversed, add a new ADR with status</w:t>
      </w:r>
      <w:r>
        <w:t xml:space="preserve"> </w:t>
      </w:r>
      <w:r>
        <w:rPr>
          <w:rStyle w:val="VerbatimChar"/>
        </w:rPr>
        <w:t xml:space="preserve">Superseded by ADR-NNN</w:t>
      </w:r>
      <w:r>
        <w:t xml:space="preserve"> </w:t>
      </w:r>
      <w:r>
        <w:t xml:space="preserve">rather than editing the original.</w:t>
      </w:r>
    </w:p>
    <w:p>
      <w:r>
        <w:pict>
          <v:rect style="width:0;height:1.5pt" o:hralign="center" o:hrstd="t" o:hr="t"/>
        </w:pict>
      </w:r>
    </w:p>
    <w:bookmarkStart w:id="13" w:name="X95c4068ae79c78d0012f3fabee24eeb700f5b5d"/>
    <w:p>
      <w:pPr>
        <w:pStyle w:val="Heading2"/>
      </w:pPr>
      <w:r>
        <w:t xml:space="preserve">ADR-001 — Rules logic remains inlined in</w:t>
      </w:r>
      <w:r>
        <w:t xml:space="preserve"> </w:t>
      </w:r>
      <w:r>
        <w:rPr>
          <w:rStyle w:val="VerbatimChar"/>
        </w:rPr>
        <w:t xml:space="preserve">engine.py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3 (closure)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§3, §11; project playbook §5</w:t>
      </w:r>
    </w:p>
    <w:bookmarkStart w:id="9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reference repository structure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 specifies a separate</w:t>
      </w:r>
      <w:r>
        <w:t xml:space="preserve"> </w:t>
      </w:r>
      <w:r>
        <w:rPr>
          <w:rStyle w:val="VerbatimChar"/>
        </w:rPr>
        <w:t xml:space="preserve">src/game/rules.py</w:t>
      </w:r>
      <w:r>
        <w:t xml:space="preserve"> </w:t>
      </w:r>
      <w:r>
        <w:t xml:space="preserve">module alongside</w:t>
      </w:r>
      <w:r>
        <w:t xml:space="preserve"> </w:t>
      </w:r>
      <w:r>
        <w:rPr>
          <w:rStyle w:val="VerbatimChar"/>
        </w:rPr>
        <w:t xml:space="preserve">src/game/engine.py</w:t>
      </w:r>
      <w:r>
        <w:t xml:space="preserve">. In our codebase the rule predicates (move validity, suggestion eligibility, refutation order, accusation correctness) are implemented inline within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.</w:t>
      </w:r>
    </w:p>
    <w:bookmarkEnd w:id="9"/>
    <w:bookmarkStart w:id="10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Defer the extraction of</w:t>
      </w:r>
      <w:r>
        <w:t xml:space="preserve"> </w:t>
      </w:r>
      <w:r>
        <w:rPr>
          <w:rStyle w:val="VerbatimChar"/>
        </w:rPr>
        <w:t xml:space="preserve">rules.py</w:t>
      </w:r>
      <w:r>
        <w:t xml:space="preserve"> </w:t>
      </w:r>
      <w:r>
        <w:t xml:space="preserve">until after submission.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t xml:space="preserve">will retain the inlined rule predicates for the remainder of Sprint 3 and through Sprint 4 code freeze.</w:t>
      </w:r>
    </w:p>
    <w:bookmarkEnd w:id="10"/>
    <w:bookmarkStart w:id="11" w:name="rationale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02"/>
        </w:numPr>
      </w:pPr>
      <w:r>
        <w:t xml:space="preserve">Ninety-one unit tests currently pass against the inlined structure. A module split immediately before code freeze is a high-risk, zero-functional-gain change.</w:t>
      </w:r>
    </w:p>
    <w:p>
      <w:pPr>
        <w:pStyle w:val="Compact"/>
        <w:numPr>
          <w:ilvl w:val="0"/>
          <w:numId w:val="1002"/>
        </w:numPr>
      </w:pPr>
      <w:r>
        <w:t xml:space="preserve">Sprint 3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 is explicitly a hardening sprint. Sprint 4 is explicitly a freeze sprint. Refactoring belongs in neither.</w:t>
      </w:r>
    </w:p>
    <w:p>
      <w:pPr>
        <w:pStyle w:val="Compact"/>
        <w:numPr>
          <w:ilvl w:val="0"/>
          <w:numId w:val="1002"/>
        </w:numPr>
      </w:pPr>
      <w:r>
        <w:t xml:space="preserve">The cohesion problem the split would solve — separating pure predicates from state-mutating operations — is real but low-impact at the current file size.</w:t>
      </w:r>
    </w:p>
    <w:p>
      <w:pPr>
        <w:pStyle w:val="Compact"/>
        <w:numPr>
          <w:ilvl w:val="0"/>
          <w:numId w:val="1002"/>
        </w:numPr>
      </w:pPr>
      <w:r>
        <w:t xml:space="preserve">The class diagram in</w:t>
      </w:r>
      <w:r>
        <w:t xml:space="preserve"> </w:t>
      </w:r>
      <w:r>
        <w:rPr>
          <w:rStyle w:val="VerbatimChar"/>
        </w:rPr>
        <w:t xml:space="preserve">docs/design/architecture.md</w:t>
      </w:r>
      <w:r>
        <w:t xml:space="preserve"> </w:t>
      </w:r>
      <w:r>
        <w:t xml:space="preserve">reflects the actual implementation, so the design documentation does not misrepresent the code.</w:t>
      </w:r>
    </w:p>
    <w:bookmarkEnd w:id="11"/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3"/>
        </w:numPr>
      </w:pPr>
      <w:r>
        <w:t xml:space="preserve">This is recorded as known technical debt. Future contributors extending the rule set should add to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t xml:space="preserve">and consider the extraction at that point.</w:t>
      </w:r>
    </w:p>
    <w:p>
      <w:pPr>
        <w:pStyle w:val="Compact"/>
        <w:numPr>
          <w:ilvl w:val="0"/>
          <w:numId w:val="1003"/>
        </w:numPr>
      </w:pPr>
      <w:r>
        <w:t xml:space="preserve">If a marker requires the strict §3 layout, the refactor is mechanical: each rule predicate is already a free-standing function and can be moved with imports updated in a single pull request post-submission.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8a241f62ba44169be523a9b5c24c0017a4b430d"/>
    <w:p>
      <w:pPr>
        <w:pStyle w:val="Heading2"/>
      </w:pPr>
      <w:r>
        <w:t xml:space="preserve">ADR-002 — Documentation organised under topic subfolders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3 (closure)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§3; project playbook §8</w:t>
      </w:r>
    </w:p>
    <w:bookmarkStart w:id="14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reference structure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 specifies a flat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containing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system_test_report.md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sprints/</w:t>
      </w:r>
      <w:r>
        <w:t xml:space="preserve">. Our actual layout groups documents by topic: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planning/      # project plan, risks, resourcing</w:t>
      </w:r>
      <w:r>
        <w:br/>
      </w:r>
      <w:r>
        <w:rPr>
          <w:rStyle w:val="VerbatimChar"/>
        </w:rPr>
        <w:t xml:space="preserve">  design/        # architecture, class diagrams, sequence diagrams</w:t>
      </w:r>
      <w:r>
        <w:br/>
      </w:r>
      <w:r>
        <w:rPr>
          <w:rStyle w:val="VerbatimChar"/>
        </w:rPr>
        <w:t xml:space="preserve">  testing/       # unit and system test reports</w:t>
      </w:r>
      <w:r>
        <w:br/>
      </w:r>
      <w:r>
        <w:rPr>
          <w:rStyle w:val="VerbatimChar"/>
        </w:rPr>
        <w:t xml:space="preserve">  report/        # group report, peer assessment template</w:t>
      </w:r>
      <w:r>
        <w:br/>
      </w:r>
      <w:r>
        <w:rPr>
          <w:rStyle w:val="VerbatimChar"/>
        </w:rPr>
        <w:t xml:space="preserve">  meetings/      # meeting minutes (flat)</w:t>
      </w:r>
      <w:r>
        <w:br/>
      </w:r>
      <w:r>
        <w:rPr>
          <w:rStyle w:val="VerbatimChar"/>
        </w:rPr>
        <w:t xml:space="preserve">  sprints/       # sprint start and end docs (flat)</w:t>
      </w:r>
      <w:r>
        <w:br/>
      </w:r>
      <w:r>
        <w:rPr>
          <w:rStyle w:val="VerbatimChar"/>
        </w:rPr>
        <w:t xml:space="preserve">  decisions.md   # this file</w:t>
      </w:r>
    </w:p>
    <w:bookmarkEnd w:id="14"/>
    <w:bookmarkStart w:id="15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Retain the topic-subfolder structure. Add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as an index mapping each playbook deliverable to its actual path, so any reader unfamiliar with our layout can locate documents without exploring directories.</w:t>
      </w:r>
    </w:p>
    <w:bookmarkEnd w:id="15"/>
    <w:bookmarkStart w:id="16" w:name="rationale-1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05"/>
        </w:numPr>
      </w:pPr>
      <w:r>
        <w:t xml:space="preserve">The topic structure was established in Sprint 1 and is referenced from existing meeting minutes, sprint documents, commit messages, and pull request descriptions. Flattening at sprint close would invalidate cross-references project-wide.</w:t>
      </w:r>
    </w:p>
    <w:p>
      <w:pPr>
        <w:pStyle w:val="Compact"/>
        <w:numPr>
          <w:ilvl w:val="0"/>
          <w:numId w:val="1005"/>
        </w:numPr>
      </w:pPr>
      <w:r>
        <w:t xml:space="preserve">The marking criteria (</w:t>
      </w:r>
      <w:r>
        <w:rPr>
          <w:rStyle w:val="VerbatimChar"/>
        </w:rPr>
        <w:t xml:space="preserve">Refined_Marking_Criteria.pdf</w:t>
      </w:r>
      <w:r>
        <w:t xml:space="preserve">) assesses the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of each document type, not the directory layout.</w:t>
      </w:r>
    </w:p>
    <w:p>
      <w:pPr>
        <w:pStyle w:val="Compact"/>
        <w:numPr>
          <w:ilvl w:val="0"/>
          <w:numId w:val="1005"/>
        </w:numPr>
      </w:pPr>
      <w:r>
        <w:t xml:space="preserve">An index file gives the discoverability benefit of a flat layout without the cost of rewriting cross-references.</w:t>
      </w:r>
    </w:p>
    <w:bookmarkEnd w:id="16"/>
    <w:bookmarkStart w:id="17" w:name="consequences-1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docs/README.md</w:t>
      </w:r>
      <w:r>
        <w:t xml:space="preserve"> </w:t>
      </w:r>
      <w:r>
        <w:t xml:space="preserve">is now a required Sprint 4 deliverable.</w:t>
      </w:r>
    </w:p>
    <w:p>
      <w:pPr>
        <w:pStyle w:val="Compact"/>
        <w:numPr>
          <w:ilvl w:val="0"/>
          <w:numId w:val="1006"/>
        </w:numPr>
      </w:pPr>
      <w:r>
        <w:t xml:space="preserve">New documents must be filed under the correct topic subfolder and registered in the index.</w:t>
      </w:r>
    </w:p>
    <w:p>
      <w:pPr>
        <w:pStyle w:val="Compact"/>
        <w:numPr>
          <w:ilvl w:val="0"/>
          <w:numId w:val="1006"/>
        </w:numPr>
      </w:pPr>
      <w:r>
        <w:t xml:space="preserve">The reverse migration is a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plus index update; reversible if explicitly required.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d124e39d47174280dd60603ac99146c01043458"/>
    <w:p>
      <w:pPr>
        <w:pStyle w:val="Heading2"/>
      </w:pPr>
      <w:r>
        <w:t xml:space="preserve">ADR-003 — Hand privacy interpreted in hot-seat context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3 (closure)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§2, §7; user requirements document §7</w:t>
      </w:r>
    </w:p>
    <w:bookmarkStart w:id="19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user requirements state that</w:t>
      </w:r>
      <w:r>
        <w:t xml:space="preserve"> </w:t>
      </w:r>
      <w:r>
        <w:rPr>
          <w:i/>
          <w:iCs/>
        </w:rPr>
        <w:t xml:space="preserve">"a player's hand is never shown to other players"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§7 reiterates</w:t>
      </w:r>
      <w:r>
        <w:t xml:space="preserve"> </w:t>
      </w:r>
      <w:r>
        <w:rPr>
          <w:i/>
          <w:iCs/>
        </w:rPr>
        <w:t xml:space="preserve">"GUI must hide hands except for the active player."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GameScreen</w:t>
      </w:r>
      <w:r>
        <w:t xml:space="preserve"> </w:t>
      </w:r>
      <w:r>
        <w:t xml:space="preserve">displays the active player's hand during their turn, on a single monitor shared with all players (hot-seat play).</w:t>
      </w:r>
    </w:p>
    <w:bookmarkEnd w:id="19"/>
    <w:bookmarkStart w:id="20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Treat the active-player-only display as a correct implementation of the privacy requirement in a hot-seat context. Non-active players' hands are never rendered. The privacy boundary is the turn boundary.</w:t>
      </w:r>
    </w:p>
    <w:bookmarkEnd w:id="20"/>
    <w:bookmarkStart w:id="21" w:name="rationale-2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§2 explicitly excludes networked multiplayer from MVP. There is no separate per-player display surface to hide hands on.</w:t>
      </w:r>
    </w:p>
    <w:p>
      <w:pPr>
        <w:pStyle w:val="Compact"/>
        <w:numPr>
          <w:ilvl w:val="0"/>
          <w:numId w:val="1008"/>
        </w:numPr>
      </w:pPr>
      <w:r>
        <w:t xml:space="preserve">The original board game has the same property: a player's hand is held in their physical hands, and players are expected to look away during another player's turn. The software cannot enforce this and is not required to.</w:t>
      </w:r>
    </w:p>
    <w:p>
      <w:pPr>
        <w:pStyle w:val="Compact"/>
        <w:numPr>
          <w:ilvl w:val="0"/>
          <w:numId w:val="1008"/>
        </w:numPr>
      </w:pPr>
      <w:r>
        <w:t xml:space="preserve">Hiding the active player's hand from the active player would make the game unplayable.</w:t>
      </w:r>
    </w:p>
    <w:bookmarkEnd w:id="21"/>
    <w:bookmarkStart w:id="22" w:name="consequences-2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9"/>
        </w:numPr>
      </w:pPr>
      <w:r>
        <w:t xml:space="preserve">An optional inter-turn "pass the device to the next player" splash screen could be added in Sprint 4 as a polish item if time allows. It is not required to satisfy §7.</w:t>
      </w:r>
    </w:p>
    <w:p>
      <w:pPr>
        <w:pStyle w:val="Compact"/>
        <w:numPr>
          <w:ilvl w:val="0"/>
          <w:numId w:val="1009"/>
        </w:numPr>
      </w:pPr>
      <w:r>
        <w:t xml:space="preserve">This interpretation is documented so that markers do not read the always-on display of the active player's hand as a privacy bug.</w:t>
      </w:r>
    </w:p>
    <w:p>
      <w:pPr>
        <w:pStyle w:val="Compact"/>
        <w:numPr>
          <w:ilvl w:val="0"/>
          <w:numId w:val="1009"/>
        </w:numPr>
      </w:pPr>
      <w:r>
        <w:t xml:space="preserve">Strict per-player hidden displays would require networked multiplayer, which is out of MVP scope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§2.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93e29d1280964b0da8c15727bbebe858fca6a3"/>
    <w:p>
      <w:pPr>
        <w:pStyle w:val="Heading2"/>
      </w:pPr>
      <w:r>
        <w:t xml:space="preserve">ADR-004 —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shim to support both run commands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3 (closure)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§10 (Definition of Done item 4), §5</w:t>
      </w:r>
    </w:p>
    <w:bookmarkStart w:id="24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§10 item 4 specifies the canonical run command as</w:t>
      </w:r>
      <w:r>
        <w:t xml:space="preserve"> </w:t>
      </w:r>
      <w:r>
        <w:rPr>
          <w:rStyle w:val="VerbatimChar"/>
        </w:rPr>
        <w:t xml:space="preserve">python -m src.main</w:t>
      </w:r>
      <w:r>
        <w:t xml:space="preserve">. Our internal imports use bare absolute form (</w:t>
      </w:r>
      <w:r>
        <w:rPr>
          <w:rStyle w:val="VerbatimChar"/>
        </w:rPr>
        <w:t xml:space="preserve">from game.X import Y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ui.X import Y</w:t>
      </w:r>
      <w:r>
        <w:t xml:space="preserve">) rather than package-rooted form (</w:t>
      </w:r>
      <w:r>
        <w:rPr>
          <w:rStyle w:val="VerbatimChar"/>
        </w:rPr>
        <w:t xml:space="preserve">from src.game.X import Y</w:t>
      </w:r>
      <w:r>
        <w:t xml:space="preserve">), because: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pytest.ini</w:t>
      </w:r>
      <w:r>
        <w:t xml:space="preserve"> </w:t>
      </w:r>
      <w:r>
        <w:t xml:space="preserve">configures</w:t>
      </w:r>
      <w:r>
        <w:t xml:space="preserve"> </w:t>
      </w:r>
      <w:r>
        <w:rPr>
          <w:rStyle w:val="VerbatimChar"/>
        </w:rPr>
        <w:t xml:space="preserve">pythonpath = src</w:t>
      </w:r>
      <w:r>
        <w:t xml:space="preserve">, which puts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on the path during testing and lets the bare imports resolve.</w:t>
      </w:r>
    </w:p>
    <w:p>
      <w:pPr>
        <w:pStyle w:val="Compact"/>
        <w:numPr>
          <w:ilvl w:val="0"/>
          <w:numId w:val="1011"/>
        </w:numPr>
      </w:pPr>
      <w:r>
        <w:t xml:space="preserve">Running</w:t>
      </w:r>
      <w:r>
        <w:t xml:space="preserve"> </w:t>
      </w:r>
      <w:r>
        <w:rPr>
          <w:rStyle w:val="VerbatimChar"/>
        </w:rPr>
        <w:t xml:space="preserve">python src/main.py</w:t>
      </w:r>
      <w:r>
        <w:t xml:space="preserve"> </w:t>
      </w:r>
      <w:r>
        <w:t xml:space="preserve">works for the same reason: Python adds the script's directory to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.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rStyle w:val="VerbatimChar"/>
        </w:rPr>
        <w:t xml:space="preserve">python -m src.main</w:t>
      </w:r>
      <w:r>
        <w:t xml:space="preserve"> </w:t>
      </w:r>
      <w:r>
        <w:t xml:space="preserve">runs from the project root with the project root on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so bare imports fail.</w:t>
      </w:r>
    </w:p>
    <w:p>
      <w:pPr>
        <w:pStyle w:val="BodyText"/>
      </w:pPr>
      <w:r>
        <w:t xml:space="preserve">Switching every import to</w:t>
      </w:r>
      <w:r>
        <w:t xml:space="preserve"> </w:t>
      </w:r>
      <w:r>
        <w:rPr>
          <w:rStyle w:val="VerbatimChar"/>
        </w:rPr>
        <w:t xml:space="preserve">from src.game.X import Y</w:t>
      </w:r>
      <w:r>
        <w:t xml:space="preserve"> </w:t>
      </w:r>
      <w:r>
        <w:t xml:space="preserve">would touch every source and test file at sprint close, with significant regression risk on a green test suite.</w:t>
      </w:r>
    </w:p>
    <w:bookmarkEnd w:id="24"/>
    <w:bookmarkStart w:id="25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Add a three-line shim to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that prepends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 to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on package import:</w:t>
      </w:r>
    </w:p>
    <w:p>
      <w:pPr>
        <w:pStyle w:val="SourceCode"/>
      </w:pPr>
      <w:r>
        <w:rPr>
          <w:rStyle w:val="CommentTok"/>
        </w:rPr>
        <w:t xml:space="preserve">"""Package shim: lets bare imports (`from game.X`, `from ui.X`) resolve</w:t>
      </w:r>
      <w:r>
        <w:br/>
      </w:r>
      <w:r>
        <w:rPr>
          <w:rStyle w:val="CommentTok"/>
        </w:rPr>
        <w:t xml:space="preserve">when the project is run as `python -m src.main` from the repository root.</w:t>
      </w:r>
      <w:r>
        <w:br/>
      </w:r>
      <w:r>
        <w:rPr>
          <w:rStyle w:val="CommentTok"/>
        </w:rPr>
        <w:t xml:space="preserve">Tests do not use this path because pytest.ini sets pythonpath = src directly."""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_os, sys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_sys</w:t>
      </w:r>
      <w:r>
        <w:br/>
      </w:r>
      <w:r>
        <w:rPr>
          <w:rStyle w:val="NormalTok"/>
        </w:rPr>
        <w:t xml:space="preserve">_HERE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_os.path.dirname(_os.path.abspath(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_HERE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_sys.path:</w:t>
      </w:r>
      <w:r>
        <w:br/>
      </w:r>
      <w:r>
        <w:rPr>
          <w:rStyle w:val="NormalTok"/>
        </w:rPr>
        <w:t xml:space="preserve">    _sys.path.insert(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_HERE)</w:t>
      </w:r>
    </w:p>
    <w:bookmarkEnd w:id="25"/>
    <w:bookmarkStart w:id="26" w:name="rationale-3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12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python -m src.main</w:t>
      </w:r>
      <w:r>
        <w:t xml:space="preserve"> </w:t>
      </w:r>
      <w:r>
        <w:t xml:space="preserve">(Definition of Done canonical) and</w:t>
      </w:r>
      <w:r>
        <w:t xml:space="preserve"> </w:t>
      </w:r>
      <w:r>
        <w:rPr>
          <w:rStyle w:val="VerbatimChar"/>
        </w:rPr>
        <w:t xml:space="preserve">python src/main.py</w:t>
      </w:r>
      <w:r>
        <w:t xml:space="preserve"> </w:t>
      </w:r>
      <w:r>
        <w:t xml:space="preserve">(developer convenience) now work from a clean shell.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configuration is unchanged. The 91-test green suite is unaffected.</w:t>
      </w:r>
    </w:p>
    <w:p>
      <w:pPr>
        <w:pStyle w:val="Compact"/>
        <w:numPr>
          <w:ilvl w:val="0"/>
          <w:numId w:val="1012"/>
        </w:numPr>
      </w:pPr>
      <w:r>
        <w:t xml:space="preserve">The change is contained to a single file. No source or test imports change.</w:t>
      </w:r>
    </w:p>
    <w:p>
      <w:pPr>
        <w:pStyle w:val="Compact"/>
        <w:numPr>
          <w:ilvl w:val="0"/>
          <w:numId w:val="1012"/>
        </w:numPr>
      </w:pPr>
      <w:r>
        <w:t xml:space="preserve">The shim is honest about its purpose: the docstring explains exactly what is happening for any reader.</w:t>
      </w:r>
    </w:p>
    <w:bookmarkEnd w:id="26"/>
    <w:bookmarkStart w:id="27" w:name="consequences-3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13"/>
        </w:numPr>
      </w:pPr>
      <w:r>
        <w:t xml:space="preserve">The shim mutates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at import time, which is generally a code smell. We accept this trade-off because the alternative — a project-wide import refactor at code freeze — carries higher risk.</w:t>
      </w:r>
    </w:p>
    <w:p>
      <w:pPr>
        <w:pStyle w:val="Compact"/>
        <w:numPr>
          <w:ilvl w:val="0"/>
          <w:numId w:val="1013"/>
        </w:numPr>
      </w:pPr>
      <w:r>
        <w:t xml:space="preserve">If a future contributor refactors imports to</w:t>
      </w:r>
      <w:r>
        <w:t xml:space="preserve"> </w:t>
      </w:r>
      <w:r>
        <w:rPr>
          <w:rStyle w:val="VerbatimChar"/>
        </w:rPr>
        <w:t xml:space="preserve">from src.game.X</w:t>
      </w:r>
      <w:r>
        <w:t xml:space="preserve"> </w:t>
      </w:r>
      <w:r>
        <w:t xml:space="preserve">form throughout, the shim becomes redundant and should be removed.</w:t>
      </w:r>
    </w:p>
    <w:p>
      <w:pPr>
        <w:pStyle w:val="Compact"/>
        <w:numPr>
          <w:ilvl w:val="0"/>
          <w:numId w:val="1013"/>
        </w:numPr>
      </w:pPr>
      <w:r>
        <w:t xml:space="preserve">This is recorded as deliberate technical debt with a clear remediation path.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881ebb8a90cf42ce10984638863e6b564356389"/>
    <w:p>
      <w:pPr>
        <w:pStyle w:val="Heading2"/>
      </w:pPr>
      <w:r>
        <w:t xml:space="preserve">ADR-005 — Group report filed at</w:t>
      </w:r>
      <w:r>
        <w:t xml:space="preserve"> </w:t>
      </w:r>
      <w:r>
        <w:rPr>
          <w:rStyle w:val="VerbatimChar"/>
        </w:rPr>
        <w:t xml:space="preserve">docs/report/group_report.md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docs/group_report.md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 (Sprint 4 deliverables); ADR-002</w:t>
      </w:r>
    </w:p>
    <w:bookmarkStart w:id="29" w:name="context-4"/>
    <w:p>
      <w:pPr>
        <w:pStyle w:val="Heading3"/>
      </w:pPr>
      <w:r>
        <w:t xml:space="preserve">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§13 lists the Sprint 4 group report at the path</w:t>
      </w:r>
      <w:r>
        <w:t xml:space="preserve"> </w:t>
      </w:r>
      <w:r>
        <w:rPr>
          <w:rStyle w:val="VerbatimChar"/>
        </w:rPr>
        <w:t xml:space="preserve">docs/group_report.md</w:t>
      </w:r>
      <w:r>
        <w:t xml:space="preserve">. ADR-002 already established a topic-subfolder layout for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with submission-final reporting under</w:t>
      </w:r>
      <w:r>
        <w:t xml:space="preserve"> </w:t>
      </w:r>
      <w:r>
        <w:rPr>
          <w:rStyle w:val="VerbatimChar"/>
        </w:rPr>
        <w:t xml:space="preserve">docs/report/</w:t>
      </w:r>
      <w:r>
        <w:t xml:space="preserve">.</w:t>
      </w:r>
    </w:p>
    <w:bookmarkEnd w:id="29"/>
    <w:bookmarkStart w:id="30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File the group report at</w:t>
      </w:r>
      <w:r>
        <w:t xml:space="preserve"> </w:t>
      </w:r>
      <w:r>
        <w:rPr>
          <w:rStyle w:val="VerbatimChar"/>
        </w:rPr>
        <w:t xml:space="preserve">docs/report/group_report.md</w:t>
      </w:r>
      <w:r>
        <w:t xml:space="preserve">, consistent with ADR-002.</w:t>
      </w:r>
    </w:p>
    <w:bookmarkEnd w:id="30"/>
    <w:bookmarkStart w:id="31" w:name="rationale-4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Maintains the established layout; avoids relitigating ADR-002 at sprint close. Discoverability is preserved by the cross-reference table in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, which maps the playbook's flat names to their actual subfolder locations.</w:t>
      </w:r>
    </w:p>
    <w:bookmarkEnd w:id="31"/>
    <w:bookmarkStart w:id="32" w:name="consequences-4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A reader following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 literally will not find</w:t>
      </w:r>
      <w:r>
        <w:t xml:space="preserve"> </w:t>
      </w:r>
      <w:r>
        <w:rPr>
          <w:rStyle w:val="VerbatimChar"/>
        </w:rPr>
        <w:t xml:space="preserve">docs/group_report.md</w:t>
      </w:r>
      <w:r>
        <w:t xml:space="preserve">; they need to consult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once. If this is unacceptable to a marker, a one-line redirect file at the playbook path is a trivial future fix.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5006e6d6e5fe6e031dd1382b345abc30bc03227"/>
    <w:p>
      <w:pPr>
        <w:pStyle w:val="Heading2"/>
      </w:pPr>
      <w:r>
        <w:t xml:space="preserve">ADR-006 — Keep grid + dice movement and the AI player in scope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2 midpoint, reaffirmed at Sprint 3 close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References:</w:t>
      </w:r>
      <w:r>
        <w:t xml:space="preserve"> </w:t>
      </w:r>
      <w:r>
        <w:t xml:space="preserve">Sprint 2 midpoint minutes (2026-03-18); Sprint 3 review minutes (2026-04-13); user requirements (movement, optional autonomous player); marking criteria</w:t>
      </w:r>
    </w:p>
    <w:bookmarkStart w:id="34" w:name="context-5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At the Sprint 2 midpoint meeting on 2026-03-18 the team discussed dropping two of the more ambitious deliverables to de-risk submission: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Tile-based grid movement</w:t>
      </w:r>
      <w:r>
        <w:t xml:space="preserve"> </w:t>
      </w:r>
      <w:r>
        <w:t xml:space="preserve">— a 24 × 24 board with corridor tiles, doors, and dice-distance pathfinding.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Autonomous AI player</w:t>
      </w:r>
      <w:r>
        <w:t xml:space="preserve"> </w:t>
      </w:r>
      <w:r>
        <w:t xml:space="preserve">— a player slot the engine drives end-to-end (roll, move, suggest, accuse) rather than the human.</w:t>
      </w:r>
    </w:p>
    <w:p>
      <w:pPr>
        <w:pStyle w:val="FirstParagraph"/>
      </w:pPr>
      <w:r>
        <w:t xml:space="preserve">Both are present in the user requirements document. The marking criteria places autonomous-player work in the upper 41–50 code band, and the grid + dice mechanic is the actual Cluedo movement rule. Replacing the grid with a dropdown room selector and dropping AI was raised as a credible safer path.</w:t>
      </w:r>
    </w:p>
    <w:bookmarkEnd w:id="34"/>
    <w:bookmarkStart w:id="35" w:name="decision-5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Keep both in scope. Ship grid + dice movement and the AI player as part of MVP.</w:t>
      </w:r>
    </w:p>
    <w:bookmarkEnd w:id="35"/>
    <w:bookmarkStart w:id="36" w:name="rationale-5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17"/>
        </w:numPr>
      </w:pPr>
      <w:r>
        <w:t xml:space="preserve">The marking criteria explicitly value the AI deliverable. Dropping it caps the code-band score even on otherwise excellent work.</w:t>
      </w:r>
    </w:p>
    <w:p>
      <w:pPr>
        <w:pStyle w:val="Compact"/>
        <w:numPr>
          <w:ilvl w:val="0"/>
          <w:numId w:val="1017"/>
        </w:numPr>
      </w:pPr>
      <w:r>
        <w:t xml:space="preserve">The board-game's identity is the dice + grid + door mechanic. A dropdown room selector would functionally play, but it is not Cluedo movement; the customer specification (Watson Games) describes the tile board.</w:t>
      </w:r>
    </w:p>
    <w:p>
      <w:pPr>
        <w:pStyle w:val="Compact"/>
        <w:numPr>
          <w:ilvl w:val="0"/>
          <w:numId w:val="1017"/>
        </w:numPr>
      </w:pPr>
      <w:r>
        <w:t xml:space="preserve">The engine API is small enough that an AI is a clean third consumer alongside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src/ui/</w:t>
      </w:r>
      <w:r>
        <w:t xml:space="preserve">. The AI uses only what it is allowed to know (its own hand, cards shown to it, and public suggestion outcomes), which is the same contract a human player operates under.</w:t>
      </w:r>
    </w:p>
    <w:p>
      <w:pPr>
        <w:pStyle w:val="Compact"/>
        <w:numPr>
          <w:ilvl w:val="0"/>
          <w:numId w:val="1017"/>
        </w:numPr>
      </w:pPr>
      <w:r>
        <w:t xml:space="preserve">Adam (PO) and Floyd (Tech Lead) judged the time risk acceptable provided F12 and validation landed first. Sprint 2 was extended one week at the same meeting to absorb the integration work.</w:t>
      </w:r>
    </w:p>
    <w:bookmarkEnd w:id="36"/>
    <w:bookmarkStart w:id="37" w:name="consequences-5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18"/>
        </w:numPr>
      </w:pPr>
      <w:r>
        <w:t xml:space="preserve">Sprint 2 ran 21 days instead of 14 (signed off at the same midpoint meeting).</w:t>
      </w:r>
    </w:p>
    <w:p>
      <w:pPr>
        <w:pStyle w:val="Compact"/>
        <w:numPr>
          <w:ilvl w:val="0"/>
          <w:numId w:val="1018"/>
        </w:numPr>
      </w:pPr>
      <w:r>
        <w:t xml:space="preserve">Sprint 3 closed at 113 tests (87 engine + 13 AI + 18 model + 5 typed-signature/regression entries) covering both human gameplay and AI behaviour.</w:t>
      </w:r>
    </w:p>
    <w:p>
      <w:pPr>
        <w:pStyle w:val="Compact"/>
        <w:numPr>
          <w:ilvl w:val="0"/>
          <w:numId w:val="1018"/>
        </w:numPr>
      </w:pPr>
      <w:r>
        <w:t xml:space="preserve">The AI lives in</w:t>
      </w:r>
      <w:r>
        <w:t xml:space="preserve"> </w:t>
      </w:r>
      <w:r>
        <w:rPr>
          <w:rStyle w:val="VerbatimChar"/>
        </w:rPr>
        <w:t xml:space="preserve">src/game/ai.py</w:t>
      </w:r>
      <w:r>
        <w:t xml:space="preserve"> </w:t>
      </w:r>
      <w:r>
        <w:t xml:space="preserve">with its own dataclasses (</w:t>
      </w:r>
      <w:r>
        <w:rPr>
          <w:rStyle w:val="VerbatimChar"/>
        </w:rPr>
        <w:t xml:space="preserve">AITurnResult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RandomAIPlayerStrategy</w:t>
      </w:r>
      <w:r>
        <w:t xml:space="preserve">) and uses</w:t>
      </w:r>
      <w:r>
        <w:t xml:space="preserve"> </w:t>
      </w:r>
      <w:r>
        <w:rPr>
          <w:rStyle w:val="VerbatimChar"/>
        </w:rPr>
        <w:t xml:space="preserve">DetectiveNotes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for private knowledge.</w:t>
      </w:r>
    </w:p>
    <w:p>
      <w:pPr>
        <w:pStyle w:val="Compact"/>
        <w:numPr>
          <w:ilvl w:val="0"/>
          <w:numId w:val="1018"/>
        </w:numPr>
      </w:pPr>
      <w:r>
        <w:t xml:space="preserve">Grid pathfinding lives in</w:t>
      </w:r>
      <w:r>
        <w:t xml:space="preserve"> </w:t>
      </w:r>
      <w:r>
        <w:rPr>
          <w:rStyle w:val="VerbatimChar"/>
        </w:rPr>
        <w:t xml:space="preserve">src/game/engine.py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legal_moves_for_roll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move_by_dice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roll_die</w:t>
      </w:r>
      <w:r>
        <w:t xml:space="preserve">, plus the static</w:t>
      </w:r>
      <w:r>
        <w:t xml:space="preserve"> </w:t>
      </w:r>
      <w:r>
        <w:rPr>
          <w:rStyle w:val="VerbatimChar"/>
        </w:rPr>
        <w:t xml:space="preserve">ROOM_LAYOUT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ROOM_DOORS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CHARACTER_START_TILES</w:t>
      </w:r>
      <w:r>
        <w:t xml:space="preserve"> </w:t>
      </w:r>
      <w:r>
        <w:t xml:space="preserve">tables).</w:t>
      </w:r>
    </w:p>
    <w:p>
      <w:pPr>
        <w:pStyle w:val="Compact"/>
        <w:numPr>
          <w:ilvl w:val="0"/>
          <w:numId w:val="1018"/>
        </w:numPr>
      </w:pPr>
      <w:r>
        <w:t xml:space="preserve">Setup-screen now exposes a Human / AI toggle per player slot.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move_to_room</w:t>
      </w:r>
      <w:r>
        <w:t xml:space="preserve"> </w:t>
      </w:r>
      <w:r>
        <w:t xml:space="preserve">engine function is retained for tests and for any future caller that wants direct placement, but the GUI does not surface it; humans go through</w:t>
      </w:r>
      <w:r>
        <w:t xml:space="preserve"> </w:t>
      </w:r>
      <w:r>
        <w:rPr>
          <w:rStyle w:val="VerbatimChar"/>
        </w:rPr>
        <w:t xml:space="preserve">legal_moves_for_roll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move_by_dice</w:t>
      </w:r>
      <w:r>
        <w:t xml:space="preserve"> </w:t>
      </w:r>
      <w:r>
        <w:t xml:space="preserve">like the AI does.</w:t>
      </w:r>
    </w:p>
    <w:p>
      <w:r>
        <w:pict>
          <v:rect style="width:0;height:1.5pt" o:hralign="center" o:hrstd="t" o:hr="t"/>
        </w:pict>
      </w:r>
    </w:p>
    <w:bookmarkEnd w:id="37"/>
    <w:bookmarkStart w:id="38" w:name="Xb67ef0b8fde29fa0af071e36f3cf7cfdfbf2786"/>
    <w:p>
      <w:pPr>
        <w:pStyle w:val="Heading3"/>
      </w:pPr>
      <w:r>
        <w:t xml:space="preserve">Note (Sprint 4 cleanup) — test count drift since ADR-004</w:t>
      </w:r>
    </w:p>
    <w:p>
      <w:pPr>
        <w:pStyle w:val="FirstParagraph"/>
      </w:pPr>
      <w:r>
        <w:t xml:space="preserve">ADR-004 records the 91-test green suite as it stood when the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shim decision was made. The suite grew from 91 to 113 during Sprint 3's hardening + AI work (F12 token-locations, seeded</w:t>
      </w:r>
      <w:r>
        <w:t xml:space="preserve"> </w:t>
      </w:r>
      <w:r>
        <w:rPr>
          <w:rStyle w:val="VerbatimChar"/>
        </w:rPr>
        <w:t xml:space="preserve">new_game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-typed signatures, full AI test file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), and remained at 113 through Sprint 4. Per this file's append-only rule, ADR-004's "91" is preserved as a snapshot of the decision moment and is not retroactively edited.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Future ADRs append below this line.</w:t>
      </w:r>
    </w:p>
    <w:bookmarkEnd w:id="38"/>
    <w:bookmarkEnd w:id="39"/>
    <w:bookmarkEnd w:id="40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2026-04-29T21:06:42Z</dcterms:created>
  <dcterms:modified xsi:type="dcterms:W3CDTF">2026-04-29T21:06:42Z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