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44EDE" w14:textId="77777777" w:rsidR="00681FDD" w:rsidRDefault="00714C41">
      <w:proofErr w:type="spellStart"/>
      <w:r>
        <w:rPr>
          <w:rFonts w:ascii="Arial" w:hAnsi="Arial" w:cs="Arial"/>
          <w:color w:val="22222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carbon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copied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:'d")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e-mail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Penna"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penna.andre@gmail.com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CC: "Felipe Pinheiro"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flpinheiro@gmail.com</w:t>
        </w:r>
      </w:hyperlink>
      <w:r>
        <w:rPr>
          <w:rFonts w:ascii="Arial" w:hAnsi="Arial" w:cs="Arial"/>
          <w:color w:val="222222"/>
          <w:shd w:val="clear" w:color="auto" w:fill="FFFFFF"/>
        </w:rPr>
        <w:t>, "Fernando Oliveira"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faooliveira@gmail.com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Dr. Penna,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received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reports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advisors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manuscript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JOBP-D-18-00067 "Universal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morphological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exponents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metabolic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biological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growth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regret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I must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inform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advice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received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Editors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decided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manuscript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cannot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accepted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Journal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Biological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Physics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Below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please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comments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perusal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thank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forwarding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manuscript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consideration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regards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Journals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Editorial Office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Springer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Comments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Author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Reviewer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#1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paper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important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subject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biological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growth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makes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attempt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blend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Unfortunately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paper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poorly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written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makes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difficult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follow,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does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solely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appear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deficiency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different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sections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introduced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following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steps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introduction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does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appear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properly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introduce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subject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cite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relevant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sources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authors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appear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aware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extensive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literature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subject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cite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relevant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authors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where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examples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included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comments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”,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below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).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Bertalanffy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studied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reported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elsewhere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still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grasped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novel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submission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I 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believe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important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subject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however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hope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authors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continue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work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more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accessible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comments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P. 2, 1st para: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references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statements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introduction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Particularly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claims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for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relationship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between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growth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metabolism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Second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existence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universal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laws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metabolism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growing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evidence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causality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reversed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assumed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changes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growth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downstream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effects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metabolism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(e.g.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Glazier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2015 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metabolic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rate a universal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pacemaker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”).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p. 2, 2nd para. 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false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dependence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growth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metabolic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universally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accepted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”. I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agree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abundant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evidence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contrary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Glazier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2015,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mentioned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above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example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conclusions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contradict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(p. 8: 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conclude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growth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time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robust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independent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metabolic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exponent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”).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p.2, 2nd para. 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allotropic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”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allometric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”.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instances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allotropic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treated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similarly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p.2,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2, 1st para.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exponents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relate.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p.3, 1st para.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delta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universal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exponent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meaningful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removed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p. 3 1st para.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“normal procedure”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needs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better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described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citation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provided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p.3.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eq. 8. I 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think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surprising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lambda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remotely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similar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shapes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p. 4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eq. (12). I 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understand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|Beta1 – Beta2|/ 2Beta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intended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show.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p.4 I 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understand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equation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13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obtained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p.4,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eq. 14.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available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referred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p. 4 2nd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paragraph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I 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understand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authors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 are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referred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p. 5, eq. 15. 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understand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growth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times are.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introductory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sentence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helpful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think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whole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requires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more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work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it more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accessible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understood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p. 7, 1st para.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where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inferred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maturation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1-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e(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-1)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asymptotic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citation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does it come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preceding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p. 8.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References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needed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existing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literature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different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statistical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methods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…”)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Reviewer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#2: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authors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include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animals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although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exclusively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focus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manuscript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clearly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needs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more background material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research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are more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theories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just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Bertalanffy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growth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equation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Dynamic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Energy Budget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Metabolic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Ecology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...).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implications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investigations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must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discussed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light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biological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processes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variety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growth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patterns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mathematical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As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biologist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feel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Bertalanffy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equation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generalization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applicable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constant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environmental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conditions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instance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).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authors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deem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necessary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generalize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principle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more,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seems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questionable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practical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biological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perspective.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********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The Editorial Manager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 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https://jobp.editorialmanager.com/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Recipients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email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registered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journal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privacy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directives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remove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personal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information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journal's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upon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request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Where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journal's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shared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companion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journals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-inclusive.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sharing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indicated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journal's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homepage. At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removal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personal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identifiers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hashed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deactivated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reinstate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history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history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manuscript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progress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retained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scholarly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retrieved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post-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archiving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official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investigation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COPE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practices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removed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are no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longer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known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journal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possible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journal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Editors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re-register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anew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contact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details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expertise are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found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always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notified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registration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prior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invitation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participate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prefer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journal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persistently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recalls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contacted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invitations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participate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please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indicate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accommodated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provision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necessitates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maintain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registration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details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preference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no-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contact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office:</w:t>
      </w:r>
      <w:r>
        <w:rPr>
          <w:rFonts w:ascii="Arial" w:hAnsi="Arial" w:cs="Arial"/>
          <w:color w:val="222222"/>
        </w:rPr>
        <w:br/>
      </w: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PublicationOfficeSPI@springernature.com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compliance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protection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regulations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please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contact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office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personal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information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removed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bookmarkStart w:id="0" w:name="_GoBack"/>
      <w:bookmarkEnd w:id="0"/>
    </w:p>
    <w:sectPr w:rsidR="00681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41"/>
    <w:rsid w:val="00582C7A"/>
    <w:rsid w:val="00714C41"/>
    <w:rsid w:val="00B1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9A106"/>
  <w15:chartTrackingRefBased/>
  <w15:docId w15:val="{A0119ACC-36B5-44EA-83E0-1A07FADA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14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blicationOfficeSPI@springernatur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obp.editorialmanag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aooliveira@gmail.com" TargetMode="External"/><Relationship Id="rId5" Type="http://schemas.openxmlformats.org/officeDocument/2006/relationships/hyperlink" Target="mailto:flpinheiro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penna.andre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1018</Words>
  <Characters>5502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Luís Pinheiro</dc:creator>
  <cp:keywords/>
  <dc:description/>
  <cp:lastModifiedBy>Felipe Luís Pinheiro</cp:lastModifiedBy>
  <cp:revision>1</cp:revision>
  <dcterms:created xsi:type="dcterms:W3CDTF">2019-01-09T13:53:00Z</dcterms:created>
  <dcterms:modified xsi:type="dcterms:W3CDTF">2019-01-09T13:56:00Z</dcterms:modified>
</cp:coreProperties>
</file>