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Pontifícia Universidade Católica de Goiás</w:t>
      </w: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36D29B" wp14:editId="243A8137">
            <wp:extent cx="2187244" cy="2187244"/>
            <wp:effectExtent l="0" t="0" r="381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ificia-universidade-catolica-de-goias-puc-go-orig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85" cy="21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Felipe Fernandes Almeida Manso</w:t>
      </w:r>
    </w:p>
    <w:p w:rsidR="007B7440" w:rsidRPr="007B7440" w:rsidRDefault="007B7440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Thiago Garcez Penachia</w:t>
      </w: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83B03" w:rsidRPr="00583B03" w:rsidRDefault="00583B03" w:rsidP="00253E57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  <w:lang w:eastAsia="pt-BR"/>
        </w:rPr>
      </w:pPr>
      <w:r w:rsidRPr="00583B03">
        <w:rPr>
          <w:rFonts w:ascii="Arial" w:eastAsia="Times New Roman" w:hAnsi="Arial" w:cs="Arial"/>
          <w:sz w:val="28"/>
          <w:szCs w:val="28"/>
          <w:lang w:eastAsia="pt-BR"/>
        </w:rPr>
        <w:t xml:space="preserve">Estudos sobre o modelo </w:t>
      </w:r>
      <w:proofErr w:type="spellStart"/>
      <w:r w:rsidRPr="00583B03">
        <w:rPr>
          <w:rFonts w:ascii="Arial" w:eastAsia="Times New Roman" w:hAnsi="Arial" w:cs="Arial"/>
          <w:sz w:val="28"/>
          <w:szCs w:val="28"/>
          <w:lang w:eastAsia="pt-BR"/>
        </w:rPr>
        <w:t>Itil</w:t>
      </w:r>
      <w:proofErr w:type="spellEnd"/>
      <w:r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583B03">
        <w:rPr>
          <w:rFonts w:ascii="Arial" w:eastAsia="Times New Roman" w:hAnsi="Arial" w:cs="Arial"/>
          <w:sz w:val="28"/>
          <w:szCs w:val="28"/>
          <w:lang w:eastAsia="pt-BR"/>
        </w:rPr>
        <w:t>V3</w:t>
      </w: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A2135" w:rsidRPr="007B7440" w:rsidRDefault="001A2135" w:rsidP="00253E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Goiânia,</w:t>
      </w:r>
      <w:r w:rsidR="007B7440" w:rsidRPr="007B7440">
        <w:rPr>
          <w:rFonts w:ascii="Arial" w:hAnsi="Arial" w:cs="Arial"/>
          <w:sz w:val="24"/>
          <w:szCs w:val="24"/>
        </w:rPr>
        <w:t>09</w:t>
      </w:r>
      <w:r w:rsidRPr="007B7440">
        <w:rPr>
          <w:rFonts w:ascii="Arial" w:hAnsi="Arial" w:cs="Arial"/>
          <w:sz w:val="24"/>
          <w:szCs w:val="24"/>
        </w:rPr>
        <w:t xml:space="preserve"> de </w:t>
      </w:r>
      <w:r w:rsidR="007B7440" w:rsidRPr="007B7440">
        <w:rPr>
          <w:rFonts w:ascii="Arial" w:hAnsi="Arial" w:cs="Arial"/>
          <w:sz w:val="24"/>
          <w:szCs w:val="24"/>
        </w:rPr>
        <w:t>novembro</w:t>
      </w:r>
      <w:r w:rsidRPr="007B7440">
        <w:rPr>
          <w:rFonts w:ascii="Arial" w:hAnsi="Arial" w:cs="Arial"/>
          <w:sz w:val="24"/>
          <w:szCs w:val="24"/>
        </w:rPr>
        <w:t xml:space="preserve"> de 2018.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lastRenderedPageBreak/>
        <w:t>ITIL é o acrônimo de “</w:t>
      </w:r>
      <w:proofErr w:type="spellStart"/>
      <w:r w:rsidRPr="007B7440">
        <w:rPr>
          <w:rStyle w:val="nfase"/>
          <w:rFonts w:ascii="Arial" w:hAnsi="Arial" w:cs="Arial"/>
          <w:sz w:val="24"/>
          <w:szCs w:val="24"/>
        </w:rPr>
        <w:t>Information</w:t>
      </w:r>
      <w:proofErr w:type="spellEnd"/>
      <w:r w:rsidRPr="007B7440">
        <w:rPr>
          <w:rStyle w:val="nfase"/>
          <w:rFonts w:ascii="Arial" w:hAnsi="Arial" w:cs="Arial"/>
          <w:sz w:val="24"/>
          <w:szCs w:val="24"/>
        </w:rPr>
        <w:t xml:space="preserve"> Technology </w:t>
      </w:r>
      <w:proofErr w:type="spellStart"/>
      <w:r w:rsidRPr="007B7440">
        <w:rPr>
          <w:rStyle w:val="nfase"/>
          <w:rFonts w:ascii="Arial" w:hAnsi="Arial" w:cs="Arial"/>
          <w:sz w:val="24"/>
          <w:szCs w:val="24"/>
        </w:rPr>
        <w:t>Infrastructure</w:t>
      </w:r>
      <w:proofErr w:type="spellEnd"/>
      <w:r w:rsidRPr="007B7440">
        <w:rPr>
          <w:rStyle w:val="nfase"/>
          <w:rFonts w:ascii="Arial" w:hAnsi="Arial" w:cs="Arial"/>
          <w:sz w:val="24"/>
          <w:szCs w:val="24"/>
        </w:rPr>
        <w:t xml:space="preserve"> Library</w:t>
      </w:r>
      <w:r w:rsidRPr="007B7440">
        <w:rPr>
          <w:rFonts w:ascii="Arial" w:hAnsi="Arial" w:cs="Arial"/>
          <w:sz w:val="24"/>
          <w:szCs w:val="24"/>
        </w:rPr>
        <w:t xml:space="preserve"> – ou Biblioteca de Infraestrutura de Tecnologia da Informação.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A ITIL é um conjunto de publicações sobre </w:t>
      </w:r>
      <w:r w:rsidRPr="007B7440">
        <w:rPr>
          <w:rStyle w:val="Forte"/>
          <w:rFonts w:ascii="Arial" w:hAnsi="Arial" w:cs="Arial"/>
          <w:b w:val="0"/>
          <w:sz w:val="24"/>
          <w:szCs w:val="24"/>
        </w:rPr>
        <w:t>melhores práticas para gerenciamento de serviços de TI</w:t>
      </w:r>
      <w:r w:rsidRPr="007B7440">
        <w:rPr>
          <w:rFonts w:ascii="Arial" w:hAnsi="Arial" w:cs="Arial"/>
          <w:sz w:val="24"/>
          <w:szCs w:val="24"/>
        </w:rPr>
        <w:t>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A literatura inclui informações sobre processos, funções e outras habilidades. Elementos básicos para um provedor de serviço entregar serviços de TI com qualidade.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A literatura ITIL descreve </w:t>
      </w:r>
      <w:r w:rsidRPr="007B7440">
        <w:rPr>
          <w:rStyle w:val="Forte"/>
          <w:rFonts w:ascii="Arial" w:hAnsi="Arial" w:cs="Arial"/>
          <w:b w:val="0"/>
          <w:sz w:val="24"/>
          <w:szCs w:val="24"/>
        </w:rPr>
        <w:t>práticas testadas e validadas</w:t>
      </w:r>
      <w:r w:rsidRPr="007B7440">
        <w:rPr>
          <w:rFonts w:ascii="Arial" w:hAnsi="Arial" w:cs="Arial"/>
          <w:sz w:val="24"/>
          <w:szCs w:val="24"/>
        </w:rPr>
        <w:t xml:space="preserve"> por várias organizações em todo o mundo.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Em 2007, a segunda maior atualização da ITIL foi publicada. Foram considerados novos modelos e arquiteturas, como outsourcing, serviços compartilhados, cloud, virtualização, webservices e mobile.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A abordagem da ITIL foi reforçada com a estrutura do </w:t>
      </w:r>
      <w:r w:rsidRPr="007B7440">
        <w:rPr>
          <w:rStyle w:val="Forte"/>
          <w:rFonts w:ascii="Arial" w:hAnsi="Arial" w:cs="Arial"/>
          <w:b w:val="0"/>
          <w:sz w:val="24"/>
          <w:szCs w:val="24"/>
        </w:rPr>
        <w:t>ciclo de vida de serviço. 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Esta modernização ficou conhecida como </w:t>
      </w:r>
      <w:r w:rsidRPr="007B7440">
        <w:rPr>
          <w:rStyle w:val="Forte"/>
          <w:rFonts w:ascii="Arial" w:hAnsi="Arial" w:cs="Arial"/>
          <w:b w:val="0"/>
          <w:sz w:val="24"/>
          <w:szCs w:val="24"/>
        </w:rPr>
        <w:t>ITIL V3</w:t>
      </w:r>
      <w:r w:rsidRPr="007B7440">
        <w:rPr>
          <w:rFonts w:ascii="Arial" w:hAnsi="Arial" w:cs="Arial"/>
          <w:sz w:val="24"/>
          <w:szCs w:val="24"/>
        </w:rPr>
        <w:t>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Em 2011, como parte deste compromisso com a melhoria continua, foi publicada uma atualização para melhorar a consistência entre as publicações principais.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Esta atualização ficou conhecida como </w:t>
      </w:r>
      <w:r w:rsidRPr="007B7440">
        <w:rPr>
          <w:rStyle w:val="Forte"/>
          <w:rFonts w:ascii="Arial" w:hAnsi="Arial" w:cs="Arial"/>
          <w:b w:val="0"/>
          <w:sz w:val="24"/>
          <w:szCs w:val="24"/>
        </w:rPr>
        <w:t>ITIL V3 2011.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Atualmente todas as publicações principais da ITIL já possuem uma estrutura idêntica de capítulos e tópicos, facilitando a navegação pelas mais de 400 páginas de cada um dos livros principais.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Diante de tudo disso, a ITIL é considerada como </w:t>
      </w:r>
      <w:r w:rsidRPr="007B7440">
        <w:rPr>
          <w:rStyle w:val="Forte"/>
          <w:rFonts w:ascii="Arial" w:hAnsi="Arial" w:cs="Arial"/>
          <w:b w:val="0"/>
          <w:sz w:val="24"/>
          <w:szCs w:val="24"/>
        </w:rPr>
        <w:t>a mais reconhecida referência de práticas de gerenciamento de serviços de TI do mundo.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Para se ter uma definição de o que é ITIL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®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é importante entender que ela é organizada em torno do ciclo de vida de um serviço dentro de uma organização e contém os seguintes volumes:</w:t>
      </w:r>
    </w:p>
    <w:p w:rsidR="001A2135" w:rsidRPr="007B7440" w:rsidRDefault="001A2135" w:rsidP="00253E5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Estratégia do Serviço (“Service 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Strategy</w:t>
      </w:r>
      <w:proofErr w:type="spellEnd"/>
      <w:r w:rsidRPr="007B7440">
        <w:rPr>
          <w:rFonts w:ascii="Arial" w:eastAsia="Times New Roman" w:hAnsi="Arial" w:cs="Arial"/>
          <w:sz w:val="24"/>
          <w:szCs w:val="24"/>
          <w:lang w:eastAsia="pt-BR"/>
        </w:rPr>
        <w:t>”): Definição dos requisitos e necessidades do negócio</w:t>
      </w:r>
    </w:p>
    <w:p w:rsidR="001A2135" w:rsidRPr="007B7440" w:rsidRDefault="001A2135" w:rsidP="00253E5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Projeto de Serviço (“Service Design”): Definição da solução a ser adotada</w:t>
      </w:r>
    </w:p>
    <w:p w:rsidR="001A2135" w:rsidRPr="007B7440" w:rsidRDefault="001A2135" w:rsidP="00253E5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Transição de Serviço (“Service 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Transition</w:t>
      </w:r>
      <w:proofErr w:type="spellEnd"/>
      <w:r w:rsidRPr="007B7440">
        <w:rPr>
          <w:rFonts w:ascii="Arial" w:eastAsia="Times New Roman" w:hAnsi="Arial" w:cs="Arial"/>
          <w:sz w:val="24"/>
          <w:szCs w:val="24"/>
          <w:lang w:eastAsia="pt-BR"/>
        </w:rPr>
        <w:t>”): Relacionado ao gerenciamento de mudanças</w:t>
      </w:r>
    </w:p>
    <w:p w:rsidR="001A2135" w:rsidRPr="007B7440" w:rsidRDefault="001A2135" w:rsidP="00253E5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Operação do Serviço (“Service 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Operation</w:t>
      </w:r>
      <w:proofErr w:type="spellEnd"/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”): Assegura que os serviços estão sendo atendidos baseado nos 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SLAs</w:t>
      </w:r>
      <w:proofErr w:type="spellEnd"/>
    </w:p>
    <w:p w:rsidR="001A2135" w:rsidRPr="007B7440" w:rsidRDefault="001A2135" w:rsidP="00253E5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Melhoria Contínua do Serviço (“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Continual</w:t>
      </w:r>
      <w:proofErr w:type="spellEnd"/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Service 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Improvement</w:t>
      </w:r>
      <w:proofErr w:type="spellEnd"/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”): Manter a constante melhoria dos serviços baseando-se no 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cliclo</w:t>
      </w:r>
      <w:proofErr w:type="spellEnd"/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6" w:tgtFrame="_blank" w:history="1">
        <w:r w:rsidRPr="007B7440">
          <w:rPr>
            <w:rFonts w:ascii="Arial" w:eastAsia="Times New Roman" w:hAnsi="Arial" w:cs="Arial"/>
            <w:sz w:val="24"/>
            <w:szCs w:val="24"/>
            <w:lang w:eastAsia="pt-BR"/>
          </w:rPr>
          <w:t>PDCA</w:t>
        </w:r>
      </w:hyperlink>
      <w:r w:rsidRPr="007B744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30707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69544C2" wp14:editId="3098E030">
            <wp:extent cx="5400040" cy="42665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Dentre os principais benefícios do uso do modelo ITIL V3 podemos mencionar:</w:t>
      </w:r>
    </w:p>
    <w:p w:rsidR="001A2135" w:rsidRPr="007B7440" w:rsidRDefault="001A2135" w:rsidP="00253E5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Alinhamento de TI, seus serviços e riscos com as necessidades do negócio</w:t>
      </w:r>
    </w:p>
    <w:p w:rsidR="001A2135" w:rsidRPr="007B7440" w:rsidRDefault="001A2135" w:rsidP="00253E5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Níveis de Serviço (SLA) negociáveis</w:t>
      </w:r>
    </w:p>
    <w:p w:rsidR="001A2135" w:rsidRPr="007B7440" w:rsidRDefault="001A2135" w:rsidP="00253E5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Processos consistentes e previsíveis</w:t>
      </w:r>
    </w:p>
    <w:p w:rsidR="001A2135" w:rsidRPr="007B7440" w:rsidRDefault="001A2135" w:rsidP="00253E5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Eficiência na entrega de serviço</w:t>
      </w:r>
    </w:p>
    <w:p w:rsidR="001A2135" w:rsidRPr="007B7440" w:rsidRDefault="001A2135" w:rsidP="00253E5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Serviços e Processos mensuráveis e passíveis de melhorias</w:t>
      </w:r>
    </w:p>
    <w:p w:rsidR="001A2135" w:rsidRPr="007B7440" w:rsidRDefault="001A2135" w:rsidP="00253E5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Otimização da experiência do cliente</w:t>
      </w:r>
    </w:p>
    <w:p w:rsidR="001A2135" w:rsidRPr="007B7440" w:rsidRDefault="001A2135" w:rsidP="00253E5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Uma linguagem comum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A2135" w:rsidRPr="007B7440" w:rsidRDefault="001A2135" w:rsidP="00253E57">
      <w:pPr>
        <w:pStyle w:val="Ttulo2"/>
        <w:spacing w:line="360" w:lineRule="auto"/>
        <w:rPr>
          <w:b w:val="0"/>
        </w:rPr>
      </w:pPr>
      <w:r w:rsidRPr="007B7440">
        <w:rPr>
          <w:b w:val="0"/>
        </w:rPr>
        <w:t xml:space="preserve">Estratégia de Serviço (ITIL Service </w:t>
      </w:r>
      <w:proofErr w:type="spellStart"/>
      <w:r w:rsidRPr="007B7440">
        <w:rPr>
          <w:b w:val="0"/>
        </w:rPr>
        <w:t>Strategy</w:t>
      </w:r>
      <w:proofErr w:type="spellEnd"/>
      <w:r w:rsidRPr="007B7440">
        <w:rPr>
          <w:b w:val="0"/>
        </w:rPr>
        <w:t>)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Este é um dos livros mais importantes e mais incompreendidos da biblioteca ITIL.  Qualquer pessoa que considere a ITIL como ‘um modelo para implementar um </w:t>
      </w:r>
      <w:hyperlink r:id="rId8" w:tgtFrame="_blank" w:history="1">
        <w:proofErr w:type="spellStart"/>
        <w:r w:rsidRPr="007B7440">
          <w:rPr>
            <w:rFonts w:ascii="Arial" w:eastAsia="Times New Roman" w:hAnsi="Arial" w:cs="Arial"/>
            <w:bCs/>
            <w:sz w:val="24"/>
            <w:szCs w:val="24"/>
            <w:lang w:eastAsia="pt-BR"/>
          </w:rPr>
          <w:t>service</w:t>
        </w:r>
        <w:proofErr w:type="spellEnd"/>
        <w:r w:rsidRPr="007B7440">
          <w:rPr>
            <w:rFonts w:ascii="Arial" w:eastAsia="Times New Roman" w:hAnsi="Arial" w:cs="Arial"/>
            <w:bCs/>
            <w:sz w:val="24"/>
            <w:szCs w:val="24"/>
            <w:lang w:eastAsia="pt-BR"/>
          </w:rPr>
          <w:t xml:space="preserve"> </w:t>
        </w:r>
        <w:proofErr w:type="spellStart"/>
        <w:r w:rsidRPr="007B7440">
          <w:rPr>
            <w:rFonts w:ascii="Arial" w:eastAsia="Times New Roman" w:hAnsi="Arial" w:cs="Arial"/>
            <w:bCs/>
            <w:sz w:val="24"/>
            <w:szCs w:val="24"/>
            <w:lang w:eastAsia="pt-BR"/>
          </w:rPr>
          <w:t>desk</w:t>
        </w:r>
        <w:proofErr w:type="spellEnd"/>
      </w:hyperlink>
      <w:r w:rsidRPr="007B7440">
        <w:rPr>
          <w:rFonts w:ascii="Arial" w:eastAsia="Times New Roman" w:hAnsi="Arial" w:cs="Arial"/>
          <w:sz w:val="24"/>
          <w:szCs w:val="24"/>
          <w:lang w:eastAsia="pt-BR"/>
        </w:rPr>
        <w:t>‘ certamente desconhece este livro.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Este é o estágio onde é definida a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direção estratégica dos serviços de TI, 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quem são os seus clientes e quais serviços serão disponibilizados pra eles.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A estratégia de serviço encoraja os provedores a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pensar de uma maneira mais estratégica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, endereçando perguntas como: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Como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nós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podemos fazer o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melhor uso dos serviços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beneficiar a organização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Como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nós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podemos nos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diferenciar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de outros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competidores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Como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nós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podemos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criar valor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para nossos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clientes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A estratégia de serviço permite que o gerenciamento de serviços se torne um ativo estratégico e assegurar que a entrega de serviços sempre seja focada em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suportar as necessidades de </w:t>
      </w:r>
      <w:r w:rsidR="007B7440"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negócio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br/>
        <w:t>As práticas descritas na estratégia de serviço cobrem duas áreas: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O uso do gerenciamento de serviços como um ativo estratégico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Os processos que vão habilitar a organização de TI a gerenciar os seus serviços de TI através do </w:t>
      </w:r>
      <w:proofErr w:type="spellStart"/>
      <w:r w:rsidRPr="007B7440">
        <w:rPr>
          <w:rFonts w:ascii="Arial" w:eastAsia="Times New Roman" w:hAnsi="Arial" w:cs="Arial"/>
          <w:sz w:val="24"/>
          <w:szCs w:val="24"/>
          <w:lang w:eastAsia="pt-BR"/>
        </w:rPr>
        <w:t>cilo</w:t>
      </w:r>
      <w:proofErr w:type="spellEnd"/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de vida de serviço.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Sendo assim, o provedor decide quais serviços de TI são necessários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ajudar o negócio a atingir seus resultados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. Uma vez definida a estratégia, são estabelecidas as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políticas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e padrões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facilitar a implementação da estratégia e consequentemente atingir os resultados propostos por ela.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Depois de definido quais são os serviços de TI necessários, a estratégia de serviço ainda inclui atividades para aprovar os serviços e adquirir o financiamento e recursos para desenvolve-lo.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Esses objetivos estratégicos são de fato implementados com o uso de outros estágios do ciclo de vida,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desenhar e implementar esses serviços em operação. E depois disso passar a gerencia-los e melhora-los continuamente.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Todas estas questões são detalhadas nos seguintes processos: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estratégico para serviços de TI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de relacionamento do negócio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do portfólio de serviço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financeiro para serviços de TI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da demanda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Repare que na estrutura sugerida pela ITIL, a estratégia é representada no centro da figura.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O motivo é simples. Nenhuma iniciativa ou projeto, seja o desenho de um novo serviço, ou a adequação de um processo, faz sentido se não for pensando em trazer benefícios ao negócio.</w:t>
      </w:r>
    </w:p>
    <w:p w:rsidR="001A2135" w:rsidRPr="007B7440" w:rsidRDefault="001A2135" w:rsidP="00253E57">
      <w:pPr>
        <w:pStyle w:val="Ttulo2"/>
        <w:spacing w:line="360" w:lineRule="auto"/>
        <w:rPr>
          <w:b w:val="0"/>
        </w:rPr>
      </w:pPr>
      <w:r w:rsidRPr="007B7440">
        <w:rPr>
          <w:b w:val="0"/>
        </w:rPr>
        <w:t>Desenho de Serviço (ITIL Service Design)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Desenhar um novo serviço ou modificar um já existente visando sua entrada no ambiente produtivo. Este é o objetivo (talvez um pouco óbvio) deste estágio do ciclo de vida de serviço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525" cy="9525"/>
            <wp:effectExtent l="0" t="0" r="0" b="0"/>
            <wp:docPr id="4" name="Imagem 4" descr="livro itil - desenho de serviç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vro itil - desenho de serviç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É o momento onde a ideia de um novo serviço ou a modificação de um serviço existente vai para o papel.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A partir dos requisitos do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negócio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que são estabelecidos no estágio da estratégia, são construídos planos, desenhos e estimativas de recursos para ajudar a compreensão dos recursos e habilidades envolvidos na criação ou modificação de um serviço.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estágio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de desenho de serviço incorpora os seguintes processos: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Coordenação do desenho 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de nível de serviço 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Gerenciamento do catalogo de serviço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de fornecedores 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da disponibilidade e capacidade 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da continuidade de serviços de TI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da Segurança da Informação </w:t>
      </w:r>
    </w:p>
    <w:p w:rsidR="001A2135" w:rsidRPr="007B7440" w:rsidRDefault="001A2135" w:rsidP="00253E57">
      <w:pPr>
        <w:pStyle w:val="Ttulo2"/>
        <w:spacing w:line="360" w:lineRule="auto"/>
        <w:rPr>
          <w:b w:val="0"/>
        </w:rPr>
      </w:pPr>
      <w:r w:rsidRPr="007B7440">
        <w:rPr>
          <w:b w:val="0"/>
        </w:rPr>
        <w:t xml:space="preserve">Transição de Serviço (ITIL Service </w:t>
      </w:r>
      <w:proofErr w:type="spellStart"/>
      <w:r w:rsidRPr="007B7440">
        <w:rPr>
          <w:b w:val="0"/>
        </w:rPr>
        <w:t>Transition</w:t>
      </w:r>
      <w:proofErr w:type="spellEnd"/>
      <w:r w:rsidRPr="007B7440">
        <w:rPr>
          <w:b w:val="0"/>
        </w:rPr>
        <w:t>)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O estágio de transição de serviço ajuda a organização a planejar e gerenciar mudanças em serviços e implementar liberações no ambiente produtivo. Por exemplo, instalar ou configurar um software, hardware e qualquer outro componente ou documentação associada).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A transição de serviço se preocupa em garantir que os requisitos da Estratégia, incluídos no Desenho, sejam efetivamente realizados na Operação ao mesmo tempo controlando os riscos de falhas e interrupções.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 xml:space="preserve">Em outras palavras, esse é o </w:t>
      </w:r>
      <w:r w:rsidR="007B7440" w:rsidRPr="007B7440">
        <w:rPr>
          <w:rFonts w:ascii="Arial" w:hAnsi="Arial" w:cs="Arial"/>
          <w:sz w:val="24"/>
          <w:szCs w:val="24"/>
        </w:rPr>
        <w:t>estágio</w:t>
      </w:r>
      <w:r w:rsidRPr="007B7440">
        <w:rPr>
          <w:rFonts w:ascii="Arial" w:hAnsi="Arial" w:cs="Arial"/>
          <w:sz w:val="24"/>
          <w:szCs w:val="24"/>
        </w:rPr>
        <w:t xml:space="preserve"> no qual os serviços são tirados do papel e de fato materializados, em algo “consumível”.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hAnsi="Arial" w:cs="Arial"/>
          <w:sz w:val="24"/>
          <w:szCs w:val="24"/>
        </w:rPr>
        <w:t>Os seguintes processos fazem parte desse estágio: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Style w:val="Forte"/>
          <w:rFonts w:ascii="Arial" w:hAnsi="Arial" w:cs="Arial"/>
          <w:b w:val="0"/>
          <w:sz w:val="24"/>
          <w:szCs w:val="24"/>
        </w:rPr>
        <w:t>Planejamento e suporte da transição 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Style w:val="Forte"/>
          <w:rFonts w:ascii="Arial" w:hAnsi="Arial" w:cs="Arial"/>
          <w:b w:val="0"/>
          <w:sz w:val="24"/>
          <w:szCs w:val="24"/>
        </w:rPr>
        <w:t>Gerenciamento de mudanças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Style w:val="Forte"/>
          <w:rFonts w:ascii="Arial" w:hAnsi="Arial" w:cs="Arial"/>
          <w:b w:val="0"/>
          <w:sz w:val="24"/>
          <w:szCs w:val="24"/>
        </w:rPr>
        <w:t>Gerenciamento da configuração e ativos de serviço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Style w:val="Forte"/>
          <w:rFonts w:ascii="Arial" w:hAnsi="Arial" w:cs="Arial"/>
          <w:b w:val="0"/>
          <w:sz w:val="24"/>
          <w:szCs w:val="24"/>
        </w:rPr>
        <w:t>Gerenciamento de liberação e implantação </w:t>
      </w:r>
    </w:p>
    <w:p w:rsidR="001A2135" w:rsidRPr="007B7440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Style w:val="Forte"/>
          <w:rFonts w:ascii="Arial" w:hAnsi="Arial" w:cs="Arial"/>
          <w:b w:val="0"/>
          <w:sz w:val="24"/>
          <w:szCs w:val="24"/>
        </w:rPr>
        <w:t>Gerenciamento do conhecimento</w:t>
      </w:r>
    </w:p>
    <w:p w:rsidR="001A2135" w:rsidRPr="007B7440" w:rsidRDefault="001A2135" w:rsidP="00253E57">
      <w:pPr>
        <w:pStyle w:val="Ttulo2"/>
        <w:spacing w:line="360" w:lineRule="auto"/>
        <w:rPr>
          <w:b w:val="0"/>
        </w:rPr>
      </w:pPr>
      <w:r w:rsidRPr="007B7440">
        <w:rPr>
          <w:b w:val="0"/>
        </w:rPr>
        <w:t xml:space="preserve">Operação de Serviço (ITIL Service </w:t>
      </w:r>
      <w:proofErr w:type="spellStart"/>
      <w:r w:rsidRPr="007B7440">
        <w:rPr>
          <w:b w:val="0"/>
        </w:rPr>
        <w:t>Operation</w:t>
      </w:r>
      <w:proofErr w:type="spellEnd"/>
      <w:r w:rsidRPr="007B7440">
        <w:rPr>
          <w:b w:val="0"/>
        </w:rPr>
        <w:t>)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Neste estágio são coordenadas e executadas as atividades e processos necessários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entregar os serviços aos clientes e usuários do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negócio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, e gerenciando os serviços nos níveis acordados.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operação de serviço também cobre o gerenciamento de rotina da tecnologia usada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entregar ou suportar os serviços.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Este é o ‘momento da verdade’. O momento em que os serviços de TI passam a ser consumidos pelos clientes e usuários.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Em outras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palavras,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é no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estágio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de operação de serviço </w:t>
      </w: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o valor do serviço é percebido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!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Os processos deste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estágio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do ciclo de vida incluem: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de eventos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de incidentes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Cumprimento de requisição 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de problemas 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bCs/>
          <w:sz w:val="24"/>
          <w:szCs w:val="24"/>
          <w:lang w:eastAsia="pt-BR"/>
        </w:rPr>
        <w:t>Gerenciamento de acesso </w:t>
      </w:r>
    </w:p>
    <w:p w:rsidR="001A2135" w:rsidRPr="007B7440" w:rsidRDefault="001A2135" w:rsidP="00253E57">
      <w:pPr>
        <w:pStyle w:val="Ttulo2"/>
        <w:spacing w:line="360" w:lineRule="auto"/>
        <w:rPr>
          <w:b w:val="0"/>
        </w:rPr>
      </w:pPr>
      <w:r w:rsidRPr="007B7440">
        <w:rPr>
          <w:b w:val="0"/>
        </w:rPr>
        <w:t xml:space="preserve">Melhoria de Serviço Continuada (ITIL </w:t>
      </w:r>
      <w:proofErr w:type="spellStart"/>
      <w:r w:rsidRPr="007B7440">
        <w:rPr>
          <w:b w:val="0"/>
        </w:rPr>
        <w:t>Continual</w:t>
      </w:r>
      <w:proofErr w:type="spellEnd"/>
      <w:r w:rsidRPr="007B7440">
        <w:rPr>
          <w:b w:val="0"/>
        </w:rPr>
        <w:t xml:space="preserve"> Service </w:t>
      </w:r>
      <w:proofErr w:type="spellStart"/>
      <w:r w:rsidRPr="007B7440">
        <w:rPr>
          <w:b w:val="0"/>
        </w:rPr>
        <w:t>Improvement</w:t>
      </w:r>
      <w:proofErr w:type="spellEnd"/>
      <w:r w:rsidRPr="007B7440">
        <w:rPr>
          <w:b w:val="0"/>
        </w:rPr>
        <w:t>)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propósito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 xml:space="preserve"> da melhoria continuada de serviço é alinhar e realinhar continuamente os serviços de TI de acordo com as necessidades do cliente, identificando e implementando melhorias aos serviços de TI que suportam os processos de </w:t>
      </w:r>
      <w:r w:rsidR="007B7440" w:rsidRPr="007B7440">
        <w:rPr>
          <w:rFonts w:ascii="Arial" w:eastAsia="Times New Roman" w:hAnsi="Arial" w:cs="Arial"/>
          <w:sz w:val="24"/>
          <w:szCs w:val="24"/>
          <w:lang w:eastAsia="pt-BR"/>
        </w:rPr>
        <w:t>negócio</w:t>
      </w:r>
      <w:r w:rsidRPr="007B744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Em linhas gerais, as atividades de melhoria continuada de serviço são: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Identificar, ou ajudar a identificar oportunidades de melhoria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Priorizar as melhorias identificadas</w:t>
      </w:r>
    </w:p>
    <w:p w:rsidR="001A2135" w:rsidRPr="007B7440" w:rsidRDefault="001A2135" w:rsidP="00253E57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Definir e executar, ou ajudar a definir e executar, iniciativas de melhoria.</w:t>
      </w:r>
    </w:p>
    <w:p w:rsidR="00A63B52" w:rsidRDefault="001A2135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7440">
        <w:rPr>
          <w:rFonts w:ascii="Arial" w:eastAsia="Times New Roman" w:hAnsi="Arial" w:cs="Arial"/>
          <w:sz w:val="24"/>
          <w:szCs w:val="24"/>
          <w:lang w:eastAsia="pt-BR"/>
        </w:rPr>
        <w:t>É importante reforçar que a melhoria continuada de serviço não diz respeito a um projeto de melhoria, mas a um número de iniciativas ou projetos recorrentes que visam melhorar um ou mais aspectos dos serviços de TI.</w:t>
      </w:r>
      <w:bookmarkStart w:id="0" w:name="_GoBack"/>
      <w:bookmarkEnd w:id="0"/>
    </w:p>
    <w:p w:rsidR="00A63B52" w:rsidRDefault="00A63B52" w:rsidP="00253E57">
      <w:pPr>
        <w:pStyle w:val="Ttulo2"/>
        <w:spacing w:line="360" w:lineRule="auto"/>
      </w:pPr>
      <w:r>
        <w:lastRenderedPageBreak/>
        <w:t>Bibliografia</w:t>
      </w:r>
    </w:p>
    <w:p w:rsidR="00A63B52" w:rsidRDefault="00A63B52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63B52" w:rsidRDefault="00253E57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A63B52" w:rsidRPr="00A71671">
          <w:rPr>
            <w:rStyle w:val="Hyperlink"/>
            <w:rFonts w:ascii="Arial" w:hAnsi="Arial" w:cs="Arial"/>
            <w:sz w:val="24"/>
            <w:szCs w:val="24"/>
          </w:rPr>
          <w:t>https://www.itsmnapratica.com.br/tudo-sobre-itil/</w:t>
        </w:r>
      </w:hyperlink>
    </w:p>
    <w:p w:rsidR="00A63B52" w:rsidRDefault="00253E57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="00A63B52" w:rsidRPr="00A71671">
          <w:rPr>
            <w:rStyle w:val="Hyperlink"/>
            <w:rFonts w:ascii="Arial" w:hAnsi="Arial" w:cs="Arial"/>
            <w:sz w:val="24"/>
            <w:szCs w:val="24"/>
          </w:rPr>
          <w:t>https://www.mundoitil.com.br/</w:t>
        </w:r>
      </w:hyperlink>
    </w:p>
    <w:p w:rsidR="00A63B52" w:rsidRPr="007B7440" w:rsidRDefault="00A63B52" w:rsidP="0025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63B52" w:rsidRPr="007B7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279"/>
    <w:multiLevelType w:val="multilevel"/>
    <w:tmpl w:val="A632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288C"/>
    <w:multiLevelType w:val="multilevel"/>
    <w:tmpl w:val="7824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30063"/>
    <w:multiLevelType w:val="multilevel"/>
    <w:tmpl w:val="1A58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C14FA"/>
    <w:multiLevelType w:val="multilevel"/>
    <w:tmpl w:val="D0E0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90D6B"/>
    <w:multiLevelType w:val="multilevel"/>
    <w:tmpl w:val="E24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C6639"/>
    <w:multiLevelType w:val="multilevel"/>
    <w:tmpl w:val="C9E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34F95"/>
    <w:multiLevelType w:val="multilevel"/>
    <w:tmpl w:val="976A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1ADB"/>
    <w:multiLevelType w:val="multilevel"/>
    <w:tmpl w:val="D9E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867BC"/>
    <w:multiLevelType w:val="multilevel"/>
    <w:tmpl w:val="C02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B7762"/>
    <w:multiLevelType w:val="multilevel"/>
    <w:tmpl w:val="8C8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91C06"/>
    <w:multiLevelType w:val="multilevel"/>
    <w:tmpl w:val="9B9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E0941"/>
    <w:multiLevelType w:val="multilevel"/>
    <w:tmpl w:val="6FB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05D44"/>
    <w:multiLevelType w:val="multilevel"/>
    <w:tmpl w:val="AA8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37379"/>
    <w:multiLevelType w:val="multilevel"/>
    <w:tmpl w:val="693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A769E"/>
    <w:multiLevelType w:val="multilevel"/>
    <w:tmpl w:val="A3EE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50CA0"/>
    <w:multiLevelType w:val="multilevel"/>
    <w:tmpl w:val="0236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4536A"/>
    <w:multiLevelType w:val="multilevel"/>
    <w:tmpl w:val="8CB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5219B"/>
    <w:multiLevelType w:val="multilevel"/>
    <w:tmpl w:val="EC8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A4BA8"/>
    <w:multiLevelType w:val="multilevel"/>
    <w:tmpl w:val="3E7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11B19"/>
    <w:multiLevelType w:val="multilevel"/>
    <w:tmpl w:val="661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61136"/>
    <w:multiLevelType w:val="hybridMultilevel"/>
    <w:tmpl w:val="05D040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3F31E33"/>
    <w:multiLevelType w:val="multilevel"/>
    <w:tmpl w:val="719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630BB"/>
    <w:multiLevelType w:val="multilevel"/>
    <w:tmpl w:val="4438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430FDB"/>
    <w:multiLevelType w:val="multilevel"/>
    <w:tmpl w:val="E78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7A33A6"/>
    <w:multiLevelType w:val="hybridMultilevel"/>
    <w:tmpl w:val="569E4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F2897"/>
    <w:multiLevelType w:val="multilevel"/>
    <w:tmpl w:val="BD68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556CD"/>
    <w:multiLevelType w:val="multilevel"/>
    <w:tmpl w:val="9F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C040F6"/>
    <w:multiLevelType w:val="multilevel"/>
    <w:tmpl w:val="A1AE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B085A"/>
    <w:multiLevelType w:val="multilevel"/>
    <w:tmpl w:val="189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6668CD"/>
    <w:multiLevelType w:val="multilevel"/>
    <w:tmpl w:val="B426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8"/>
  </w:num>
  <w:num w:numId="4">
    <w:abstractNumId w:val="13"/>
  </w:num>
  <w:num w:numId="5">
    <w:abstractNumId w:val="27"/>
  </w:num>
  <w:num w:numId="6">
    <w:abstractNumId w:val="0"/>
  </w:num>
  <w:num w:numId="7">
    <w:abstractNumId w:val="14"/>
  </w:num>
  <w:num w:numId="8">
    <w:abstractNumId w:val="21"/>
  </w:num>
  <w:num w:numId="9">
    <w:abstractNumId w:val="5"/>
  </w:num>
  <w:num w:numId="10">
    <w:abstractNumId w:val="6"/>
  </w:num>
  <w:num w:numId="11">
    <w:abstractNumId w:val="4"/>
  </w:num>
  <w:num w:numId="12">
    <w:abstractNumId w:val="11"/>
  </w:num>
  <w:num w:numId="13">
    <w:abstractNumId w:val="2"/>
  </w:num>
  <w:num w:numId="14">
    <w:abstractNumId w:val="12"/>
  </w:num>
  <w:num w:numId="15">
    <w:abstractNumId w:val="10"/>
  </w:num>
  <w:num w:numId="16">
    <w:abstractNumId w:val="1"/>
  </w:num>
  <w:num w:numId="17">
    <w:abstractNumId w:val="8"/>
  </w:num>
  <w:num w:numId="18">
    <w:abstractNumId w:val="3"/>
  </w:num>
  <w:num w:numId="19">
    <w:abstractNumId w:val="29"/>
  </w:num>
  <w:num w:numId="20">
    <w:abstractNumId w:val="9"/>
  </w:num>
  <w:num w:numId="21">
    <w:abstractNumId w:val="26"/>
  </w:num>
  <w:num w:numId="22">
    <w:abstractNumId w:val="16"/>
  </w:num>
  <w:num w:numId="23">
    <w:abstractNumId w:val="28"/>
  </w:num>
  <w:num w:numId="24">
    <w:abstractNumId w:val="17"/>
  </w:num>
  <w:num w:numId="25">
    <w:abstractNumId w:val="25"/>
  </w:num>
  <w:num w:numId="26">
    <w:abstractNumId w:val="23"/>
  </w:num>
  <w:num w:numId="27">
    <w:abstractNumId w:val="19"/>
  </w:num>
  <w:num w:numId="28">
    <w:abstractNumId w:val="7"/>
  </w:num>
  <w:num w:numId="29">
    <w:abstractNumId w:val="2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135"/>
    <w:rsid w:val="001A2135"/>
    <w:rsid w:val="00230707"/>
    <w:rsid w:val="00253E57"/>
    <w:rsid w:val="00583B03"/>
    <w:rsid w:val="007B7440"/>
    <w:rsid w:val="00A6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1A8C"/>
  <w15:chartTrackingRefBased/>
  <w15:docId w15:val="{CDC42425-980A-42ED-8D10-9806008D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A21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2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A2135"/>
    <w:rPr>
      <w:i/>
      <w:iCs/>
    </w:rPr>
  </w:style>
  <w:style w:type="character" w:styleId="Forte">
    <w:name w:val="Strong"/>
    <w:basedOn w:val="Fontepargpadro"/>
    <w:uiPriority w:val="22"/>
    <w:qFormat/>
    <w:rsid w:val="001A2135"/>
    <w:rPr>
      <w:b/>
      <w:bCs/>
    </w:rPr>
  </w:style>
  <w:style w:type="character" w:styleId="Hyperlink">
    <w:name w:val="Hyperlink"/>
    <w:basedOn w:val="Fontepargpadro"/>
    <w:uiPriority w:val="99"/>
    <w:unhideWhenUsed/>
    <w:rsid w:val="001A213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A21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21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A21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A2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smnapratica.com.br/service-desk-e-iti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Ciclo_PDCA" TargetMode="External"/><Relationship Id="rId11" Type="http://schemas.openxmlformats.org/officeDocument/2006/relationships/hyperlink" Target="https://www.mundoitil.com.b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tsmnapratica.com.br/tudo-sobre-iti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1346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Thiago Garcez Penachia</cp:lastModifiedBy>
  <cp:revision>4</cp:revision>
  <dcterms:created xsi:type="dcterms:W3CDTF">2018-11-09T11:23:00Z</dcterms:created>
  <dcterms:modified xsi:type="dcterms:W3CDTF">2018-11-09T11:51:00Z</dcterms:modified>
</cp:coreProperties>
</file>