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Introdução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 análise de dados tornou-se um pilar fundamental para a gestão pública no século XXI, oferecendo insights precisos para a tomada de decisões baseadas em evidências. Em municípios como Arujá/SP, onde a diversidade populacional e territorial demanda políticas focalizadas, entender padrões demográficos e geográficos é essencial para promover equidade e eficiência na alocação de recursos. Este trabalho, desenvolvido no âmbito das Ciências de Dados, utiliza uma base de registros anonimizados d</w:t>
      </w:r>
      <w:r>
        <w:rPr/>
        <w:t xml:space="preserve">o cadastro de </w:t>
      </w:r>
      <w:r>
        <w:rPr/>
        <w:t>carteirinhas para explorar três dimensões críticas: distribuição etária, disparidades de gênero e heterogeneidade espacial, com o objetivo de subsidiar estratégias públicas mais inclusivas.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 partir de técnicas de estatística descritiva e visualização georreferenciada, identificamos que a amostra analisada reflete tendências demográficas nacionais, como a predominância feminina (52,08%) e a concentração de crianças e adolescentes (55,5% com menos de 18 anos). Contudo, a análise territorial revelou disparidades marcantes: enquanto bairros centrais, como o Parque Rodrigo Barreto, concentram 17,4% dos registros, áreas periféricas como Chácaras Copaco apresentam representação mínima (2,1%), sinalizando possíveis barreiras de acesso a serviços públicos.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Além disso, a integração de mapas de calor e gráficos multivariados permitiu identificar correlações entre variáveis como tipo </w:t>
      </w:r>
      <w:r>
        <w:rPr/>
        <w:t>sexo</w:t>
      </w:r>
      <w:r>
        <w:rPr/>
        <w:t xml:space="preserve"> e faixa etária, bem como padrões de distribuição espacial que desafiam a noção de universalidade no atendimento. Por exemplo, a idade média em bairros centrais supera 50 anos, enquanto regiões como o Jardim Fazenda Rincão têm população majoritariamente infantil, demandando intervenções específicas em saúde e educação.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Este estudo não apenas evidencia a importância da análise espacial para o planejamento urbano, mas também ressalta a urgência de políticas descentralizadas que atendam às particularidades de cada território. Ao combinar métodos quantitativos e geoestatísticos, oferecemos um modelo replicável para outros municípios, destacando como a Ciência de Dados pode transformar registros administrativos em ferramentas poderosas para a justiça social.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Analise por idade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Analisando os dados pelo ponto de vista da idade nota-se a maior concentração de pessoas está na faixa de 6 a 12 anos, totalizando 63 indivíduos, o que representa 43,75% da amostra. As faixas etárias de 0 a 2 anos e 3 a 5 anos somam 9 e 32 indivíduos, respectivamente, o que corresponde a 6,25% e 22,22%. Somadas, as faixas etárias até 12 anos representam 72,22% do total, indicando que a amostra é majoritariamente composta por jovens. </w:t>
        <w:tab/>
        <w:t>As demais faixas apresentam uma frequência significativamente menor, com destaque para a faixa de 13 a 18 anos, que representa 13,19% da amostra. Faixas adultas, como 19 a 30 anos (2,78%), 31 a 50 anos (6,25%) e 51 anos ou mais (5,56%), compõem juntas apenas 14,59% do total.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ab/>
        <w:t>Essa distribuição reforça o caráter infantil juvenil da população estudada, o que pode estar diretamente relacionado a melhorias aplicadas na metodologia de diagnóstico.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Foram imputados 144 registros onde: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both"/>
        <w:rPr/>
      </w:pPr>
      <w:r>
        <w:rPr>
          <w:rFonts w:ascii="Times New Roman" w:hAnsi="Times New Roman"/>
        </w:rPr>
        <w:t xml:space="preserve">A </w:t>
      </w:r>
      <w:r>
        <w:rPr>
          <w:rStyle w:val="Strong"/>
          <w:rFonts w:ascii="Times New Roman" w:hAnsi="Times New Roman"/>
        </w:rPr>
        <w:t>idade média</w:t>
      </w:r>
      <w:r>
        <w:rPr>
          <w:rFonts w:ascii="Times New Roman" w:hAnsi="Times New Roman"/>
        </w:rPr>
        <w:t xml:space="preserve"> é de aproximadamente </w:t>
      </w:r>
      <w:r>
        <w:rPr>
          <w:rStyle w:val="Strong"/>
          <w:rFonts w:ascii="Times New Roman" w:hAnsi="Times New Roman"/>
        </w:rPr>
        <w:t>12,13 anos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both"/>
        <w:rPr/>
      </w:pPr>
      <w:r>
        <w:rPr>
          <w:rFonts w:ascii="Times New Roman" w:hAnsi="Times New Roman"/>
        </w:rPr>
        <w:t xml:space="preserve">O </w:t>
      </w:r>
      <w:r>
        <w:rPr>
          <w:rStyle w:val="Strong"/>
          <w:rFonts w:ascii="Times New Roman" w:hAnsi="Times New Roman"/>
        </w:rPr>
        <w:t>desvio padrão</w:t>
      </w:r>
      <w:r>
        <w:rPr>
          <w:rFonts w:ascii="Times New Roman" w:hAnsi="Times New Roman"/>
        </w:rPr>
        <w:t xml:space="preserve"> é 13,26, o que indica que há bastante variação nas idades.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both"/>
        <w:rPr/>
      </w:pPr>
      <w:r>
        <w:rPr>
          <w:rFonts w:ascii="Times New Roman" w:hAnsi="Times New Roman"/>
        </w:rPr>
        <w:t xml:space="preserve">A </w:t>
      </w:r>
      <w:r>
        <w:rPr>
          <w:rStyle w:val="Strong"/>
          <w:rFonts w:ascii="Times New Roman" w:hAnsi="Times New Roman"/>
        </w:rPr>
        <w:t>idade mínima</w:t>
      </w:r>
      <w:r>
        <w:rPr>
          <w:rFonts w:ascii="Times New Roman" w:hAnsi="Times New Roman"/>
        </w:rPr>
        <w:t xml:space="preserve"> é 0 (o usuário não completou 1 ano ainda).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both"/>
        <w:rPr/>
      </w:pPr>
      <w:r>
        <w:rPr>
          <w:rFonts w:ascii="Times New Roman" w:hAnsi="Times New Roman"/>
        </w:rPr>
        <w:t xml:space="preserve">A maioria das idades está entre </w:t>
      </w:r>
      <w:r>
        <w:rPr>
          <w:rStyle w:val="Strong"/>
          <w:rFonts w:ascii="Times New Roman" w:hAnsi="Times New Roman"/>
        </w:rPr>
        <w:t>4 e 13 anos</w:t>
      </w:r>
      <w:r>
        <w:rPr>
          <w:rFonts w:ascii="Times New Roman" w:hAnsi="Times New Roman"/>
        </w:rPr>
        <w:t>, pois esses são os quartis.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both"/>
        <w:rPr/>
      </w:pPr>
      <w:r>
        <w:rPr>
          <w:rFonts w:ascii="Times New Roman" w:hAnsi="Times New Roman"/>
        </w:rPr>
        <w:t xml:space="preserve">A </w:t>
      </w:r>
      <w:r>
        <w:rPr>
          <w:rStyle w:val="Strong"/>
          <w:rFonts w:ascii="Times New Roman" w:hAnsi="Times New Roman"/>
        </w:rPr>
        <w:t>mediana</w:t>
      </w:r>
      <w:r>
        <w:rPr>
          <w:rFonts w:ascii="Times New Roman" w:hAnsi="Times New Roman"/>
        </w:rPr>
        <w:t xml:space="preserve"> (valor central) é 8 anos, ou seja, metade dos registros tem idade menor que isso.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start="720"/>
        <w:jc w:val="both"/>
        <w:rPr/>
      </w:pPr>
      <w:r>
        <w:rPr/>
        <w:t xml:space="preserve">O valor </w:t>
      </w:r>
      <w:r>
        <w:rPr>
          <w:rStyle w:val="Strong"/>
        </w:rPr>
        <w:t>máximo</w:t>
      </w:r>
      <w:r>
        <w:rPr/>
        <w:t xml:space="preserve"> registrado é 58 anos.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1610" cy="2609850"/>
            <wp:effectExtent l="0" t="0" r="0" b="0"/>
            <wp:wrapSquare wrapText="largest"/>
            <wp:docPr id="1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Tabela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– Distribuição de Idades por Faixa Etária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Gráfico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– Distribuição de Idades por Faixa Etária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Gráfico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0755"/>
            <wp:effectExtent l="0" t="0" r="0" b="0"/>
            <wp:wrapSquare wrapText="largest"/>
            <wp:docPr id="3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– Distribuição Etária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Analise por sexo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Analisando os dados pelo ponto de vista do sexo nota-se que a uma ligeira predominância do sexo feminino (52,08%), com 75 registros, contra 47,92% do sexo masculino (69 registros). A diferença absoluta é de 6 pessoas entre os grupos, indicando uma distribuição equilibrada, sem viés significativo em relação ao gênero. Essa proporção (~52% mulheres e ~48% homens) está alinhada com a distribuição demográfica brasileira, onde as mulheres representam cerca de 51,1% da população.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1421765</wp:posOffset>
            </wp:positionH>
            <wp:positionV relativeFrom="paragraph">
              <wp:posOffset>93345</wp:posOffset>
            </wp:positionV>
            <wp:extent cx="3276600" cy="1133475"/>
            <wp:effectExtent l="0" t="0" r="0" b="0"/>
            <wp:wrapSquare wrapText="largest"/>
            <wp:docPr id="4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/>
      </w:pPr>
      <w:r>
        <w:rPr/>
        <w:t xml:space="preserve">Tabela </w:t>
      </w:r>
      <w:r>
        <w:rPr/>
        <w:t>2</w:t>
      </w:r>
      <w:r>
        <w:rPr/>
        <w:t xml:space="preserve"> – Distribuição por sexo.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2380"/>
            <wp:effectExtent l="0" t="0" r="0" b="0"/>
            <wp:wrapSquare wrapText="largest"/>
            <wp:docPr id="5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Gráfico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– Distribuição por sexo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color w:val="000000"/>
        </w:rPr>
        <w:t>Análise Descritiva: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Crianças (0-12 anos)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Representam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55.56% da amostra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(80/144), com leve predominância feminina (52.5%).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Adolescentes (13-18 anos)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22.92% da amostra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, mantendo proporção similar entre sexos (~54% F vs ~45% M).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Adultos (31+ anos)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>
          <w:color w:val="000000"/>
        </w:rPr>
      </w:pPr>
      <w:r>
        <w:rPr>
          <w:rFonts w:ascii="Times New Roman" w:hAnsi="Times New Roman"/>
          <w:color w:val="000000"/>
        </w:rPr>
        <w:t>A partir dos 31 anos, há inversão: homens passam a ser maioria (54.55% M na faixa 31-50 anos, 60% M em 51+).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Consistência geral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>
          <w:color w:val="000000"/>
        </w:rPr>
      </w:pPr>
      <w:r>
        <w:rPr>
          <w:rFonts w:ascii="Times New Roman" w:hAnsi="Times New Roman"/>
          <w:color w:val="000000"/>
        </w:rPr>
        <w:t>A proporção total (52.08% F / 47.92% M) mantém-se estável nas faixas mais jovens, com variações significativas apenas em grupos menores (idosos).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Fonte: "Dados processados pelo autor (2025)".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256222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Tabela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– Distribuição por Sexo e Faixa Etária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Gráfico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– Distribuição por Sexo e Faixa Etária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/>
          <w:bCs/>
        </w:rPr>
      </w:pPr>
      <w:r>
        <w:rPr>
          <w:b/>
          <w:bCs/>
        </w:rPr>
        <w:t xml:space="preserve">Analise por </w:t>
      </w:r>
      <w:r>
        <w:rPr>
          <w:b/>
          <w:bCs/>
        </w:rPr>
        <w:t>Tipo Sanguíneo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A distribuição de tipos sanguíneos em uma população é um tema de grande relevância para a saúde pública, planejamento médico e gestão de recursos em emergências. Conhecer a prevalência de cada tipo sanguíneo (A, B, AB e O, combinados com os fatores Rh+ e Rh-) permite otimizar estoques em bancos de sangue, orientar campanhas de doação e antecipar desafios em procedimentos críticos, como transfusões e transplantes. Em contextos locais, como o município de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Arujá/SP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, essa análise ganha ainda mais importância, pois reflete particularidades demográficas e necessidades específicas da comunidade.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Brasil, segundo a Fundação Pró-Sangue, a distribuição aproximada é:</w:t>
      </w:r>
    </w:p>
    <w:tbl>
      <w:tblPr>
        <w:tblW w:w="6810" w:type="dxa"/>
        <w:jc w:val="start"/>
        <w:tblInd w:w="66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30"/>
        <w:gridCol w:w="3180"/>
      </w:tblGrid>
      <w:tr>
        <w:trPr/>
        <w:tc>
          <w:tcPr>
            <w:tcW w:w="3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Tipo sanguíneo</w:t>
            </w:r>
          </w:p>
        </w:tc>
        <w:tc>
          <w:tcPr>
            <w:tcW w:w="3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Porcentagem %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O+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36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A+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34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B+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AB+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O-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A-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B-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3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AB-</w:t>
            </w:r>
          </w:p>
        </w:tc>
        <w:tc>
          <w:tcPr>
            <w:tcW w:w="31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color w:val="000000"/>
        </w:rPr>
        <w:t>Esses dados nacionais, porém, podem variar regionalmente devido a fatores genéticos, migratórios e étnicos. Por isso, análises locais, como a realizada neste estudo, são fundamentais para embasar políticas públicas precisas.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Neste trabalho, utilizamos uma base de dados de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144 registros anonimizados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de carteirinhas de Arujá/SP para explorar:</w:t>
      </w:r>
    </w:p>
    <w:p>
      <w:pPr>
        <w:pStyle w:val="Normal"/>
        <w:numPr>
          <w:ilvl w:val="0"/>
          <w:numId w:val="18"/>
        </w:numPr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Prevalência dos tipos sanguíneos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na amostra.</w:t>
      </w:r>
    </w:p>
    <w:p>
      <w:pPr>
        <w:pStyle w:val="Normal"/>
        <w:numPr>
          <w:ilvl w:val="0"/>
          <w:numId w:val="18"/>
        </w:numPr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Comparação com padrões nacionais e internacionais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numPr>
          <w:ilvl w:val="0"/>
          <w:numId w:val="18"/>
        </w:numPr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Implicações práticas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para gestão de bancos de sangue e saúde coletiva.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Os resultados revelaram, por exemplo, que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O+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é o tipo mais frequente (24,31%), seguido por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(17,36%), enquanto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AB-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AB+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são os mais raros (6,94% e 5,56%, respectivamente). Essa distribuição reforça a necessidade de estratégias direcionadas para garantir estoques adequados de tipos raros, além de campanhas educativas para sensibilizar doadores.</w:t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Além disso, a análise por tipo sanguíneo pode ser cruzada com outras variáveis (como idade, sexo e bairro) para identificar padrões ocultos. Por exemplo: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Crianças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tendem a ter maior prevalência de tipos O+ e A+?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Há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bairros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com concentração incomum de tipos raros?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Ao integrar técnicas de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Ciência de Dados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a questões de saúde pública, este estudo não apenas contribui para a literatura acadêmica, mas também oferece um modelo replicável para outros municípios, destacando como dados administrativos podem ser transformados em ferramentas para salvar vidas.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1197610</wp:posOffset>
            </wp:positionH>
            <wp:positionV relativeFrom="paragraph">
              <wp:posOffset>140970</wp:posOffset>
            </wp:positionV>
            <wp:extent cx="3610610" cy="3077210"/>
            <wp:effectExtent l="0" t="0" r="0" b="0"/>
            <wp:wrapSquare wrapText="largest"/>
            <wp:docPr id="8" name="Figura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-76200</wp:posOffset>
            </wp:positionH>
            <wp:positionV relativeFrom="paragraph">
              <wp:posOffset>685800</wp:posOffset>
            </wp:positionV>
            <wp:extent cx="6120130" cy="3650615"/>
            <wp:effectExtent l="0" t="0" r="0" b="0"/>
            <wp:wrapSquare wrapText="largest"/>
            <wp:docPr id="9" name="Figura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Tabela 4 – Distribuição por tipo Sanguíneo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Gráfico 5—Distribuição por tipo Sanguíneo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/>
          <w:bCs/>
        </w:rPr>
      </w:pPr>
      <w:r>
        <w:rPr>
          <w:b/>
          <w:bCs/>
        </w:rPr>
        <w:t>Analise por Bairros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 distribuição geográfica de dados populacionais é um instrumento fundamental para a gestão pública, permitindo identificar desigualdades, alocar recursos de forma eficiente e direcionar políticas sociais com base em evidências. No contexto deste estudo, a análise por bairros revela padrões espaciais críticos que podem refletir desde desigualdades no acesso a serviços até necessidades específicas de comunidades locais.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Os dados coletados demonstram uma distribuição heterogênea da amostra entre os bairros do município, com concentrações significativas em regiões como o Parque Rodrigo Barreto (17,36% dos registros) e o Jardim Fazenda Rincão (12,5%), enquanto outras áreas aparecem com representação mínima. Essa disparidade pode ser influenciada por fatores como: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Acesso a serviços públicos (ex.: proximidade de postos de saúde, escolas ou centros de cadastro);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Densidade populacional (bairros mais habitados tendem a aparecer com maior frequência);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Barreiras socioeconômicas (populações em áreas periféricas podem ter menor acesso a registros formais).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Além disso, a análise por bairros é essencial para: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Priorizar investimentos em infraestrutura, saúde e educação onde há maior demanda;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Identificar lacunas na cobertura de serviços públicos;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Promover equidade, garantindo que políticas públicas atendam tanto a áreas centrais quanto a regiões menos assistidas.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4420235"/>
            <wp:effectExtent l="0" t="0" r="0" b="0"/>
            <wp:wrapSquare wrapText="largest"/>
            <wp:docPr id="10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Tabela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– Distribuição por Bairro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8635"/>
            <wp:effectExtent l="0" t="0" r="0" b="0"/>
            <wp:wrapSquare wrapText="largest"/>
            <wp:docPr id="11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– Distribuição da Amostra por Bairros (Top 10 + Outros)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9940" cy="3757930"/>
            <wp:effectExtent l="0" t="0" r="0" b="0"/>
            <wp:wrapSquare wrapText="largest"/>
            <wp:docPr id="12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75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– Proporção por bairro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Gráfico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9260"/>
            <wp:effectExtent l="0" t="0" r="0" b="0"/>
            <wp:wrapSquare wrapText="largest"/>
            <wp:docPr id="13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– Idade Média por Bairro e Sexo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Análise Espacial da Distribuição dos Usuários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 mapa georreferenciado (</w:t>
      </w:r>
      <w:hyperlink r:id="rId15">
        <w:r>
          <w:rPr>
            <w:rStyle w:val="Hyperlink"/>
            <w:rFonts w:ascii="Times New Roman" w:hAnsi="Times New Roman"/>
          </w:rPr>
          <w:t>https://www.google.com/maps/d/viewer?mid=16e9rmzIG-UX9QjpSrtZQ4e0OzMVU4JU&amp;ll=-23.397215394932733%2C-46.300880564263906&amp;z=15</w:t>
        </w:r>
      </w:hyperlink>
      <w:r>
        <w:rPr>
          <w:rFonts w:ascii="Times New Roman" w:hAnsi="Times New Roman"/>
        </w:rPr>
        <w:t>) revela a distribuição territorial dos indivíduos cadastrados no município de Arujá/SP, permitindo identificar clusters de concentração e áreas sub-representadas. Os dados espaciais destacam três padrões críticos: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Concentração em Áreas Centrais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ab/>
        <w:t>Regiões como o Centro e o Parque Rodrigo Barreto apresentam maior densidade de registros, refletindo:</w:t>
      </w:r>
    </w:p>
    <w:p>
      <w:pPr>
        <w:pStyle w:val="Normal"/>
        <w:numPr>
          <w:ilvl w:val="0"/>
          <w:numId w:val="1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Facilidade de acesso a serviços públicos (ex.: posto de saúde onde os dados foram coletados).</w:t>
      </w:r>
    </w:p>
    <w:p>
      <w:pPr>
        <w:pStyle w:val="Normal"/>
        <w:numPr>
          <w:ilvl w:val="0"/>
          <w:numId w:val="1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Maior densidade populacional típica de zonas urbanizadas.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Dispersão em Periferias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Bairros como Chácaras Copaco e Arujazinho (pontos verdes isolados) têm poucos registros, sugerindo: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Barreiras geográficas (distância até locais de cadastro).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Carência de infraestrutura (ex.: transporte público para chegar aos pontos de atendimento).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Corredores de Exclusão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Áreas ao longo da Rodovia Presidente Dutra e na divisa leste do município aparecem com baixa representação, possivelmente indicando:</w:t>
      </w:r>
    </w:p>
    <w:p>
      <w:pPr>
        <w:pStyle w:val="Normal"/>
        <w:numPr>
          <w:ilvl w:val="0"/>
          <w:numId w:val="1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Desigualdade na oferta de serviços entre regiões.</w:t>
      </w:r>
    </w:p>
    <w:p>
      <w:pPr>
        <w:pStyle w:val="Normal"/>
        <w:numPr>
          <w:ilvl w:val="0"/>
          <w:numId w:val="1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Populações invisibilizadas (ex.: assentamentos informais não mapeados).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www.google.com/maps/d/viewer?mid=16e9rmzIG-UX9QjpSrtZQ4e0OzMVU4JU&amp;ll=-23.397215394932733%2C-46.300880564263906&amp;z=15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LibreOffice/24.8.6.2$Windows_X86_64 LibreOffice_project/6d98ba145e9a8a39fc57bcc76981d1fb1316c60c</Application>
  <AppVersion>15.0000</AppVersion>
  <Pages>11</Pages>
  <Words>1475</Words>
  <Characters>8529</Characters>
  <CharactersWithSpaces>9906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2025-04-22T19:42:09Z</dcterms:created>
  <dc:creator/>
  <dc:description/>
  <dc:language>pt-BR</dc:language>
  <cp:lastModifiedBy/>
  <dcterms:modified xsi:type="dcterms:W3CDTF">2025-04-24T21:27:15Z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