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EMPRESA DEL GRUPO MORATTI</w:t>
      </w:r>
    </w:p>
    <w:p>
      <w:pPr>
        <w:spacing w:after="60"/>
        <w:jc w:val="center"/>
      </w:pPr>
      <w:r>
        <w:rPr>
          <w:rFonts w:ascii="Arial" w:cs="Arial" w:eastAsia="Arial" w:hAnsi="Arial"/>
          <w:color w:val="C8A400"/>
          <w:sz w:val="22"/>
          <w:szCs w:val="22"/>
        </w:rPr>
        <w:t xml:space="preserve">Departamento de Tecnologia e Infraestructura</w:t>
      </w:r>
    </w:p>
    <w:p>
      <w:pPr>
        <w:pBdr>
          <w:bottom w:val="single" w:color="F5DEB3" w:sz="2" w:space="1"/>
        </w:pBdr>
        <w:spacing w:after="14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F5DEB3" w:sz="1"/>
              <w:left w:val="single" w:color="F5DEB3" w:sz="1"/>
              <w:bottom w:val="single" w:color="F5DEB3" w:sz="1"/>
              <w:right w:val="single" w:color="F5DEB3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17"/>
                <w:szCs w:val="17"/>
              </w:rPr>
              <w:t xml:space="preserve">COTIZACION N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COT-2025-001</w:t>
            </w:r>
          </w:p>
        </w:tc>
        <w:tc>
          <w:tcPr>
            <w:tcW w:type="dxa" w:w="2500"/>
            <w:tcBorders>
              <w:top w:val="single" w:color="F5DEB3" w:sz="1"/>
              <w:left w:val="single" w:color="F5DEB3" w:sz="1"/>
              <w:bottom w:val="single" w:color="F5DEB3" w:sz="1"/>
              <w:right w:val="single" w:color="F5DEB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17"/>
                <w:szCs w:val="17"/>
              </w:rPr>
              <w:t xml:space="preserve">FECHA DE EMISION</w:t>
            </w:r>
          </w:p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13 de Abril, 2026</w:t>
            </w:r>
          </w:p>
        </w:tc>
        <w:tc>
          <w:tcPr>
            <w:tcW w:type="dxa" w:w="2500"/>
            <w:tcBorders>
              <w:top w:val="single" w:color="F5DEB3" w:sz="1"/>
              <w:left w:val="single" w:color="F5DEB3" w:sz="1"/>
              <w:bottom w:val="single" w:color="F5DEB3" w:sz="1"/>
              <w:right w:val="single" w:color="F5DEB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17"/>
                <w:szCs w:val="17"/>
              </w:rPr>
              <w:t xml:space="preserve">DESTINATARIO</w:t>
            </w:r>
          </w:p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Empresa Moratti — Uso Interno</w:t>
            </w:r>
          </w:p>
        </w:tc>
        <w:tc>
          <w:tcPr>
            <w:tcW w:type="dxa" w:w="1860"/>
            <w:tcBorders>
              <w:top w:val="single" w:color="F5DEB3" w:sz="1"/>
              <w:left w:val="single" w:color="F5DEB3" w:sz="1"/>
              <w:bottom w:val="single" w:color="F5DEB3" w:sz="1"/>
              <w:right w:val="single" w:color="F5DEB3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17"/>
                <w:szCs w:val="17"/>
              </w:rPr>
              <w:t xml:space="preserve">VIGENCIA</w:t>
            </w:r>
          </w:p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30 dias calendario</w:t>
            </w:r>
          </w:p>
        </w:tc>
      </w:tr>
      <w:tr>
        <w:tc>
          <w:tcPr>
            <w:tcW w:type="dxa" w:w="9360"/>
            <w:gridSpan w:val="4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400"/>
                <w:sz w:val="19"/>
                <w:szCs w:val="19"/>
              </w:rPr>
              <w:t xml:space="preserve">IMPLEMENTACION DE RED EMPRESARIAL MULTISEDE — PROYECTO TI-203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La presente cotizacion detalla los costos estimados para la implementacion completa de la infraestructura de red de EMPRESA DEL GRUPO MORATTI, contemplando tres sedes (Santo Domingo, Santiago y La Romana), interconectadas mediante VPN GRE/IPSec con enrutamiento OSPF multi-area.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B2B2B"/>
          <w:sz w:val="20"/>
          <w:szCs w:val="20"/>
        </w:rPr>
        <w:t xml:space="preserve">Todos los precios se expresan en Dolares Americanos (USD) y su equivalente en Pesos Dominicanos (RD$) a una tasa de cambio referencial de RD$59.00 por USD$1.00.</w:t>
      </w:r>
    </w:p>
    <w:p>
      <w:pPr>
        <w:pBdr>
          <w:bottom w:val="single" w:color="F5DEB3" w:sz="2" w:space="1"/>
        </w:pBdr>
        <w:spacing w:after="140" w:before="1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400" w:sz="5" w:space="2"/>
        </w:pBdr>
        <w:spacing w:after="14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 Equipos de Red  —  Routers y Switches</w:t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Incluye todos los dispositivos de red activos para las tres sedes, con licencias IOS Security para IPSec/VPN.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1300"/>
        <w:gridCol w:w="1380"/>
        <w:gridCol w:w="1380"/>
        <w:gridCol w:w="1400"/>
      </w:tblGrid>
      <w:tr>
        <w:trPr>
          <w:tblHeader/>
        </w:trPr>
        <w:tc>
          <w:tcPr>
            <w:tcW w:type="dxa" w:w="32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 del Equipo</w:t>
            </w:r>
          </w:p>
        </w:tc>
        <w:tc>
          <w:tcPr>
            <w:tcW w:type="dxa" w:w="7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Cant.</w:t>
            </w:r>
          </w:p>
        </w:tc>
        <w:tc>
          <w:tcPr>
            <w:tcW w:type="dxa" w:w="13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Sede</w:t>
            </w:r>
          </w:p>
        </w:tc>
        <w:tc>
          <w:tcPr>
            <w:tcW w:type="dxa" w:w="138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P.Unit USD</w:t>
            </w:r>
          </w:p>
        </w:tc>
        <w:tc>
          <w:tcPr>
            <w:tcW w:type="dxa" w:w="138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USD</w:t>
            </w:r>
          </w:p>
        </w:tc>
        <w:tc>
          <w:tcPr>
            <w:tcW w:type="dxa" w:w="14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RD$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Cisco ISR 4321 Router WAN/VPN — R-CORE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Santo Domingo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$1,850.00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$1,850.00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RD$109,150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Cisco ISR 4321 Router WAN/VPN — R-SANTIAGO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Santiago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$1,850.00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$1,850.00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RD$109,150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Cisco ISR 4321 Router WAN/VPN — R-ROMANA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La Romana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$1,850.00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$1,850.00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RD$109,150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Cisco Catalyst 3650-24TS Multilayer Sw. — R-SW1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Santo Domingo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$2,650.00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$2,650.00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RD$156,350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Cisco Catalyst 3650-24TS Multilayer Sw. — R-SW2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Santo Domingo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$2,650.00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$2,650.00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RD$156,350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Cisco Catalyst 2960-24TC Access Switch — SW1 Depto 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Santo Domingo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RD$54,280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Cisco Catalyst 2960-24TC Access Switch — SW2 Depto 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Santo Domingo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RD$54,280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Cisco Catalyst 2960-24TC Access Switch — SW3 Depto 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Santo Domingo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RD$54,280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Cisco Catalyst 2960-24TC Access Switch — SW4 Depto 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Santo Domingo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RD$54,280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Cisco Catalyst 2960-24TC Access Switch — SW-STGO1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Santiago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RD$54,280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Cisco Catalyst 2960-24TC Access Switch — SW-STGO2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Santiago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RD$54,280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Cisco Catalyst 2960-24TC Access Switch — SW-ROM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La Romana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RD$54,280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Modulos SFP Gigabit Ethernet (par por router)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Multisede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$180.00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$540.00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RD$31,860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Licencias IOS Security IPSec/VPN (por router)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Multisede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$650.00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$1,950.00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RD$115,050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SUBTOTAL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$19,780.00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RD$1,167,020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C8A400" w:sz="5" w:space="2"/>
        </w:pBdr>
        <w:spacing w:after="14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 Servidores e Infraestructura de Computo</w:t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Servidores del Data Center centralizado en Santiago, con licencias de sistema operativo y aplicaciones empresariales.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1300"/>
        <w:gridCol w:w="1380"/>
        <w:gridCol w:w="1380"/>
        <w:gridCol w:w="1400"/>
      </w:tblGrid>
      <w:tr>
        <w:trPr>
          <w:tblHeader/>
        </w:trPr>
        <w:tc>
          <w:tcPr>
            <w:tcW w:type="dxa" w:w="32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 del Equipo</w:t>
            </w:r>
          </w:p>
        </w:tc>
        <w:tc>
          <w:tcPr>
            <w:tcW w:type="dxa" w:w="7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Cant.</w:t>
            </w:r>
          </w:p>
        </w:tc>
        <w:tc>
          <w:tcPr>
            <w:tcW w:type="dxa" w:w="13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Sede</w:t>
            </w:r>
          </w:p>
        </w:tc>
        <w:tc>
          <w:tcPr>
            <w:tcW w:type="dxa" w:w="138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P.Unit USD</w:t>
            </w:r>
          </w:p>
        </w:tc>
        <w:tc>
          <w:tcPr>
            <w:tcW w:type="dxa" w:w="138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USD</w:t>
            </w:r>
          </w:p>
        </w:tc>
        <w:tc>
          <w:tcPr>
            <w:tcW w:type="dxa" w:w="14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RD$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Servidor Rack 1U HP ProLiant DL20 G10 — DNS/WEB/DHCP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Santiago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$2,400.00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$2,400.00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RD$141,600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Servidor Rack 1U HP ProLiant DL20 G10 — FTP/RADIUS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Santiago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$2,400.00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$2,400.00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RD$141,600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Servidor Rack 1U HP ProLiant DL20 G10 — 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Santiago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$2,400.00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$2,400.00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RD$141,600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Servidor Rack 1U HP ProLiant DL20 G10 — Web Publico SD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Santo Domingo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$2,200.00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$2,200.00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RD$129,800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Licencias Windows Server 2022 Standard (por servidor)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Multisede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$720.00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$2,880.00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RD$169,920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Licencia Microsoft Exchange 2019 — Servidor 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Santiago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$980.00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$980.00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RD$57,820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Almacenamiento NAS 8TB — Backup Data Center STG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Santiago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$1,350.00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$1,350.00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RD$79,650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SUBTOTAL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$14,610.00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RD$861,990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400" w:sz="5" w:space="2"/>
        </w:pBdr>
        <w:spacing w:after="14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 Cableado Estructurado y Rack</w:t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Materiales de instalacion fisica para las tres sedes: racks, cableado Cat6, proteccion electrica UPS.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1300"/>
        <w:gridCol w:w="1380"/>
        <w:gridCol w:w="1380"/>
        <w:gridCol w:w="1400"/>
      </w:tblGrid>
      <w:tr>
        <w:trPr>
          <w:tblHeader/>
        </w:trPr>
        <w:tc>
          <w:tcPr>
            <w:tcW w:type="dxa" w:w="32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 del Equipo</w:t>
            </w:r>
          </w:p>
        </w:tc>
        <w:tc>
          <w:tcPr>
            <w:tcW w:type="dxa" w:w="7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Cant.</w:t>
            </w:r>
          </w:p>
        </w:tc>
        <w:tc>
          <w:tcPr>
            <w:tcW w:type="dxa" w:w="13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Sede</w:t>
            </w:r>
          </w:p>
        </w:tc>
        <w:tc>
          <w:tcPr>
            <w:tcW w:type="dxa" w:w="138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P.Unit USD</w:t>
            </w:r>
          </w:p>
        </w:tc>
        <w:tc>
          <w:tcPr>
            <w:tcW w:type="dxa" w:w="138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USD</w:t>
            </w:r>
          </w:p>
        </w:tc>
        <w:tc>
          <w:tcPr>
            <w:tcW w:type="dxa" w:w="14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RD$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Rack Abierto 42U con bandejas y organizadores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Multisede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$850.00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$2,550.00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RD$150,450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Panel de parcheo Cat6 24 puertos (2 por rack)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Multisede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$95.00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$570.00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RD$33,630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Cable UTP Cat6 Bobina 305m (por sede)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Multisede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$180.00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$540.00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RD$31,860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Patch Cords Cat6 0.9m Pack 20 unidades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Multisede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$65.00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$390.00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RD$23,010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UPS APC Smart-UPS 1500VA LCD (por rack principal)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Multisede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$620.00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$1,860.00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RD$109,740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PDU Rack Regleta 8 tomas protegidas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Multisede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$85.00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$510.00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RD$30,090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Materiales: canaletas, tornilleria, etiquetas, herrajes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Multisede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$950.00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$950.00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RD$56,050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SUBTOTAL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$7,370.00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RD$434,830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C8A400" w:sz="5" w:space="2"/>
        </w:pBdr>
        <w:spacing w:after="14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 Mano de Obra e Implementacion</w:t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Servicios profesionales de ingenieria, instalacion, configuracion y capacitacion para la puesta en marcha.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100"/>
        <w:gridCol w:w="1300"/>
        <w:gridCol w:w="1380"/>
        <w:gridCol w:w="1380"/>
      </w:tblGrid>
      <w:tr>
        <w:trPr>
          <w:tblHeader/>
        </w:trPr>
        <w:tc>
          <w:tcPr>
            <w:tcW w:type="dxa" w:w="39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 / Actividad</w:t>
            </w:r>
          </w:p>
        </w:tc>
        <w:tc>
          <w:tcPr>
            <w:tcW w:type="dxa" w:w="11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Duracion</w:t>
            </w:r>
          </w:p>
        </w:tc>
        <w:tc>
          <w:tcPr>
            <w:tcW w:type="dxa" w:w="13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38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USD</w:t>
            </w:r>
          </w:p>
        </w:tc>
        <w:tc>
          <w:tcPr>
            <w:tcW w:type="dxa" w:w="138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RD$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Levantamiento y analisis de requerimientos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16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Consultoria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$960.00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RD$56,640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Diseno logico y fisico de la red (topologia, direccionamiento)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24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Ingenieria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$1,440.00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RD$84,960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Instalacion fisica de equipos — Sede Santo Domingo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20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Tecnico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$800.00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RD$47,200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Instalacion fisica de equipos — Sede Santiago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16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Tecnico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$640.00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RD$37,760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Instalacion fisica de equipos — Sede La Romana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16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Tecnico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$640.00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RD$37,760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Configuracion de routers, switches y VLANs (13 dispositivos)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40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Ingenieria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$2,400.00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RD$141,600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Configuracion VPN GRE/IPSec y OSPF multi-area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16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Ingenieria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$1,280.00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RD$75,520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Configuracion servidores DNS, DHCP, WEB, FTP, MAIL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20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Ingenieria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$1,600.00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RD$94,400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Pruebas de conectividad, failover HSRP y VPN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12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Ingenieria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$960.00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RD$56,640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Documentacion tecnica y entrega de manuales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8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Consultoria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$640.00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RD$37,760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Capacitacion al personal IT (3 sedes)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8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Formacion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$800.00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RD$47,200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SUBTOTAL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$12,160.00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RD$717,440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400" w:sz="5" w:space="2"/>
        </w:pBdr>
        <w:spacing w:after="14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 Soporte y Mantenimiento Anual</w:t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Contrato de soporte tecnico por 12 meses a partir de la fecha de entrega, cubriendo las tres sedes.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100"/>
        <w:gridCol w:w="1300"/>
        <w:gridCol w:w="1380"/>
        <w:gridCol w:w="1380"/>
      </w:tblGrid>
      <w:tr>
        <w:trPr>
          <w:tblHeader/>
        </w:trPr>
        <w:tc>
          <w:tcPr>
            <w:tcW w:type="dxa" w:w="39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 / Actividad</w:t>
            </w:r>
          </w:p>
        </w:tc>
        <w:tc>
          <w:tcPr>
            <w:tcW w:type="dxa" w:w="11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Duracion</w:t>
            </w:r>
          </w:p>
        </w:tc>
        <w:tc>
          <w:tcPr>
            <w:tcW w:type="dxa" w:w="13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38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USD</w:t>
            </w:r>
          </w:p>
        </w:tc>
        <w:tc>
          <w:tcPr>
            <w:tcW w:type="dxa" w:w="138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RD$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Soporte tecnico remoto 12 meses (L-V 8am-6pm)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12 meses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Soporte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$3,600.00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RD$212,400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Monitoreo de red 24/7 alertas y dashboards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12 meses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Soporte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$2,880.00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RD$169,920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Actualizaciones de firmware y parches de seguridad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12 meses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Ingenieria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$960.00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RD$56,640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Visitas preventivas en sitio (4 por ano — todas las sedes)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4 visitas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Tecnico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$1,200.00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RD$70,800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Respaldo y recuperacion de configuraciones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12 meses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Soporte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$720.00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RD$42,480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Renovacion de licencias IOS y garantia extendida equipos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Anual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Licencias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$1,800.00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RD$106,200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SUBTOTAL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$11,160.00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RD$658,440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400" w:sz="5" w:space="2"/>
        </w:pBdr>
        <w:spacing w:after="14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 Resumen y Total General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B2B2B"/>
          <w:sz w:val="20"/>
          <w:szCs w:val="20"/>
        </w:rPr>
        <w:t xml:space="preserve">Tasa de cambio referencial: RD$59.00 / USD$1.00. El ITBIS del 18% aplica conforme a la legislacion tributaria vigente de la Republica Dominicana.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rPr>
          <w:tblHeader/>
        </w:trPr>
        <w:tc>
          <w:tcPr>
            <w:tcW w:type="dxa" w:w="58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178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USD</w:t>
            </w:r>
          </w:p>
        </w:tc>
        <w:tc>
          <w:tcPr>
            <w:tcW w:type="dxa" w:w="178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RD$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Subtotal Equipos de Red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$19,780.00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RD$1,167,020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Subtotal Servidores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$14,610.00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RD$861,990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Subtotal Cableado Estructurado y Rack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$7,370.00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RD$434,830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Subtotal Mano de Obra e Implementacion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$12,160.00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RD$717,440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Subtotal Soporte y Mantenimiento Anual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$11,160.00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RD$658,440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SUBTOTAL GENERAL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$65,080.00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RD$3,839,720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ITBIS (18%)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$11,714.40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RD$691,150</w:t>
            </w:r>
          </w:p>
        </w:tc>
      </w:tr>
      <w:tr>
        <w:tc>
          <w:tcPr>
            <w:tcW w:type="dxa" w:w="58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22"/>
                <w:szCs w:val="22"/>
              </w:rPr>
              <w:t xml:space="preserve">TOTAL GENERAL (incluye ITBIS)</w:t>
            </w:r>
          </w:p>
        </w:tc>
        <w:tc>
          <w:tcPr>
            <w:tcW w:type="dxa" w:w="178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400"/>
                <w:sz w:val="22"/>
                <w:szCs w:val="22"/>
              </w:rPr>
              <w:t xml:space="preserve">$76,794.40</w:t>
            </w:r>
          </w:p>
        </w:tc>
        <w:tc>
          <w:tcPr>
            <w:tcW w:type="dxa" w:w="178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400"/>
                <w:sz w:val="22"/>
                <w:szCs w:val="22"/>
              </w:rPr>
              <w:t xml:space="preserve">RD$4,530,870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F5DEB3" w:sz="2" w:space="1"/>
        </w:pBdr>
        <w:spacing w:after="140" w:before="1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400" w:sz="5" w:space="2"/>
        </w:pBdr>
        <w:spacing w:after="14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 Terminos y Condiciones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A400"/>
          <w:sz w:val="24"/>
          <w:szCs w:val="24"/>
        </w:rPr>
        <w:t xml:space="preserve">Forma de Pago</w:t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50% al momento de la firma del contrato de servicio. 30% al completar la instalacion fisica de los equipos en las tres sedes. 20% restante al finalizar las pruebas de aceptacion y entrega formal del proyecto.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A400"/>
          <w:sz w:val="24"/>
          <w:szCs w:val="24"/>
        </w:rPr>
        <w:t xml:space="preserve">Tiempo de Implementacion</w:t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El proyecto se estima en un plazo de 45 dias habiles: Fase 1 — Adquisicion e instalacion de equipos (15 dias). Fase 2 — Configuracion y pruebas (20 dias). Fase 3 — Documentacion, capacitacion y entrega (10 dias).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A400"/>
          <w:sz w:val="24"/>
          <w:szCs w:val="24"/>
        </w:rPr>
        <w:t xml:space="preserve">Garantia de Equipos</w:t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Los equipos Cisco cuentan con garantia limitada del fabricante de 1 ano. Los servidores HP ProLiant incluyen garantia de 3 anos con soporte next business day. El servicio de instalacion y configuracion tiene garantia de 90 dias.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A400"/>
          <w:sz w:val="24"/>
          <w:szCs w:val="24"/>
        </w:rPr>
        <w:t xml:space="preserve">Exclusiones</w:t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Esta cotizacion no incluye: enlace WAN/Internet con el ISP, licencias de usuario final (Microsoft 365, antivirus), obras civiles o modificaciones electricas, ni equipos terminales de usuario (PCs, impresoras, telefonos IP).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A400"/>
          <w:sz w:val="24"/>
          <w:szCs w:val="24"/>
        </w:rPr>
        <w:t xml:space="preserve">Condiciones Generales</w:t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Los precios estan sujetos a cambios por variacion en el tipo de cambio o disponibilidad de inventario del fabricante. Cualquier adicion al alcance original sera cotizada mediante una orden de cambio formal.</w:t>
      </w:r>
    </w:p>
    <w:p>
      <w:pPr>
        <w:spacing w:after="200"/>
      </w:pPr>
      <w:r>
        <w:t xml:space="preserve"/>
      </w:r>
    </w:p>
    <w:p>
      <w:pPr>
        <w:pBdr>
          <w:bottom w:val="single" w:color="F5DEB3" w:sz="2" w:space="1"/>
        </w:pBdr>
        <w:spacing w:after="140" w:before="140"/>
      </w:pPr>
      <w:r>
        <w:t xml:space="preserve"/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00"/>
        <w:gridCol w:w="4480"/>
      </w:tblGrid>
      <w:tr>
        <w:tc>
          <w:tcPr>
            <w:tcW w:type="dxa" w:w="44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Bdr>
                <w:top w:val="single" w:color="C8A400" w:sz="2" w:space="1"/>
              </w:pBdr>
              <w:spacing w:before="80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Elaborado por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Departamento de Tecnologia e Infraestructura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Empresa Moratti — Santo Domingo, R.D.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4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Bdr>
                <w:top w:val="single" w:color="C8A400" w:sz="2" w:space="1"/>
              </w:pBdr>
              <w:spacing w:before="80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Aprobado por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Gerencia General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Empresa Moratti — Santo Domingo, R.D.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400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777777"/>
        <w:sz w:val="16"/>
        <w:szCs w:val="16"/>
      </w:rPr>
      <w:t xml:space="preserve">Departamento De Documentacion Moratti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777777"/>
        <w:sz w:val="16"/>
        <w:szCs w:val="16"/>
      </w:rPr>
      <w:t xml:space="preserve">Pagina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400" w:sz="4" w:space="1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C8A400"/>
        <w:sz w:val="16"/>
        <w:szCs w:val="16"/>
      </w:rPr>
      <w:t xml:space="preserve">EMPRESA DEL GRUPO MORATTI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777777"/>
        <w:sz w:val="16"/>
        <w:szCs w:val="16"/>
      </w:rPr>
      <w:t xml:space="preserve">Cotizacion de Implementacion  COT-2025-001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C8A4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2026-04-14T02:12:27.577Z</dcterms:created>
  <dcterms:modified xsi:type="dcterms:W3CDTF">2026-04-14T02:12:27.577Z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