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rPr>
          <w:vertAlign w:val="baseline"/>
        </w:rPr>
      </w:pPr>
      <w:bookmarkStart w:colFirst="0" w:colLast="0" w:name="_bro58daocnoj" w:id="0"/>
      <w:bookmarkEnd w:id="0"/>
      <w:r w:rsidDel="00000000" w:rsidR="00000000" w:rsidRPr="00000000">
        <w:rPr>
          <w:vertAlign w:val="baseline"/>
          <w:rtl w:val="0"/>
        </w:rPr>
        <w:t xml:space="preserve">Student Enrollment and Academic Outcomes: Five-Year Longitudinal Study (2021-2026) -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Revision Notice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document serves as a revised executive summary for district leadership.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core methodology, metrics, and findings remain unchanged.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revision incorporates updated interpretation guidance from 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Comprehensive Student Enrollment and Outcomes Analysis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(February 24, 2026), specifically promoting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fair-comparison progression rate (67.5%)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 the primary performance metric, adding explicit preliminary-use caveats for proportionality data, and standardizing the framing of boundary-year exclusions.-----1.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 Growth and Enrollment (The LEAD Program)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LEAD program has demonstrated sustained, long-term expansion across all five tracked academic years, serving a total of 185 unique students.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Despite a temporary contraction in 2022-23, the program has rebounded decisively, resulting in a cumulative growth rate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106.3%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since its founding in 2021-22.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Academic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Enrollment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Year-over-Year 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2021-22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2022-23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-12.5%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2023-24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+17.9%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+78.8%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+11.9%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12.5% decline in 2022-23 is interpreted as a temporary scheduling anomaly.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subsequent three-year recovery—culminating in a near-doubling of enrollment between 2023-24 and 2024-25—confirms the program's underlying strength and community demand.2.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Mathematics Pipeline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rigorous assessment of student advancement utilizes a 'fair-comparison' framework, which restricts the progression rate calculation to students for whom a complete year-over-year outcome window is 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Progression Rate Metric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primary, authoritative progression rate for the mathematics pipeline 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67.5%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Student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Progression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Primary (Fair-Comparison)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106 of 157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67.5%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✓ Authoritative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Legacy Context (All-Years)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106 of 233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45.5%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Context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difference between these figures is methodological; the legacy 45.5% figure includes 76 students whose outcome data is structurally unavailable due to either an unreached outcome year or dataset boundary exclusions.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Comparable Year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three year-pairs provide a valid progression 'bridge' from a 7th-grade starting cohort to a confirmed 8th-grade Algebra outcome.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2021-22 and 2025-26 cohorts are designated non-comparable boundary pairs and are excluded from the primary metric calculation.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7th Grade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7th Grade 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Following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8th Grade Algebra Outcomes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Window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2022-23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2023-24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8th Grade Algebra Outcomes"/>
                <w:id w:val="-10641554"/>
                <w:dropDownList w:lastValue="60">
                  <w:listItem w:displayText="50" w:value="50"/>
                  <w:listItem w:displayText="60" w:value="60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60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✓ Comparable Pair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2023-24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8th Grade Algebra Outcomes"/>
                <w:id w:val="-990410143"/>
                <w:dropDownList w:lastValue="60">
                  <w:listItem w:displayText="50" w:value="50"/>
                  <w:listItem w:displayText="60" w:value="60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60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✓ Comparable Pair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2024-25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8th Grade Algebra Outcomes"/>
                <w:id w:val="478116968"/>
                <w:dropDownList w:lastValue="50">
                  <w:listItem w:displayText="50" w:value="50"/>
                  <w:listItem w:displayText="60" w:value="60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50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✓ Comparable Pair 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GPA Stability Across the Transition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Analysis of grade point averages confirms that students maintain performance across the transition to the more rigorous 8th-grade Algebra course: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Average 7th-grade Math GPA: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3.59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Average 8th-grade Algebra GPA: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 GPA Change: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-0.08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(statistically negligible)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minimal delta of -0.08 demonstrates strong academic continuity, not a performance decline.3.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Demographics and Proportionality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district is evaluating race and gender proportionality within the LEAD and Math programs.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the current dataset achieves a strong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92.8% grade match 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across 40,478 grade records, schoolwide demographic coverage remains below the minimum threshold for public reporting.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 Program Tables Denominator Coverage: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20.6%–37.9%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 Pipeline Tables Denominator Coverage: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30.1%–37.9%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 Threshold for Definitive Public Claims: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75% coverage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Until coverage crosses the 75% threshold, all proportionality findings are classified 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preliminary and directional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are suitable for internal planning and targeted outreach but must not be cited in public accountability reports or formal representation statements.-----4.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 and Next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indicators collectively portray a program that is healthy and expanding, with clear priorities for improvement in reporting readiness.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Findings at a Glance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Growth is Sustained: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106.3% cumulative enrollment increase since 2021-22; 185 unique students served.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 Advancement is Strong: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67.5% fair-comparison progression rate with near-zero GPA impact (-0.08).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Demographic Data is Directional: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Coverage must reach 75% before equity findings can be reported publicly.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Mandated Next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Achieve 75% denominator completeness through improved ID-to-demographic linkage.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 comparable window logic for all future math progression reporting, excluding non-comparable boundary years from headline figures.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Standardize file naming conventions using normalized year labels (YY-YY) and cohort identifiers (A, B, C) across all analytical outputs.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Scope: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372 unique students | 622 enrollment records | 40,478 grade records | Academic Years 2021-22 through 2025-26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