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Reviewers</w:t>
      </w:r>
    </w:p>
    <w:p>
      <w:pPr>
        <w:spacing w:after="160"/>
      </w:pPr>
      <w:r>
        <w:t>Manuscript: "From AI-Generated Output to Learner Ownership: A Reverse Learning Framework for Generative AI-Mediated Education"</w:t>
      </w:r>
    </w:p>
    <w:p>
      <w:pPr>
        <w:spacing w:after="160"/>
      </w:pPr>
      <w:r>
        <w:t>We thank the editor and both reviewers for their careful and constructive reviews. We have revised the manuscript substantially in response to every comment. All revisions in the manuscript are marked with yellow highlighting, as requested. Section numbers below refer to the revised manuscript. The table below lists each suggestion in the left column and our specific response in the right column.</w:t>
      </w:r>
    </w:p>
    <w:p>
      <w:pPr>
        <w:pStyle w:val="Heading1"/>
      </w:pPr>
      <w:r>
        <w:rPr>
          <w:rFonts w:ascii="Times New Roman" w:hAnsi="Times New Roman"/>
          <w:sz w:val="24"/>
        </w:rPr>
        <w:t>Editor</w:t>
      </w:r>
    </w:p>
    <w:tbl>
      <w:tblPr>
        <w:tblW w:type="auto" w:w="0"/>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4320"/>
        <w:gridCol w:w="4320"/>
      </w:tblGrid>
      <w:tr>
        <w:tc>
          <w:tcPr>
            <w:tcW w:type="dxa" w:w="4464"/>
          </w:tcPr>
          <w:p>
            <w:r>
              <w:rPr>
                <w:b/>
              </w:rPr>
              <w:t>Reviewer suggestion</w:t>
            </w:r>
          </w:p>
        </w:tc>
        <w:tc>
          <w:tcPr>
            <w:tcW w:type="dxa" w:w="5616"/>
          </w:tcPr>
          <w:p>
            <w:r>
              <w:rPr>
                <w:b/>
              </w:rPr>
              <w:t>Response</w:t>
            </w:r>
          </w:p>
        </w:tc>
      </w:tr>
      <w:tr>
        <w:tc>
          <w:tcPr>
            <w:tcW w:type="dxa" w:w="4464"/>
          </w:tcPr>
          <w:p>
            <w:pPr>
              <w:spacing w:after="80"/>
            </w:pPr>
            <w:r>
              <w:t>Please create a table with two columns: one listing each reviewer's suggestion and the other providing your specific response to that suggestion. In addition, please ensure that all revisions in the manuscript are clearly visible either by highlighting them or using a different font color.</w:t>
            </w:r>
          </w:p>
        </w:tc>
        <w:tc>
          <w:tcPr>
            <w:tcW w:type="dxa" w:w="5616"/>
          </w:tcPr>
          <w:p>
            <w:pPr>
              <w:spacing w:after="80"/>
            </w:pPr>
            <w:r>
              <w:t>This document provides the requested two-column table covering every reviewer suggestion. All new and revised text in the manuscript is marked with yellow highlighting, including revised table rows and the redesigned Figure 1. The revised manuscript is submitted as an editable Word (.docx) source file.</w:t>
            </w:r>
          </w:p>
        </w:tc>
      </w:tr>
    </w:tbl>
    <w:p>
      <w:pPr>
        <w:pStyle w:val="Heading1"/>
      </w:pPr>
      <w:r>
        <w:rPr>
          <w:rFonts w:ascii="Times New Roman" w:hAnsi="Times New Roman"/>
          <w:sz w:val="24"/>
        </w:rPr>
        <w:t>Reviewer #1</w:t>
      </w:r>
    </w:p>
    <w:tbl>
      <w:tblPr>
        <w:tblW w:type="auto" w:w="0"/>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4320"/>
        <w:gridCol w:w="4320"/>
      </w:tblGrid>
      <w:tr>
        <w:tc>
          <w:tcPr>
            <w:tcW w:type="dxa" w:w="4464"/>
          </w:tcPr>
          <w:p>
            <w:r>
              <w:rPr>
                <w:b/>
              </w:rPr>
              <w:t>Reviewer suggestion</w:t>
            </w:r>
          </w:p>
        </w:tc>
        <w:tc>
          <w:tcPr>
            <w:tcW w:type="dxa" w:w="5616"/>
          </w:tcPr>
          <w:p>
            <w:r>
              <w:rPr>
                <w:b/>
              </w:rPr>
              <w:t>Response</w:t>
            </w:r>
          </w:p>
        </w:tc>
      </w:tr>
      <w:tr>
        <w:tc>
          <w:tcPr>
            <w:tcW w:type="dxa" w:w="4464"/>
          </w:tcPr>
          <w:p>
            <w:pPr>
              <w:spacing w:after="80"/>
            </w:pPr>
            <w:r>
              <w:t>(1.1) The framework's theoretical contribution and novelty need further development. The manuscript does not fully establish what is uniquely explained by the framework beyond integrating existing ideas into a sequential process. Stronger integration of the theoretical foundations (AI literacy, metacognition, ICAP, productive failure) is needed to explain how these theories collectively support the framework and the mechanisms through which learners move from AI-generated outputs to ownership. Please articulate: (1) what new explanatory mechanism Reverse Learning introduces, (2) why existing frameworks cannot adequately explain this process, and (3) what educational phenomena are uniquely captured by Reverse Learning.</w:t>
            </w:r>
          </w:p>
        </w:tc>
        <w:tc>
          <w:tcPr>
            <w:tcW w:type="dxa" w:w="5616"/>
          </w:tcPr>
          <w:p>
            <w:pPr>
              <w:spacing w:after="80"/>
            </w:pPr>
            <w:r>
              <w:t>We added a new integrative subsection, Section 3.8 ("An Integrated Account: The Fluency–Validity Gap and the Transfer of Epistemic Responsibility"), that addresses all three questions directly. (1) New mechanism: the framework's explanatory mechanism is the fluency–validity gap—the systematic discrepancy between the apparent completeness of AI-generated artifacts and their actual validity and contextual fit. The gap is invisible by default (fluency conceals defects) but discoverable by design, and its discovery functions as the moment of productive struggle that initiates learning; its resolution accomplishes a transfer of epistemic responsibility from machine fluency to learner-held warrant. (2) Why existing frameworks are insufficient: Section 3.8 shows that each foundation theory assumes either that the learner starts without a complete artifact or that the artifact's imperfections are visible; generative AI violates both assumptions simultaneously. The section also specifies what each theory does explain (AI literacy supplies evaluative competencies; metacognition/ICAP explain engagement quality; SRL and expectancy-value theory explain when learners invest effort; knowledge building explains improvable artifacts; productive failure explains why imperfect outputs are educative), so the theories are now integrated by function rather than listed in parallel. (3) Uniquely captured phenomena: artifact-first learning, pseudo-competence (a polished artifact without the understanding to defend it), and ownership without sole authorship. This mechanism is now threaded through the manuscript (Abstract; Sections 2, 4, 5.1, 7, 10, and 11).</w:t>
            </w:r>
          </w:p>
        </w:tc>
      </w:tr>
      <w:tr>
        <w:tc>
          <w:tcPr>
            <w:tcW w:type="dxa" w:w="4464"/>
          </w:tcPr>
          <w:p>
            <w:pPr>
              <w:spacing w:after="80"/>
            </w:pPr>
            <w:r>
              <w:t>(1.2) The framework assumes learners can identify inaccuracies, verify claims, and reconstruct AI-generated outputs, yet these abilities depend on existing disciplinary knowledge and metacognitive skills. Additional discussion is needed regarding novice versus expert learners, equity implications, prerequisite competencies, and the instructional scaffolds necessary for effective implementation. The manuscript should also clarify the role of prompt literacy, as the quality of AI-generated artifacts depends heavily on the quality of the initial prompts.</w:t>
            </w:r>
          </w:p>
        </w:tc>
        <w:tc>
          <w:tcPr>
            <w:tcW w:type="dxa" w:w="5616"/>
          </w:tcPr>
          <w:p>
            <w:pPr>
              <w:spacing w:after="80"/>
            </w:pPr>
            <w:r>
              <w:t>We added a new full section, Section 6 ("Learner Readiness, Prerequisites, and Scaffolding"). It specifies three prerequisite competencies (baseline domain knowledge, source evaluation skill, and prompt literacy); explains how verification changes for novices (verification against supplied course materials and curated sources rather than internalized expertise); differentiates novice and expert implementation using the expertise reversal effect (Kalyuga, 2007), with concrete scaffolds (claim-flagging templates, verification logs with pre-identified source lists, sentence starters, instructor modeling) and a gradual release progression; and addresses equity directly, arguing that scaffolds are constitutive of the framework rather than optional, so that unsupported implementations are defective rather than lean. The role of prompt literacy is now explicit: drawing on Knoth et al. (2024), Section 6 explains that prompt quality shapes both the initial artifact (Stage 1) and the productivity of iterative prompting (Stage 4), and that the framework both requires and develops prompt literacy. Cross-references were added in Stage 1 (Section 5.2) and the Discussion (Section 11).</w:t>
            </w:r>
          </w:p>
        </w:tc>
      </w:tr>
      <w:tr>
        <w:tc>
          <w:tcPr>
            <w:tcW w:type="dxa" w:w="4464"/>
          </w:tcPr>
          <w:p>
            <w:pPr>
              <w:spacing w:after="80"/>
            </w:pPr>
            <w:r>
              <w:t>(1.3) The manuscript would benefit from a deeper discussion of disciplinary applicability, limitations, and boundary conditions. Verification and reconstruction differ substantially across domains such as STEM, humanities, and social sciences. The paper should also engage more extensively with recent peer-reviewed research on human-AI collaboration, cognitive offloading, prompt literacy, and AI-supported learning.</w:t>
            </w:r>
          </w:p>
        </w:tc>
        <w:tc>
          <w:tcPr>
            <w:tcW w:type="dxa" w:w="5616"/>
          </w:tcPr>
          <w:p>
            <w:pPr>
              <w:spacing w:after="80"/>
            </w:pPr>
            <w:r>
              <w:t>We added a new full section, Section 9 ("Boundary Conditions, Disciplinary Variation, and Limitations"). It analyzes how verification and reconstruction differ across STEM (executable, comparatively objective verification), the humanities (interpretive verification requiring deliberation and disciplinary enculturation), and the social sciences (contested evidence bases and context-dependent findings), and advises instructors to calibrate verification expectations to their discipline's evidentiary norms. It specifies four boundary conditions (verifiable content, access to verification resources and time, minimal prerequisite competencies, and adequate task stakes) and acknowledges three limitations (the framework is not yet empirically validated; oral defenses are resource-intensive at scale; collaborative variants require additional theorization). We also engaged the requested literatures with verified peer-reviewed sources: cognitive offloading (Risko &amp; Gilbert, 2016; Gerlich, 2025—Sections 1, 3.4, and 11), human-AI collaboration (Järvelä et al., 2023—Sections 3.2, 3.4, and 9), prompt literacy (Knoth et al., 2024—Sections 5.2 and 6), and AI-supported learning motivation (Chan &amp; Zhou, 2023—Section 3.4).</w:t>
            </w:r>
          </w:p>
        </w:tc>
      </w:tr>
      <w:tr>
        <w:tc>
          <w:tcPr>
            <w:tcW w:type="dxa" w:w="4464"/>
          </w:tcPr>
          <w:p>
            <w:pPr>
              <w:spacing w:after="80"/>
            </w:pPr>
            <w:r>
              <w:t>(1.4) The manuscript contains a large number of very short paragraphs (one to two sentences). Consider combining related ideas into more fully developed paragraphs to improve flow, coherence, and scholarly presentation.</w:t>
            </w:r>
          </w:p>
        </w:tc>
        <w:tc>
          <w:tcPr>
            <w:tcW w:type="dxa" w:w="5616"/>
          </w:tcPr>
          <w:p>
            <w:pPr>
              <w:spacing w:after="80"/>
            </w:pPr>
            <w:r>
              <w:t>We revised the entire manuscript to consolidate short paragraphs into fully developed ones. The most affected passages were Section 4 (the definition and sequence paragraphs, previously five short paragraphs, now two developed paragraphs), Sections 3.5 and 3.6 (merged fragments), the stage descriptions in Section 5.2 (action/evidence/failure-mode fragments combined), Section 8 (introduction consolidated), and Section 12 (Conclusion, previously five paragraphs, now two). Single-sentence paragraphs have been eliminated throughout.</w:t>
            </w:r>
          </w:p>
        </w:tc>
      </w:tr>
      <w:tr>
        <w:tc>
          <w:tcPr>
            <w:tcW w:type="dxa" w:w="4464"/>
          </w:tcPr>
          <w:p>
            <w:pPr>
              <w:spacing w:after="80"/>
            </w:pPr>
            <w:r>
              <w:t>(1.5) Figure 1 could be further developed to serve as a stronger conceptual representation of the framework. The current figure appears primarily linear, while the manuscript describes a more iterative process.</w:t>
            </w:r>
          </w:p>
        </w:tc>
        <w:tc>
          <w:tcPr>
            <w:tcW w:type="dxa" w:w="5616"/>
          </w:tcPr>
          <w:p>
            <w:pPr>
              <w:spacing w:after="80"/>
            </w:pPr>
            <w:r>
              <w:t>Figure 1 has been completely redesigned. The new figure represents the iterative structure of the framework rather than a linear chain: learner skepticism is depicted as an epistemic gateway with an explicit failure path (passive delegation) when it is not activated; verification and iterative prompting are depicted as a mutually reinforcing inquiry loop; contextual integration and human reconstruction are depicted as a conversion phase with dashed feedback paths returning to the inquiry loop when new gaps are exposed; and explainable ownership is depicted as an exit state defined by a criterion (explain, defend, and revise without AI assistance) rather than as a final step. The figure elements are annotated with the corresponding propositions (P1–P4) from the new Section 5.1, and the figure caption has been rewritten to explain the recursive paths.</w:t>
            </w:r>
          </w:p>
        </w:tc>
      </w:tr>
    </w:tbl>
    <w:p>
      <w:pPr>
        <w:pStyle w:val="Heading1"/>
      </w:pPr>
      <w:r>
        <w:rPr>
          <w:rFonts w:ascii="Times New Roman" w:hAnsi="Times New Roman"/>
          <w:sz w:val="24"/>
        </w:rPr>
        <w:t>Reviewer #2</w:t>
      </w:r>
    </w:p>
    <w:tbl>
      <w:tblPr>
        <w:tblW w:type="auto" w:w="0"/>
        <w:tblLook w:firstColumn="1" w:firstRow="1" w:lastColumn="0" w:lastRow="0" w:noHBand="0" w:noVBand="1" w:val="04A0"/>
        <w:tblBorders>
          <w:top w:val="single" w:sz="4" w:color="666666"/>
          <w:bottom w:val="single" w:sz="4" w:color="666666"/>
          <w:left w:val="single" w:sz="4" w:color="666666"/>
          <w:right w:val="single" w:sz="4" w:color="666666"/>
          <w:insideH w:val="single" w:sz="4" w:color="666666"/>
          <w:insideV w:val="single" w:sz="4" w:color="666666"/>
        </w:tblBorders>
      </w:tblPr>
      <w:tblGrid>
        <w:gridCol w:w="4320"/>
        <w:gridCol w:w="4320"/>
      </w:tblGrid>
      <w:tr>
        <w:tc>
          <w:tcPr>
            <w:tcW w:type="dxa" w:w="4464"/>
          </w:tcPr>
          <w:p>
            <w:r>
              <w:rPr>
                <w:b/>
              </w:rPr>
              <w:t>Reviewer suggestion</w:t>
            </w:r>
          </w:p>
        </w:tc>
        <w:tc>
          <w:tcPr>
            <w:tcW w:type="dxa" w:w="5616"/>
          </w:tcPr>
          <w:p>
            <w:r>
              <w:rPr>
                <w:b/>
              </w:rPr>
              <w:t>Response</w:t>
            </w:r>
          </w:p>
        </w:tc>
      </w:tr>
      <w:tr>
        <w:tc>
          <w:tcPr>
            <w:tcW w:type="dxa" w:w="4464"/>
          </w:tcPr>
          <w:p>
            <w:pPr>
              <w:spacing w:after="80"/>
            </w:pPr>
            <w:r>
              <w:t>(2.1) The framework lacks an agentic account of the learner. It sequences learner behaviors (skepticism, verification, iterative prompting) but does not theorize the conditions under which learners actually engage in these behaviors. The framework implicitly assumes a critically motivated learner, yet many students use GenAI tools primarily for efficiency. Draw on established motivational or self-regulated learning theories, such as Zimmerman's SRL model or expectancy-value theory, to theorize what activates skepticism and sustains critical engagement. Specifically: What triggers a learner to question an AI-generated artifact rather than accept it? What dispositional, contextual, or task-level conditions make the full process more or less likely to unfold?</w:t>
            </w:r>
          </w:p>
        </w:tc>
        <w:tc>
          <w:tcPr>
            <w:tcW w:type="dxa" w:w="5616"/>
          </w:tcPr>
          <w:p>
            <w:pPr>
              <w:spacing w:after="80"/>
            </w:pPr>
            <w:r>
              <w:t>We added a new subsection, Section 3.4 ("Learner Agency, Motivation, and the Activation of Skepticism"), that theorizes learner agency using both recommended theories. First, the section acknowledges explicitly—citing cognitive offloading research (Risko &amp; Gilbert, 2016; Gerlich, 2025)—that many learners use generative AI for efficiency, and that a framework presupposing a critically motivated learner would describe an idealized process. Second, it maps the framework onto Zimmerman's SRL cycle (2000, 2002): goal orientation in the forethought phase determines whether the artifact is framed as a product or an object of inquiry; skepticism and verification function as monitoring directed at an external artifact in the performance phase; and reconstruction and ownership judgments correspond to self-reflection. Failure modes are reinterpreted as failures of regulation. Third, it applies expectancy-value theory (Eccles &amp; Wigfield, 2020; Chan &amp; Zhou, 2023) to explain when learners invest the costly effort of verification, and shows how ownership-based assessment shifts the value-cost calculus away from passive delegation. Fourth, it answers the reviewer's specific questions by distinguishing three classes of activation conditions: dispositional (need for cognition, epistemic curiosity, calibrated trust in AI), contextual (classroom norms, instructor modeling, and announced ownership-based assessment), and task-level (personal relevance, verifiability, stakes). The section concludes that the framework treats activation of skepticism as a design problem, which is reflected in Proposition 1 (Section 5.1), Section 8, and a new research question on activation conditions (RQ2, Section 10).</w:t>
            </w:r>
          </w:p>
        </w:tc>
      </w:tr>
      <w:tr>
        <w:tc>
          <w:tcPr>
            <w:tcW w:type="dxa" w:w="4464"/>
          </w:tcPr>
          <w:p>
            <w:pPr>
              <w:spacing w:after="80"/>
            </w:pPr>
            <w:r>
              <w:t>(2.2) The framework reads as a process model rather than a conceptual framework. The seven components are mainly presented as a linear sequence, but the relationships and mechanisms connecting these components are not theorized. A conceptual framework should specify not only what the constructs are, but how and why they relate. Either reposition the paper as a process model or substantially revise to specify the mechanisms connecting constructs. For example: Is verification a prerequisite for iterative prompting, or can they occur simultaneously? Can learners skip or regress across stages? What are the potential relationships between these constructs?</w:t>
            </w:r>
          </w:p>
        </w:tc>
        <w:tc>
          <w:tcPr>
            <w:tcW w:type="dxa" w:w="5616"/>
          </w:tcPr>
          <w:p>
            <w:pPr>
              <w:spacing w:after="80"/>
            </w:pPr>
            <w:r>
              <w:t>We chose the second option and substantially revised the manuscript to specify the mechanisms connecting the constructs. A new subsection, Section 5.1 ("Relationships Among Components"), formalizes the relationships as five testable propositions. P1 (Gateway) establishes skepticism as the necessary entry condition whose absence collapses the process into passive delegation. P2 (Inquiry loop) answers the reviewer's specific question: verification and iterative prompting are mutually constitutive and can occur simultaneously—neither is a strict prerequisite—but the relationship is asymmetric because a generative model cannot warrant its own claims, so external verification must ultimately discipline the dialogue. P3 (Conversion) specifies that regression is expected: contextual integration and reconstruction routinely expose unchecked claims and send learners back to the inquiry loop. P4 (Exit criterion) defines explainable ownership as a demonstrated state rather than a completed stage. P5 (Compression and its limits) answers the skipping question: the process can be legitimately compressed with expertise and lowered stakes, but omitting verification or reconstruction produces characteristic failure modes regardless of compression. These propositions are grounded in the explanatory mechanism introduced in Section 3.8 (the fluency–validity gap), reflected in the redesigned Figure 1, and connected to the research agenda (Section 10). Section 2 now states explicitly that the paper meets the model-oriented conceptual framework standard by specifying these mechanisms.</w:t>
            </w:r>
          </w:p>
        </w:tc>
      </w:tr>
      <w:tr>
        <w:tc>
          <w:tcPr>
            <w:tcW w:type="dxa" w:w="4464"/>
          </w:tcPr>
          <w:p>
            <w:pPr>
              <w:spacing w:after="80"/>
            </w:pPr>
            <w:r>
              <w:t>(2.3) The construct of "explainable ownership" is underdeveloped, despite being the most novel and potentially most significant contribution. It is unclear whether ownership refers to authorship (I produced this), epistemic ownership (I understand this), or identity-level ownership (this reflects my thinking)—these are meaningfully distinct constructs with different theoretical implications and measurement approaches. What kind of ownership does the framework refer to? Are all three types of ownership needed for all tasks, and why or why not?</w:t>
            </w:r>
          </w:p>
        </w:tc>
        <w:tc>
          <w:tcPr>
            <w:tcW w:type="dxa" w:w="5616"/>
          </w:tcPr>
          <w:p>
            <w:pPr>
              <w:spacing w:after="80"/>
            </w:pPr>
            <w:r>
              <w:t>We substantially expanded Stage 7 (Section 5.2) to develop explainable ownership as a three-layer construct, adopting the reviewer's distinction. Accountable authorship ("I directed this work and take responsibility for it") is grounded in scholarly authorship and integrity norms (Eaton, 2023; WAME, 2023); epistemic ownership ("I understand this work and can justify its claims") is grounded in epistemic cognition research (Chinn et al., 2011); and identity-level ownership ("this work reflects my own thinking and voice") is grounded in psychological ownership theory (Pierce et al., 2003). The revised section answers the reviewer's second question directly: the three layers are not equally required for all tasks. Epistemic ownership is the non-negotiable core in all task types, because without it neither of the other layers has educational substance. Accountable authorship is required whenever work is submitted, but is deliberately redefined as accountable curation and reconstruction rather than sole origination. Identity-level ownership varies legitimately with task type—central in reflective, argumentative, and creative work but peripheral in technical or procedural tasks. A new Table 1 summarizes the three layers, their theoretical grounding, and their distinct assessment evidence (ownership statements for authorship; oral defenses and transfer tasks for epistemic ownership; reflective memos for identity-level ownership). The measurement implications are carried into the research agenda (RQ4, Section 10), which proposes construct validation of the three layers. The Abstract now announces the three-layer conceptualization.</w:t>
            </w:r>
          </w:p>
        </w:tc>
      </w:tr>
      <w:tr>
        <w:tc>
          <w:tcPr>
            <w:tcW w:type="dxa" w:w="4464"/>
          </w:tcPr>
          <w:p>
            <w:pPr>
              <w:spacing w:after="80"/>
            </w:pPr>
            <w:r>
              <w:t>(2.4) The tables and reference list do not consistently follow APA 7th edition guidelines. Tables should display only horizontal rules—vertical lines and internal borders should be removed. In the reference list, journal titles and volume numbers should be italicized. Review both sections against APA 7th edition standards prior to resubmission.</w:t>
            </w:r>
          </w:p>
        </w:tc>
        <w:tc>
          <w:tcPr>
            <w:tcW w:type="dxa" w:w="5616"/>
          </w:tcPr>
          <w:p>
            <w:pPr>
              <w:spacing w:after="80"/>
            </w:pPr>
            <w:r>
              <w:t>All tables (now Tables 1–5) have been reformatted to APA 7th edition style: they display only a top rule, a rule below the header row, and a bottom rule, with all vertical lines and internal borders removed. The reference list has been fully reviewed against APA 7th edition: journal titles and volume numbers are now italicized throughout, article numbers follow APA format, and the arXiv entry now uses its DOI. In the course of this review we also aligned the reference list with in-text citations, as APA requires: four entries that were not cited in the text (Baidoo-Anu &amp; Ansah, 2023; Chi, 2009; Lave &amp; Wenger, 1991; Papert, 1980) were removed, and four existing entries are now properly cited in the text (Bearman et al., 2023 in Section 1; UNESCO, 2023 in Section 2; Flipped Learning Network, 2014 and Wiggins &amp; McTighe, 2005 in Section 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