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From AI-Generated Output to Learner Ownership: A Reverse Learning Framework for Generative AI-Mediated Education</w:t>
      </w:r>
    </w:p>
    <w:p>
      <w:pPr>
        <w:pStyle w:val="Heading1"/>
      </w:pPr>
      <w:r>
        <w:rPr>
          <w:rFonts w:ascii="Times New Roman" w:hAnsi="Times New Roman"/>
        </w:rPr>
        <w:t>Abstract</w:t>
      </w:r>
    </w:p>
    <w:p>
      <w:pPr>
        <w:spacing w:line="480" w:lineRule="auto" w:after="0"/>
        <w:ind w:firstLine="0"/>
      </w:pPr>
      <w:r>
        <w:rPr/>
        <w:t>Generative AI can give learners polished artifacts before they understand the underlying ideas, creating a risk of apparent competence without defensible knowledge. This conceptual article introduces the Reverse Learning Framework, an artifact-first model in which learners move from an AI-generated output toward understanding through skepticism, verification, iterative prompting, contextual integration, human reconstruction, and explainable ownership. Its central mechanism is the fluency–validity gap: a potential discrepancy between an artifact's apparent adequacy and its warranted validity, contextual fit, and the learner's capacity to justify it. Five propositions specify how motivation activates inquiry, how verification and prompting interact, why reconstruction can trigger regression, how ownership functions as an exit criterion, and how expertise and task stakes moderate the cycle. Explainable ownership comprises accountable authorship, epistemic ownership, and identity-level ownership, with epistemic ownership as the required educational core. The framework translates these relationships into scaffolds and assessment evidence while identifying disciplinary, equity, and implementation boundaries.</w:t>
      </w:r>
    </w:p>
    <w:p>
      <w:pPr>
        <w:spacing w:line="480" w:lineRule="auto" w:after="0"/>
        <w:ind w:firstLine="0"/>
      </w:pPr>
      <w:r>
        <w:rPr/>
        <w:t>Keywords: academic integrity; AI literacy; explainable ownership; generative AI; human-AI interaction; instructional design; learner ownership; learning design; metacognition; Reverse Learning</w:t>
      </w:r>
    </w:p>
    <w:p>
      <w:pPr>
        <w:pStyle w:val="Heading1"/>
      </w:pPr>
      <w:r>
        <w:rPr>
          <w:rFonts w:ascii="Times New Roman" w:hAnsi="Times New Roman"/>
        </w:rPr>
        <w:t>1. Introduction: The Problem of AI-Assisted Learning</w:t>
      </w:r>
    </w:p>
    <w:p>
      <w:pPr>
        <w:spacing w:line="480" w:lineRule="auto" w:after="0"/>
        <w:ind w:firstLine="720"/>
      </w:pPr>
      <w:r>
        <w:rPr/>
        <w:t>Generative artificial intelligence has disrupted a long-standing assumption in education: that learners produce academic artifacts only after instruction, practice, and reflection. Learners may now begin with an AI-generated essay, explanation, code sample, research summary, or presentation before they understand its underlying concepts. This capability creates opportunities for feedback and exploration but also complicates authorship, academic integrity, and assessment validity (Cotton et al., 2024; Eaton, 2023; Kasneci et al., 2023).</w:t>
      </w:r>
    </w:p>
    <w:p>
      <w:pPr>
        <w:spacing w:line="480" w:lineRule="auto" w:after="0"/>
        <w:ind w:firstLine="720"/>
      </w:pPr>
      <w:r>
        <w:rPr/>
        <w:t>If a learner submits a fluent artifact without understanding its claims, evidence, assumptions, or limits, AI has substituted for learning. Yet an AI-generated artifact can also become an object for critique, verification, dialogue, and reconstruction. The distinction depends less on the presence of AI than on the learner's epistemic work after generation. Research on cognitive offloading shows why that work cannot be assumed: people use external tools to reduce effort (Risko &amp; Gilbert, 2016), and experimental research in AI-supported learning has identified patterns of metacognitive disengagement when support is insufficiently structured (Fan et al., 2025). Conversely, recent meta-analytic evidence reports positive average effects of generative AI on learning while also showing substantial variation across contexts and forms of use (Han et al., 2025). The educational question is therefore not simply whether AI helps or harms, but under what designed conditions assistance becomes learning.</w:t>
      </w:r>
    </w:p>
    <w:p>
      <w:pPr>
        <w:spacing w:line="480" w:lineRule="auto" w:after="0"/>
        <w:ind w:firstLine="720"/>
      </w:pPr>
      <w:r>
        <w:rPr/>
        <w:t>That distinction also matters for assessment. A conventional product-focused assignment treats the submitted artifact as a proxy for the cognition that produced it. Generative AI weakens that inference because high-quality language or code can be produced with little corresponding learner understanding. Detection tools attempt to restore the inference by classifying text, but even accurate classification would reveal tool involvement rather than conceptual mastery. A learning design response must instead elicit evidence that is causally closer to the learner's judgment: what was questioned, how claims were checked, why revisions were made, and whether the learner can transfer the underlying ideas.</w:t>
      </w:r>
    </w:p>
    <w:p>
      <w:pPr>
        <w:spacing w:line="480" w:lineRule="auto" w:after="0"/>
        <w:ind w:firstLine="720"/>
      </w:pPr>
      <w:r>
        <w:rPr/>
        <w:t>This article proposes the Reverse Learning Framework for those conditions. Learners begin with an AI-generated artifact and work backward into understanding through seven components: AI-Generated Artifact, Learner Skepticism, Verification, Iterative Prompting, Contextual Integration, Human Reconstruction, and Explainable Ownership. The framework shifts the ethics of AI-assisted learning from the detection question—"Did the learner use AI?"—to the ownership question—"Can the learner explain, verify, contextualize, and defend the work?" It does not claim that AI should replace instruction or that every AI-assisted task is educationally valuable. It identifies the mechanisms, activation conditions, observable evidence, and boundaries that distinguish inquiry-oriented use from passive delegation.</w:t>
      </w:r>
    </w:p>
    <w:p>
      <w:pPr>
        <w:spacing w:line="480" w:lineRule="auto" w:after="0"/>
        <w:ind w:firstLine="720"/>
      </w:pPr>
      <w:r>
        <w:rPr/>
        <w:t>The intended audience includes instructional designers, educators, faculty developers, workplace-learning professionals, and academic-integrity policymakers. For these readers, a useful framework must connect an explanatory account to choices about task design. Accordingly, the article moves from theory to propositions, scaffolds, evidence, and assessment while preserving a clear boundary between the proposed model and evidence not yet collected.</w:t>
      </w:r>
    </w:p>
    <w:p>
      <w:pPr>
        <w:pStyle w:val="Heading1"/>
      </w:pPr>
      <w:r>
        <w:rPr>
          <w:rFonts w:ascii="Times New Roman" w:hAnsi="Times New Roman"/>
        </w:rPr>
        <w:t>2. Conceptual Positioning: What Kind of Article Is This?</w:t>
      </w:r>
    </w:p>
    <w:p>
      <w:pPr>
        <w:spacing w:line="480" w:lineRule="auto" w:after="0"/>
        <w:ind w:firstLine="720"/>
      </w:pPr>
      <w:r>
        <w:rPr/>
        <w:t>This is a model-oriented conceptual framework paper rather than a report of original empirical findings. Following Jaakkola (2020), it synthesizes adjacent theories, defines constructs, and proposes relationships that can guide design and research. The framework contributes four linked ideas: AI outputs can function as provisional learning objects; iterative prompting can operate as metacognitive dialogue; assessment can make epistemic responsibility visible; and the fluency–validity gap can explain why artifact-first learning either becomes productive inquiry or collapses into apparent competence. Sections 3 and 5 integrate the theoretical foundations and formalize their relationships as five propositions rather than presenting the seven components as a fixed instructional sequence.</w:t>
      </w:r>
    </w:p>
    <w:p>
      <w:pPr>
        <w:spacing w:line="480" w:lineRule="auto" w:after="0"/>
        <w:ind w:firstLine="720"/>
      </w:pPr>
      <w:r>
        <w:rPr/>
        <w:t>The conceptual construction proceeds in three moves. First, it specifies the phenomenon requiring explanation: a learner can receive a complete-appearing artifact before developing the knowledge that would ordinarily support its production. Second, it assigns distinct explanatory roles to theories of competence, engagement, motivation, artifact improvement, and struggle. Third, it derives relationships among the framework's constructs and links them to observable evidence and boundary conditions. This structure prevents the framework from resting on resemblance alone; the seven components are retained only where they perform a distinct theoretical or design function.</w:t>
      </w:r>
    </w:p>
    <w:p>
      <w:pPr>
        <w:pStyle w:val="Heading1"/>
      </w:pPr>
      <w:r>
        <w:rPr>
          <w:rFonts w:ascii="Times New Roman" w:hAnsi="Times New Roman"/>
        </w:rPr>
        <w:t>3. Theoretical Background</w:t>
      </w:r>
    </w:p>
    <w:p>
      <w:pPr>
        <w:pStyle w:val="Heading2"/>
      </w:pPr>
      <w:r>
        <w:rPr>
          <w:rFonts w:ascii="Times New Roman" w:hAnsi="Times New Roman"/>
        </w:rPr>
        <w:t>3.1 Generative AI and Learner Ownership</w:t>
      </w:r>
    </w:p>
    <w:p>
      <w:pPr>
        <w:spacing w:line="480" w:lineRule="auto" w:after="0"/>
        <w:ind w:firstLine="720"/>
      </w:pPr>
      <w:r>
        <w:rPr/>
        <w:t xml:space="preserve">Generative AI can produce language, reasoning, code, and designs that appear coherent and authoritative. Unlike tools that merely retrieve or calculate, it can produce a finished-looking artifact whose polish conceals weak evidence, fabricated citations, invalid reasoning, or poor contextual fit (Kasneci et al., 2023; Lodge et al., 2023). A learner can therefore possess a product without possessing the conceptual or evidentiary control needed to defend it. This article calls that condition </w:t>
      </w:r>
      <w:r>
        <w:rPr>
          <w:i/>
        </w:rPr>
        <w:t>pseudo-competence</w:t>
      </w:r>
      <w:r>
        <w:rPr/>
        <w:t>.</w:t>
      </w:r>
    </w:p>
    <w:p>
      <w:pPr>
        <w:spacing w:line="480" w:lineRule="auto" w:after="0"/>
        <w:ind w:firstLine="720"/>
      </w:pPr>
      <w:r>
        <w:rPr/>
        <w:t>The relevant problem is not error alone. A generated explanation may be factually correct yet use concepts the learner cannot define, evidence the learner has never inspected, or assumptions that fail in the local setting. Likewise, working code may conceal an algorithm the learner cannot modify or debug. In each case artifact quality and learner competence come apart. That dissociation distinguishes generative AI from many prior supports and makes output quality an especially weak stand-alone measure of learning.</w:t>
      </w:r>
    </w:p>
    <w:p>
      <w:pPr>
        <w:spacing w:line="480" w:lineRule="auto" w:after="0"/>
        <w:ind w:firstLine="720"/>
      </w:pPr>
      <w:r>
        <w:rPr/>
        <w:t>Learner ownership means intellectual responsibility for an AI-assisted artifact, not production without tools. An owner can explain the claims, justify evidence, identify limitations, adapt the work to context, disclose how AI contributed, and revise the artifact under critique. Because polished output alone cannot reveal these capacities, ownership must be elicited through process evidence and assessment (Eaton, 2023; Perkins et al., 2024).</w:t>
      </w:r>
    </w:p>
    <w:p>
      <w:pPr>
        <w:pStyle w:val="Heading2"/>
      </w:pPr>
      <w:r>
        <w:rPr>
          <w:rFonts w:ascii="Times New Roman" w:hAnsi="Times New Roman"/>
        </w:rPr>
        <w:t>3.2 AI Literacy, Metacognition, and Engagement</w:t>
      </w:r>
    </w:p>
    <w:p>
      <w:pPr>
        <w:spacing w:line="480" w:lineRule="auto" w:after="0"/>
        <w:ind w:firstLine="720"/>
      </w:pPr>
      <w:r>
        <w:rPr/>
        <w:t>AI literacy supplies competencies for evaluating, communicating with, and using AI responsibly (Long &amp; Magerko, 2020; Ng et al., 2021). Reverse Learning embeds those competencies in an activity: learners flag uncertain claims, validate sources, test code, probe assumptions, and document corrections. Verification is therefore both an integrity practice and a learning mechanism.</w:t>
      </w:r>
    </w:p>
    <w:p>
      <w:pPr>
        <w:spacing w:line="480" w:lineRule="auto" w:after="0"/>
        <w:ind w:firstLine="720"/>
      </w:pPr>
      <w:r>
        <w:rPr/>
        <w:t>Metacognition explains how learners monitor what they understand and what remains uncertain (Flavell, 1979). Iterative prompting can support that monitoring when learners ask for assumptions, counterarguments, comparisons, explanations, or questions that test their own understanding. The ICAP framework further distinguishes passive reception from active, constructive, and interactive engagement (Chi &amp; Wylie, 2014). Reading or polishing AI text remains passive or merely active; explaining, reorganizing, and testing it can become constructive or interactive. These theories explain the quality of engagement, but they do not by themselves explain why an efficiency-oriented learner would incur the cost of verification.</w:t>
      </w:r>
    </w:p>
    <w:p>
      <w:pPr>
        <w:spacing w:line="480" w:lineRule="auto" w:after="0"/>
        <w:ind w:firstLine="720"/>
      </w:pPr>
      <w:r>
        <w:rPr/>
        <w:t>Self-explanation connects monitoring to evidence of learning. Asking a model to explain a difficult passage may improve accessibility, but asking the learner to explain why a claim is warranted reveals whether the explanation has been appropriated. Prompting can therefore serve two very different purposes: delegating further production or generating contrasts, questions, and feedback that the learner must evaluate. Reverse Learning treats a prompt history as useful evidence only when it is paired with a rationale showing how dialogue changed the learner's beliefs or decisions. Quantity or sophistication of prompts is not itself evidence of understanding.</w:t>
      </w:r>
    </w:p>
    <w:p>
      <w:pPr>
        <w:pStyle w:val="Heading2"/>
      </w:pPr>
      <w:r>
        <w:rPr>
          <w:rFonts w:ascii="Times New Roman" w:hAnsi="Times New Roman"/>
          <w:highlight w:val="yellow"/>
        </w:rPr>
        <w:t>3.3 Learner Agency, Motivation, and the Activation of Skepticism</w:t>
      </w:r>
    </w:p>
    <w:p>
      <w:pPr>
        <w:spacing w:line="480" w:lineRule="auto" w:after="0"/>
        <w:ind w:firstLine="720"/>
      </w:pPr>
      <w:r>
        <w:rPr>
          <w:highlight w:val="yellow"/>
        </w:rPr>
        <w:t>Reverse Learning does not assume a naturally critical learner. Self-regulated learning (SRL) theory describes a cycle of forethought, performance, and self-reflection (Zimmerman, 2000, 2002). In an AI-mediated task, forethought frames the artifact either as a product to submit or an object to investigate; performance involves monitoring claims and strategies; and self-reflection evaluates whether the learner can explain and transfer what was produced. Passive submission is thus a regulatory failure, not merely an omitted box in a workflow.</w:t>
      </w:r>
    </w:p>
    <w:p>
      <w:pPr>
        <w:spacing w:line="480" w:lineRule="auto" w:after="0"/>
        <w:ind w:firstLine="720"/>
      </w:pPr>
      <w:r>
        <w:rPr>
          <w:highlight w:val="yellow"/>
        </w:rPr>
        <w:t>Situated expectancy-value theory explains when learners will invest in this regulation (Eccles &amp; Wigfield, 2020). Verification adds time and effort, so critical engagement becomes more likely when learners expect they can succeed, value understanding, and perceive the cost as proportionate. Student perceptions of generative AI reflect comparable expectancy, value, and cost dimensions (Chan &amp; Zhou, 2023). If grading rewards only a polished product, delegation is instrumentally attractive; if students know they must defend decisions, correct errors, or transfer ideas without AI, understanding acquires assessment value.</w:t>
      </w:r>
    </w:p>
    <w:p>
      <w:pPr>
        <w:spacing w:line="480" w:lineRule="auto" w:after="0"/>
        <w:ind w:firstLine="720"/>
      </w:pPr>
      <w:r>
        <w:rPr>
          <w:highlight w:val="yellow"/>
        </w:rPr>
        <w:t>Three classes of activation conditions follow. Dispositional conditions include need for cognition (Cacioppo &amp; Petty, 1982), epistemic curiosity, prior encounters with AI error, and calibrated trust. Contextual conditions include classroom norms, instructor modeling, access to reliable sources, and announced ownership-based assessment. Task-level conditions include relevance, verifiability, consequences, and manageable difficulty. These conditions interact: a skeptical disposition cannot compensate for inaccessible evidence, and a well-designed task may still overwhelm a novice. Skepticism is therefore treated as a motivational gateway that design can activate and sustain, not as a fixed trait or guaranteed first step.</w:t>
      </w:r>
    </w:p>
    <w:p>
      <w:pPr>
        <w:spacing w:line="480" w:lineRule="auto" w:after="0"/>
        <w:ind w:firstLine="720"/>
      </w:pPr>
      <w:r>
        <w:rPr/>
        <w:t>Activation must also be sustained after the first anomaly is found. SRL predicts continued monitoring when learners have standards for progress and feedback about whether strategies work. A verification rubric, for example, makes source quality and correction rationale visible; an oral defense makes later understanding consequential; and staged deadlines reduce the cost of postponing all checking until submission. Without such supports, a learner may notice an error, correct it superficially, and then return to passive acceptance. The framework therefore links motivation to all subsequent components rather than treating skepticism as a one-time attitude.</w:t>
      </w:r>
    </w:p>
    <w:p>
      <w:pPr>
        <w:pStyle w:val="Heading2"/>
      </w:pPr>
      <w:r>
        <w:rPr>
          <w:rFonts w:ascii="Times New Roman" w:hAnsi="Times New Roman"/>
        </w:rPr>
        <w:t>3.4 Artifact Improvement and Productive Struggle</w:t>
      </w:r>
    </w:p>
    <w:p>
      <w:pPr>
        <w:spacing w:line="480" w:lineRule="auto" w:after="0"/>
        <w:ind w:firstLine="720"/>
      </w:pPr>
      <w:r>
        <w:rPr/>
        <w:t>Knowledge-building theory treats ideas as improvable conceptual artifacts (Scardamalia &amp; Bereiter, 2006). This view supports human reconstruction: learners reorganize arguments, remove weak claims, add warranted evidence, and adapt generalized content to real constraints. Productive failure explains why difficulty can prepare learners for deeper understanding (Kapur, 2008, 2016), but the ordering differs here. Productive failure commonly begins with learner struggle before a canonical solution; Reverse Learning begins with a pseudo-canonical answer whose fluency may prevent struggle. Designed verification makes concealed problems available for productive work.</w:t>
      </w:r>
    </w:p>
    <w:p>
      <w:pPr>
        <w:spacing w:line="480" w:lineRule="auto" w:after="0"/>
        <w:ind w:firstLine="720"/>
      </w:pPr>
      <w:r>
        <w:rPr>
          <w:highlight w:val="yellow"/>
        </w:rPr>
        <w:t>The reversal at issue is pedagogical. In the conventional sequence, learners are generally expected to develop understanding through instruction, practice, and reflection before producing an artifact. Generative AI can invert that sequence by supplying a complete-appearing artifact before the learner has developed the understanding needed to warrant it. Reverse Learning names the designed educational process that turns this order inversion into learning by moving from AI-generated output toward verified, reconstructed, and explainable understanding.</w:t>
      </w:r>
    </w:p>
    <w:p>
      <w:pPr>
        <w:spacing w:line="480" w:lineRule="auto" w:after="0"/>
        <w:ind w:firstLine="720"/>
      </w:pPr>
      <w:r>
        <w:rPr/>
        <w:t>Human reconstruction is consequential because verified fragments do not automatically form understanding. Learners must decide which claims belong, how evidence supports them, what sequence makes the reasoning coherent, and how the result serves a particular audience. In professional learning, this may mean adapting a generic policy, explanation, or design to organizational constraints; in academic work, it may mean rebuilding an argument around course concepts and defensible sources. Reconstruction is thus the conversion point at which checking becomes a learner-directed knowledge artifact rather than a corrected AI draft.</w:t>
      </w:r>
    </w:p>
    <w:p>
      <w:pPr>
        <w:pStyle w:val="Heading2"/>
      </w:pPr>
      <w:r>
        <w:rPr>
          <w:rFonts w:ascii="Times New Roman" w:hAnsi="Times New Roman"/>
          <w:highlight w:val="yellow"/>
        </w:rPr>
        <w:t>3.5 An Integrated Account: The Fluency–Validity Gap</w:t>
      </w:r>
    </w:p>
    <w:p>
      <w:pPr>
        <w:spacing w:line="480" w:lineRule="auto" w:after="0"/>
        <w:ind w:firstLine="720"/>
      </w:pPr>
      <w:r>
        <w:rPr>
          <w:highlight w:val="yellow"/>
        </w:rPr>
        <w:t>The adjacent theories explain complementary functions. AI literacy identifies evaluative competencies; metacognition and ICAP explain engagement quality; SRL and expectancy-value theory explain regulation and effort; knowledge building explains artifact improvement; and productive failure explains the value of exposed imperfection. Together, they illuminate important parts of the process, but no single framework was designed to center their conjunction: a learner confronting a complete-appearing AI-generated artifact before developing the understanding needed to warrant it.</w:t>
      </w:r>
    </w:p>
    <w:p>
      <w:pPr>
        <w:spacing w:line="480" w:lineRule="auto" w:after="0"/>
        <w:ind w:firstLine="720"/>
      </w:pPr>
      <w:r>
        <w:rPr>
          <w:highlight w:val="yellow"/>
        </w:rPr>
        <w:t xml:space="preserve">Reverse Learning names the central explanatory mechanism in that conjunction the </w:t>
      </w:r>
      <w:r>
        <w:rPr>
          <w:i/>
          <w:highlight w:val="yellow"/>
        </w:rPr>
        <w:t>fluency–validity gap</w:t>
      </w:r>
      <w:r>
        <w:rPr>
          <w:highlight w:val="yellow"/>
        </w:rPr>
        <w:t>: a potential discrepancy between perceived adequacy and (a) evidential or logical validity, (b) contextual fit, and (c) the learner's capacity to justify the artifact. A correct output can still exhibit the third form of the gap if the learner cannot explain it. Conversely, verification may show that a claim is sound; the educational work then lies in establishing learner-held warrant rather than discovering an error. The gap is therefore a design-relevant uncertainty, not an assertion that every AI output is false.</w:t>
      </w:r>
    </w:p>
    <w:p>
      <w:pPr>
        <w:spacing w:line="480" w:lineRule="auto" w:after="0"/>
        <w:ind w:firstLine="720"/>
      </w:pPr>
      <w:r>
        <w:rPr/>
        <w:t xml:space="preserve">The gap is easy to overlook because fluency can act as a cue for credibility, but it can be made observable. Skepticism treats adequacy as an open question; verification tests claims against evidence; iterative prompting probes assumptions and alternatives; contextual integration tests transfer; reconstruction re-grounds the artifact in decisions the learner can articulate; and explainable ownership demonstrates the resulting control. The process transfers </w:t>
      </w:r>
      <w:r>
        <w:rPr>
          <w:i/>
        </w:rPr>
        <w:t>perceived</w:t>
      </w:r>
      <w:r>
        <w:rPr/>
        <w:t xml:space="preserve"> epistemic warrant away from the AI artifact's fluency and re-grounds it in sources, reasoning, and learner judgment. This mechanism captures artifact-first learning, pseudo-competence, and ownership without sole origination while avoiding the stronger claim that adjacent theories are incapable of addressing any one of those phenomena.</w:t>
      </w:r>
    </w:p>
    <w:p>
      <w:pPr>
        <w:spacing w:line="480" w:lineRule="auto" w:after="0"/>
        <w:ind w:firstLine="720"/>
      </w:pPr>
      <w:r>
        <w:rPr/>
        <w:t>The mechanism also explains contrasting outcomes reported in AI-supported learning. Generative assistance can reduce barriers, supply feedback, and support performance, yet the same convenience can reduce monitoring or independent problem solving (Fan et al., 2025; Han et al., 2025). Reverse Learning predicts that outcome differences will depend on whether a task reveals the gap, requires external warrant, and elicits reconstruction and transfer. It therefore moves beyond a binary comparison of AI use versus nonuse toward process-sensitive hypotheses about how assistance is organized.</w:t>
      </w:r>
    </w:p>
    <w:p>
      <w:pPr>
        <w:spacing w:line="480" w:lineRule="auto" w:after="0"/>
        <w:ind w:firstLine="720"/>
      </w:pPr>
      <w:r>
        <w:rPr>
          <w:highlight w:val="yellow"/>
        </w:rPr>
        <w:t>The fluency–validity gap should not be treated as a measurable trait of a model alone. It is relational: the same artifact can be adequate for one purpose and misleading for another, or transparent to an expert and opaque to a novice. Its magnitude therefore depends on artifact quality, task standards, context, and learner knowledge. This relational definition links the mechanism to the moderators developed later and makes visible why model improvement cannot by itself guarantee learning.</w:t>
      </w:r>
    </w:p>
    <w:p>
      <w:pPr>
        <w:pStyle w:val="Heading1"/>
      </w:pPr>
      <w:r>
        <w:rPr>
          <w:rFonts w:ascii="Times New Roman" w:hAnsi="Times New Roman"/>
        </w:rPr>
        <w:t>4. Defining Reverse Learning</w:t>
      </w:r>
    </w:p>
    <w:p>
      <w:pPr>
        <w:spacing w:line="480" w:lineRule="auto" w:after="0"/>
        <w:ind w:firstLine="720"/>
      </w:pPr>
      <w:r>
        <w:rPr>
          <w:highlight w:val="yellow"/>
        </w:rPr>
        <w:t>Reverse Learning is an AI-mediated learning process in which learners begin with an AI-generated artifact and develop understanding by verifying, interrogating, contextualizing, and reconstructing it until they can explain and defend the resulting work. The sequence is only partially reversed: instruction and prior knowledge remain necessary, but artifact production may precede full understanding. The output is a provisional learning object, not a final answer. Educational value arises when the learner makes and resolves the fluency–validity gap; unexamined acceptance remains passive delegation.</w:t>
      </w:r>
    </w:p>
    <w:p>
      <w:pPr>
        <w:pStyle w:val="Heading1"/>
      </w:pPr>
      <w:r>
        <w:rPr>
          <w:rFonts w:ascii="Times New Roman" w:hAnsi="Times New Roman"/>
        </w:rPr>
        <w:t>5. The Reverse Learning Framework</w:t>
      </w:r>
    </w:p>
    <w:p>
      <w:pPr>
        <w:spacing w:line="480" w:lineRule="auto" w:after="0"/>
        <w:ind w:firstLine="720"/>
      </w:pPr>
      <w:r>
        <w:rPr/>
        <w:t>The framework has seven components, presented sequentially for readability but connected recursively in Figure 1. Learners can combine actions, revisit earlier components, and compress the cycle when expertise and stakes warrant it. The relationships matter more than a fixed order.</w:t>
      </w:r>
    </w:p>
    <w:p>
      <w:pPr>
        <w:spacing w:after="0"/>
        <w:ind w:firstLine="0"/>
      </w:pPr>
      <w:r>
        <w:rPr>
          <w:b/>
          <w:highlight w:val="yellow"/>
        </w:rPr>
        <w:t>Figure 1</w:t>
      </w:r>
    </w:p>
    <w:p>
      <w:pPr>
        <w:spacing w:line="480" w:lineRule="auto" w:after="120"/>
        <w:ind w:firstLine="0"/>
      </w:pPr>
      <w:r>
        <w:rPr>
          <w:i/>
          <w:highlight w:val="yellow"/>
        </w:rPr>
        <w:t>The Reverse Learning Framework as an Iterative Conceptual Model</w:t>
      </w:r>
    </w:p>
    <w:p>
      <w:pPr>
        <w:jc w:val="center"/>
      </w:pPr>
      <w:r>
        <w:drawing>
          <wp:inline xmlns:a="http://schemas.openxmlformats.org/drawingml/2006/main" xmlns:pic="http://schemas.openxmlformats.org/drawingml/2006/picture">
            <wp:extent cx="5760720" cy="2622417"/>
            <wp:docPr id="1" name="Picture 1"/>
            <wp:cNvGraphicFramePr>
              <a:graphicFrameLocks noChangeAspect="1"/>
            </wp:cNvGraphicFramePr>
            <a:graphic>
              <a:graphicData uri="http://schemas.openxmlformats.org/drawingml/2006/picture">
                <pic:pic>
                  <pic:nvPicPr>
                    <pic:cNvPr id="0" name="Figure1_Reverse_Learning_Framework_R2.png"/>
                    <pic:cNvPicPr/>
                  </pic:nvPicPr>
                  <pic:blipFill>
                    <a:blip r:embed="rId10"/>
                    <a:stretch>
                      <a:fillRect/>
                    </a:stretch>
                  </pic:blipFill>
                  <pic:spPr>
                    <a:xfrm>
                      <a:off x="0" y="0"/>
                      <a:ext cx="5760720" cy="2622417"/>
                    </a:xfrm>
                    <a:prstGeom prst="rect"/>
                  </pic:spPr>
                </pic:pic>
              </a:graphicData>
            </a:graphic>
          </wp:inline>
        </w:drawing>
      </w:r>
    </w:p>
    <w:p>
      <w:pPr>
        <w:spacing w:line="480" w:lineRule="auto" w:after="0"/>
        <w:ind w:firstLine="0"/>
      </w:pPr>
      <w:r>
        <w:rPr>
          <w:i/>
          <w:highlight w:val="yellow"/>
        </w:rPr>
        <w:t>Note.</w:t>
      </w:r>
      <w:r>
        <w:rPr>
          <w:highlight w:val="yellow"/>
        </w:rPr>
        <w:t xml:space="preserve"> An AI-generated artifact enters inquiry when skepticism is activated (P1); otherwise passive delegation remains likely. Verification and iterative prompting form a reciprocal but evidence-disciplined loop (P2). Contextual integration and reconstruction may expose new gaps and trigger regression (P3). Explainable ownership is an assessed exit state (P4). Expertise and task stakes moderate how extensively the cycle is externalized (P5).</w:t>
      </w:r>
    </w:p>
    <w:p>
      <w:pPr>
        <w:pStyle w:val="Heading2"/>
      </w:pPr>
      <w:r>
        <w:rPr>
          <w:rFonts w:ascii="Times New Roman" w:hAnsi="Times New Roman"/>
          <w:highlight w:val="yellow"/>
        </w:rPr>
        <w:t>5.1 Relationships Among Components</w:t>
      </w:r>
    </w:p>
    <w:p>
      <w:pPr>
        <w:spacing w:line="480" w:lineRule="auto" w:after="0"/>
        <w:ind w:firstLine="720"/>
      </w:pPr>
      <w:r>
        <w:rPr/>
        <w:t>The following propositions answer when the process activates, how components interact, whether regression occurs, and when compression is legitimate. They are theoretical claims intended to guide operationalization and empirical testing.</w:t>
      </w:r>
    </w:p>
    <w:p>
      <w:pPr>
        <w:spacing w:line="480" w:lineRule="auto" w:after="0"/>
        <w:ind w:firstLine="720"/>
      </w:pPr>
      <w:r>
        <w:rPr/>
        <w:t>For research purposes, the constructs can be distinguished in trace data. Skepticism appears in uncertainty annotations or questions; verification requires contact with evidence independent of the model; prompting is a recorded dialogue move; integration changes the artifact for a defined setting; reconstruction changes its reasoning or structure; and ownership is sampled through unaided explanation, transfer, or revision. These indicators are imperfect, but they prevent circular evaluation in which any completed assignment is labeled Reverse Learning after the fact.</w:t>
      </w:r>
    </w:p>
    <w:p>
      <w:pPr>
        <w:spacing w:line="480" w:lineRule="auto" w:after="0"/>
        <w:ind w:firstLine="720"/>
      </w:pPr>
      <w:r>
        <w:rPr>
          <w:i/>
          <w:highlight w:val="yellow"/>
        </w:rPr>
        <w:t>Proposition 1 (Activation).</w:t>
      </w:r>
      <w:r>
        <w:rPr>
          <w:highlight w:val="yellow"/>
        </w:rPr>
        <w:t xml:space="preserve"> Dispositional, contextual, and task-level cues that make a possible fluency–validity gap salient will increase skepticism and, through it, the likelihood of verification. Skepticism is a motivational gateway rather than a logically mandatory first action: a required source check may itself expose the gap and activate skepticism.</w:t>
      </w:r>
    </w:p>
    <w:p>
      <w:pPr>
        <w:spacing w:line="480" w:lineRule="auto" w:after="0"/>
        <w:ind w:firstLine="720"/>
      </w:pPr>
      <w:r>
        <w:rPr>
          <w:i/>
          <w:highlight w:val="yellow"/>
        </w:rPr>
        <w:t>Proposition 2 (Inquiry loop).</w:t>
      </w:r>
      <w:r>
        <w:rPr>
          <w:highlight w:val="yellow"/>
        </w:rPr>
        <w:t xml:space="preserve"> Verification and iterative prompting can occur in either order and reinforce one another. Prompting can surface claims for checking, while external evidence can discipline subsequent dialogue. The relationship is asymmetric because the model cannot provide independent warrant for its own output; prompting alone can improve rhetoric without improving validity.</w:t>
      </w:r>
    </w:p>
    <w:p>
      <w:pPr>
        <w:spacing w:line="480" w:lineRule="auto" w:after="0"/>
        <w:ind w:firstLine="720"/>
      </w:pPr>
      <w:r>
        <w:rPr>
          <w:i/>
          <w:highlight w:val="yellow"/>
        </w:rPr>
        <w:t>Proposition 3 (Conversion and regression).</w:t>
      </w:r>
      <w:r>
        <w:rPr>
          <w:highlight w:val="yellow"/>
        </w:rPr>
        <w:t xml:space="preserve"> Contextual integration and human reconstruction convert checked material into learner-directed work, but they also expose assumptions that do not transfer. Such discoveries increase the probability of returning to verification or prompting; regression is evidence of monitoring rather than process failure.</w:t>
      </w:r>
    </w:p>
    <w:p>
      <w:pPr>
        <w:spacing w:line="480" w:lineRule="auto" w:after="0"/>
        <w:ind w:firstLine="720"/>
      </w:pPr>
      <w:r>
        <w:rPr>
          <w:i/>
          <w:highlight w:val="yellow"/>
        </w:rPr>
        <w:t>Proposition 4 (Ownership criterion).</w:t>
      </w:r>
      <w:r>
        <w:rPr>
          <w:highlight w:val="yellow"/>
        </w:rPr>
        <w:t xml:space="preserve"> Engagement in externally verified and substantively reconstructed work will predict performance on explanation, defense, and transfer tasks more strongly than completion of the component activities alone. Explainable ownership is therefore an assessed state, not a box reached by sequence completion.</w:t>
      </w:r>
    </w:p>
    <w:p>
      <w:pPr>
        <w:spacing w:line="480" w:lineRule="auto" w:after="0"/>
        <w:ind w:firstLine="720"/>
      </w:pPr>
      <w:r>
        <w:rPr>
          <w:i/>
          <w:highlight w:val="yellow"/>
        </w:rPr>
        <w:t>Proposition 5 (Moderated compression).</w:t>
      </w:r>
      <w:r>
        <w:rPr>
          <w:highlight w:val="yellow"/>
        </w:rPr>
        <w:t xml:space="preserve"> Expertise and lower task stakes reduce how explicitly learners need to document the cycle, while low prior knowledge and high stakes increase the need for scaffolding and visible evidence. Functional requirements may be combined, but removing independent verification or substantive reconstruction should predict characteristic failures in warrant or transfer.</w:t>
      </w:r>
    </w:p>
    <w:p>
      <w:pPr>
        <w:pStyle w:val="Heading2"/>
      </w:pPr>
      <w:r>
        <w:rPr>
          <w:rFonts w:ascii="Times New Roman" w:hAnsi="Times New Roman"/>
        </w:rPr>
        <w:t>5.2 Components, Evidence, and Failure Modes</w:t>
      </w:r>
    </w:p>
    <w:p>
      <w:pPr>
        <w:spacing w:line="480" w:lineRule="auto" w:after="0"/>
        <w:ind w:firstLine="720"/>
      </w:pPr>
      <w:r>
        <w:rPr/>
        <w:t>Table 1 defines each component operationally. The table makes clear that "stage" labels denote design functions rather than invariant temporal steps.</w:t>
      </w:r>
    </w:p>
    <w:p>
      <w:pPr>
        <w:spacing w:after="0"/>
        <w:ind w:firstLine="0"/>
      </w:pPr>
      <w:r>
        <w:rPr>
          <w:b/>
        </w:rPr>
        <w:t>Table 1</w:t>
      </w:r>
    </w:p>
    <w:p>
      <w:pPr>
        <w:spacing w:line="480" w:lineRule="auto" w:after="120"/>
        <w:ind w:firstLine="0"/>
      </w:pPr>
      <w:r>
        <w:rPr>
          <w:i/>
        </w:rPr>
        <w:t>Components of the Reverse Learning Framework</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2340"/>
            <w:tcBorders>
              <w:bottom w:val="single" w:sz="6" w:color="000000"/>
            </w:tcBorders>
          </w:tcPr>
          <w:p>
            <w:pPr>
              <w:spacing w:after="40"/>
            </w:pPr>
            <w:r>
              <w:rPr>
                <w:b/>
              </w:rPr>
              <w:t>Component</w:t>
            </w:r>
          </w:p>
        </w:tc>
        <w:tc>
          <w:tcPr>
            <w:tcW w:type="dxa" w:w="2340"/>
            <w:tcBorders>
              <w:bottom w:val="single" w:sz="6" w:color="000000"/>
            </w:tcBorders>
          </w:tcPr>
          <w:p>
            <w:pPr>
              <w:spacing w:after="40"/>
            </w:pPr>
            <w:r>
              <w:rPr>
                <w:b/>
              </w:rPr>
              <w:t>Function and learner action</w:t>
            </w:r>
          </w:p>
        </w:tc>
        <w:tc>
          <w:tcPr>
            <w:tcW w:type="dxa" w:w="2340"/>
            <w:tcBorders>
              <w:bottom w:val="single" w:sz="6" w:color="000000"/>
            </w:tcBorders>
          </w:tcPr>
          <w:p>
            <w:pPr>
              <w:spacing w:after="40"/>
            </w:pPr>
            <w:r>
              <w:rPr>
                <w:b/>
              </w:rPr>
              <w:t>Observable evidence</w:t>
            </w:r>
          </w:p>
        </w:tc>
        <w:tc>
          <w:tcPr>
            <w:tcW w:type="dxa" w:w="2340"/>
            <w:tcBorders>
              <w:bottom w:val="single" w:sz="6" w:color="000000"/>
            </w:tcBorders>
          </w:tcPr>
          <w:p>
            <w:pPr>
              <w:spacing w:after="40"/>
            </w:pPr>
            <w:r>
              <w:rPr>
                <w:b/>
              </w:rPr>
              <w:t>Characteristic failure mode</w:t>
            </w:r>
          </w:p>
        </w:tc>
      </w:tr>
      <w:tr>
        <w:tc>
          <w:tcPr>
            <w:tcW w:type="dxa" w:w="2340"/>
          </w:tcPr>
          <w:p>
            <w:pPr>
              <w:spacing w:after="40"/>
            </w:pPr>
            <w:r>
              <w:rPr/>
              <w:t>AI-Generated Artifact</w:t>
            </w:r>
          </w:p>
        </w:tc>
        <w:tc>
          <w:tcPr>
            <w:tcW w:type="dxa" w:w="2340"/>
          </w:tcPr>
          <w:p>
            <w:pPr>
              <w:spacing w:after="40"/>
            </w:pPr>
            <w:r>
              <w:rPr/>
              <w:t>Produce or obtain an output and label it provisional; retain the initiating prompt.</w:t>
            </w:r>
          </w:p>
        </w:tc>
        <w:tc>
          <w:tcPr>
            <w:tcW w:type="dxa" w:w="2340"/>
          </w:tcPr>
          <w:p>
            <w:pPr>
              <w:spacing w:after="40"/>
            </w:pPr>
            <w:r>
              <w:rPr/>
              <w:t>Initial output and prompt</w:t>
            </w:r>
          </w:p>
        </w:tc>
        <w:tc>
          <w:tcPr>
            <w:tcW w:type="dxa" w:w="2340"/>
          </w:tcPr>
          <w:p>
            <w:pPr>
              <w:spacing w:after="40"/>
            </w:pPr>
            <w:r>
              <w:rPr/>
              <w:t>Submission as a finished answer</w:t>
            </w:r>
          </w:p>
        </w:tc>
      </w:tr>
      <w:tr>
        <w:tc>
          <w:tcPr>
            <w:tcW w:type="dxa" w:w="2340"/>
          </w:tcPr>
          <w:p>
            <w:pPr>
              <w:spacing w:after="40"/>
            </w:pPr>
            <w:r>
              <w:rPr/>
              <w:t>Learner Skepticism</w:t>
            </w:r>
          </w:p>
        </w:tc>
        <w:tc>
          <w:tcPr>
            <w:tcW w:type="dxa" w:w="2340"/>
          </w:tcPr>
          <w:p>
            <w:pPr>
              <w:spacing w:after="40"/>
            </w:pPr>
            <w:r>
              <w:rPr/>
              <w:t>Treat apparent adequacy as uncertain; flag claims, assumptions, omissions, and contextual mismatches.</w:t>
            </w:r>
          </w:p>
        </w:tc>
        <w:tc>
          <w:tcPr>
            <w:tcW w:type="dxa" w:w="2340"/>
          </w:tcPr>
          <w:p>
            <w:pPr>
              <w:spacing w:after="40"/>
            </w:pPr>
            <w:r>
              <w:rPr/>
              <w:t>Annotations or uncertainty map</w:t>
            </w:r>
          </w:p>
        </w:tc>
        <w:tc>
          <w:tcPr>
            <w:tcW w:type="dxa" w:w="2340"/>
          </w:tcPr>
          <w:p>
            <w:pPr>
              <w:spacing w:after="40"/>
            </w:pPr>
            <w:r>
              <w:rPr/>
              <w:t>Fluency accepted as authority</w:t>
            </w:r>
          </w:p>
        </w:tc>
      </w:tr>
      <w:tr>
        <w:tc>
          <w:tcPr>
            <w:tcW w:type="dxa" w:w="2340"/>
          </w:tcPr>
          <w:p>
            <w:pPr>
              <w:spacing w:after="40"/>
            </w:pPr>
            <w:r>
              <w:rPr/>
              <w:t>Verification</w:t>
            </w:r>
          </w:p>
        </w:tc>
        <w:tc>
          <w:tcPr>
            <w:tcW w:type="dxa" w:w="2340"/>
          </w:tcPr>
          <w:p>
            <w:pPr>
              <w:spacing w:after="40"/>
            </w:pPr>
            <w:r>
              <w:rPr/>
              <w:t>Check claims, citations, calculations, or code against independent sources, data, documentation, or expertise.</w:t>
            </w:r>
          </w:p>
        </w:tc>
        <w:tc>
          <w:tcPr>
            <w:tcW w:type="dxa" w:w="2340"/>
          </w:tcPr>
          <w:p>
            <w:pPr>
              <w:spacing w:after="40"/>
            </w:pPr>
            <w:r>
              <w:rPr/>
              <w:t>Verification log and corrections</w:t>
            </w:r>
          </w:p>
        </w:tc>
        <w:tc>
          <w:tcPr>
            <w:tcW w:type="dxa" w:w="2340"/>
          </w:tcPr>
          <w:p>
            <w:pPr>
              <w:spacing w:after="40"/>
            </w:pPr>
            <w:r>
              <w:rPr/>
              <w:t>Unsupported claims remain</w:t>
            </w:r>
          </w:p>
        </w:tc>
      </w:tr>
      <w:tr>
        <w:tc>
          <w:tcPr>
            <w:tcW w:type="dxa" w:w="2340"/>
          </w:tcPr>
          <w:p>
            <w:pPr>
              <w:spacing w:after="40"/>
            </w:pPr>
            <w:r>
              <w:rPr/>
              <w:t>Iterative Prompting</w:t>
            </w:r>
          </w:p>
        </w:tc>
        <w:tc>
          <w:tcPr>
            <w:tcW w:type="dxa" w:w="2340"/>
          </w:tcPr>
          <w:p>
            <w:pPr>
              <w:spacing w:after="40"/>
            </w:pPr>
            <w:r>
              <w:rPr/>
              <w:t>Use dialogue to probe reasoning, alternatives, counterarguments, and the learner's understanding.</w:t>
            </w:r>
          </w:p>
        </w:tc>
        <w:tc>
          <w:tcPr>
            <w:tcW w:type="dxa" w:w="2340"/>
          </w:tcPr>
          <w:p>
            <w:pPr>
              <w:spacing w:after="40"/>
            </w:pPr>
            <w:r>
              <w:rPr/>
              <w:t>Prompt history and reflection</w:t>
            </w:r>
          </w:p>
        </w:tc>
        <w:tc>
          <w:tcPr>
            <w:tcW w:type="dxa" w:w="2340"/>
          </w:tcPr>
          <w:p>
            <w:pPr>
              <w:spacing w:after="40"/>
            </w:pPr>
            <w:r>
              <w:rPr/>
              <w:t>Rhetorical polishing only</w:t>
            </w:r>
          </w:p>
        </w:tc>
      </w:tr>
      <w:tr>
        <w:tc>
          <w:tcPr>
            <w:tcW w:type="dxa" w:w="2340"/>
          </w:tcPr>
          <w:p>
            <w:pPr>
              <w:spacing w:after="40"/>
            </w:pPr>
            <w:r>
              <w:rPr/>
              <w:t>Contextual Integration</w:t>
            </w:r>
          </w:p>
        </w:tc>
        <w:tc>
          <w:tcPr>
            <w:tcW w:type="dxa" w:w="2340"/>
          </w:tcPr>
          <w:p>
            <w:pPr>
              <w:spacing w:after="40"/>
            </w:pPr>
            <w:r>
              <w:rPr/>
              <w:t>Adapt checked material to the relevant audience, culture, institution, discipline, constraints, and purpose.</w:t>
            </w:r>
          </w:p>
        </w:tc>
        <w:tc>
          <w:tcPr>
            <w:tcW w:type="dxa" w:w="2340"/>
          </w:tcPr>
          <w:p>
            <w:pPr>
              <w:spacing w:after="40"/>
            </w:pPr>
            <w:r>
              <w:rPr/>
              <w:t>Context-specific changes</w:t>
            </w:r>
          </w:p>
        </w:tc>
        <w:tc>
          <w:tcPr>
            <w:tcW w:type="dxa" w:w="2340"/>
          </w:tcPr>
          <w:p>
            <w:pPr>
              <w:spacing w:after="40"/>
            </w:pPr>
            <w:r>
              <w:rPr/>
              <w:t>Generic but polished output</w:t>
            </w:r>
          </w:p>
        </w:tc>
      </w:tr>
      <w:tr>
        <w:tc>
          <w:tcPr>
            <w:tcW w:type="dxa" w:w="2340"/>
          </w:tcPr>
          <w:p>
            <w:pPr>
              <w:spacing w:after="40"/>
            </w:pPr>
            <w:r>
              <w:rPr/>
              <w:t>Human Reconstruction</w:t>
            </w:r>
          </w:p>
        </w:tc>
        <w:tc>
          <w:tcPr>
            <w:tcW w:type="dxa" w:w="2340"/>
          </w:tcPr>
          <w:p>
            <w:pPr>
              <w:spacing w:after="40"/>
            </w:pPr>
            <w:r>
              <w:rPr/>
              <w:t>Reorganize and rebuild reasoning, evidence, examples, and voice through learner decisions.</w:t>
            </w:r>
          </w:p>
        </w:tc>
        <w:tc>
          <w:tcPr>
            <w:tcW w:type="dxa" w:w="2340"/>
          </w:tcPr>
          <w:p>
            <w:pPr>
              <w:spacing w:after="40"/>
            </w:pPr>
            <w:r>
              <w:rPr/>
              <w:t>Before/after comparison and rationale</w:t>
            </w:r>
          </w:p>
        </w:tc>
        <w:tc>
          <w:tcPr>
            <w:tcW w:type="dxa" w:w="2340"/>
          </w:tcPr>
          <w:p>
            <w:pPr>
              <w:spacing w:after="40"/>
            </w:pPr>
            <w:r>
              <w:rPr/>
              <w:t>Surface editing without conceptual control</w:t>
            </w:r>
          </w:p>
        </w:tc>
      </w:tr>
      <w:tr>
        <w:tc>
          <w:tcPr>
            <w:tcW w:type="dxa" w:w="2340"/>
          </w:tcPr>
          <w:p>
            <w:pPr>
              <w:spacing w:after="40"/>
            </w:pPr>
            <w:r>
              <w:rPr/>
              <w:t>Explainable Ownership</w:t>
            </w:r>
          </w:p>
        </w:tc>
        <w:tc>
          <w:tcPr>
            <w:tcW w:type="dxa" w:w="2340"/>
          </w:tcPr>
          <w:p>
            <w:pPr>
              <w:spacing w:after="40"/>
            </w:pPr>
            <w:r>
              <w:rPr/>
              <w:t>Explain, justify, delimit, transfer, and revise the work without AI assistance.</w:t>
            </w:r>
          </w:p>
        </w:tc>
        <w:tc>
          <w:tcPr>
            <w:tcW w:type="dxa" w:w="2340"/>
          </w:tcPr>
          <w:p>
            <w:pPr>
              <w:spacing w:after="40"/>
            </w:pPr>
            <w:r>
              <w:rPr/>
              <w:t>Oral defense, transfer task, or revision under questioning</w:t>
            </w:r>
          </w:p>
        </w:tc>
        <w:tc>
          <w:tcPr>
            <w:tcW w:type="dxa" w:w="2340"/>
          </w:tcPr>
          <w:p>
            <w:pPr>
              <w:spacing w:after="40"/>
            </w:pPr>
            <w:r>
              <w:rPr/>
              <w:t>Inability to defend submitted work</w:t>
            </w:r>
          </w:p>
        </w:tc>
      </w:tr>
    </w:tbl>
    <w:p/>
    <w:p>
      <w:pPr>
        <w:spacing w:line="480" w:lineRule="auto" w:after="0"/>
        <w:ind w:firstLine="720"/>
      </w:pPr>
      <w:r>
        <w:rPr/>
        <w:t>The first component establishes provenance and a baseline for later comparison. Skepticism changes the status of the artifact from answer to object of inquiry, while verification supplies external standards that the model cannot supply for itself. Iterative prompting can occur before, during, or after a source check; what matters is that dialogue remains answerable to independent evidence. Contextual integration then tests whether a general claim survives contact with the actual problem, and reconstruction requires decisions that expose whether the learner controls the argument or procedure. Explainable ownership samples that control under conditions in which the model cannot simply answer on the learner's behalf.</w:t>
      </w:r>
    </w:p>
    <w:p>
      <w:pPr>
        <w:spacing w:line="480" w:lineRule="auto" w:after="0"/>
        <w:ind w:firstLine="720"/>
      </w:pPr>
      <w:r>
        <w:rPr/>
        <w:t>These functions can overlap within one action. Executing generated code may verify behavior, expose a hidden assumption, prompt a debugging dialogue, and require reconstruction in a single episode. Likewise, adapting an AI-generated interpretation to a local case may reveal a source problem and send the learner back to verification. The framework does not require instructors to label every move in real time. It requires the design to preserve the functions and to collect evidence proportionate to the task's risk.</w:t>
      </w:r>
    </w:p>
    <w:p>
      <w:pPr>
        <w:spacing w:line="480" w:lineRule="auto" w:after="0"/>
        <w:ind w:firstLine="720"/>
      </w:pPr>
      <w:r>
        <w:rPr/>
        <w:t>Prompt literacy affects both the initial artifact and the inquiry loop. Better prompts can elicit more relevant output and more productive critique, but prompt quality does not establish truth; all consequential claims remain subject to independent verification (Knoth et al., 2024). Thus, prompt literacy is both a prerequisite to scaffold and a capability the framework can develop.</w:t>
      </w:r>
    </w:p>
    <w:p>
      <w:pPr>
        <w:spacing w:line="480" w:lineRule="auto" w:after="0"/>
        <w:ind w:firstLine="720"/>
      </w:pPr>
      <w:r>
        <w:rPr/>
        <w:t>Prompt literacy also includes knowing when prompting has reached its epistemic limit. Repeatedly asking the same system for confirmation can create an appearance of triangulation without independent evidence. Learners need to distinguish prompts that broaden inquiry—for example, requesting alternative assumptions or counterexamples—from prompts that merely invite the model to endorse its prior answer. Instruction should pair prompt templates with source-use rules so that dialogue generates questions while verification supplies warrant.</w:t>
      </w:r>
    </w:p>
    <w:p>
      <w:pPr>
        <w:pStyle w:val="Heading2"/>
      </w:pPr>
      <w:r>
        <w:rPr>
          <w:rFonts w:ascii="Times New Roman" w:hAnsi="Times New Roman"/>
          <w:highlight w:val="yellow"/>
        </w:rPr>
        <w:t>5.3 Explainable Ownership</w:t>
      </w:r>
    </w:p>
    <w:p>
      <w:pPr>
        <w:spacing w:line="480" w:lineRule="auto" w:after="0"/>
        <w:ind w:firstLine="720"/>
      </w:pPr>
      <w:r>
        <w:rPr>
          <w:highlight w:val="yellow"/>
        </w:rPr>
        <w:t xml:space="preserve">Explainable ownership comprises three related but separable layers. </w:t>
      </w:r>
      <w:r>
        <w:rPr>
          <w:i/>
          <w:highlight w:val="yellow"/>
        </w:rPr>
        <w:t>Accountable authorship</w:t>
      </w:r>
      <w:r>
        <w:rPr>
          <w:highlight w:val="yellow"/>
        </w:rPr>
        <w:t xml:space="preserve"> means that the learner directed the work, disclosed material AI contributions, and accepts responsibility for the submission; authorship is accountable curation and reconstruction rather than a claim of unaided origination (Eaton, 2023; World Association of Medical Editors [WAME], 2023). </w:t>
      </w:r>
      <w:r>
        <w:rPr>
          <w:i/>
          <w:highlight w:val="yellow"/>
        </w:rPr>
        <w:t>Epistemic ownership</w:t>
      </w:r>
      <w:r>
        <w:rPr>
          <w:highlight w:val="yellow"/>
        </w:rPr>
        <w:t xml:space="preserve"> means that the learner understands and can justify the claims and limits, drawing on the evaluative concerns of epistemic cognition (Chinn et al., 2011). </w:t>
      </w:r>
      <w:r>
        <w:rPr>
          <w:i/>
          <w:highlight w:val="yellow"/>
        </w:rPr>
        <w:t>Identity-level ownership</w:t>
      </w:r>
      <w:r>
        <w:rPr>
          <w:highlight w:val="yellow"/>
        </w:rPr>
        <w:t xml:space="preserve"> means that the artifact reflects the learner's voice, commitments, or self-investment, consistent with psychological ownership theory (Pierce et al., 2003).</w:t>
      </w:r>
    </w:p>
    <w:p>
      <w:pPr>
        <w:spacing w:line="480" w:lineRule="auto" w:after="0"/>
        <w:ind w:firstLine="720"/>
      </w:pPr>
      <w:r>
        <w:rPr>
          <w:highlight w:val="yellow"/>
        </w:rPr>
        <w:t>The layers are not equally required for every task. Epistemic ownership is the non-negotiable educational core, and accountable authorship is required whenever work is submitted. Identity-level ownership is central to reflective, argumentative, and creative work but may be peripheral to a technical procedure that is fully understood and responsibly presented. Table 2 maps the layers to distinct evidence, avoiding the assumption that an AI disclosure alone demonstrates understanding.</w:t>
      </w:r>
    </w:p>
    <w:p>
      <w:pPr>
        <w:spacing w:line="480" w:lineRule="auto" w:after="0"/>
        <w:ind w:firstLine="720"/>
      </w:pPr>
      <w:r>
        <w:rPr/>
        <w:t>The distinctions also prevent false positives in assessment. A detailed disclosure can demonstrate accountable authorship while leaving the learner unable to explain the work. A learner may understand and defend a standardized technical solution without regarding it as self-expressive. Conversely, strong identification with an argument does not establish that its evidence is sound. Educators should therefore align claims and measures by layer instead of assigning a single undifferentiated "ownership" score.</w:t>
      </w:r>
    </w:p>
    <w:p>
      <w:pPr>
        <w:spacing w:after="0"/>
        <w:ind w:firstLine="0"/>
      </w:pPr>
      <w:r>
        <w:rPr>
          <w:b/>
          <w:highlight w:val="yellow"/>
        </w:rPr>
        <w:t>Table 2</w:t>
      </w:r>
    </w:p>
    <w:p>
      <w:pPr>
        <w:spacing w:line="480" w:lineRule="auto" w:after="120"/>
        <w:ind w:firstLine="0"/>
      </w:pPr>
      <w:r>
        <w:rPr>
          <w:i/>
          <w:highlight w:val="yellow"/>
        </w:rPr>
        <w:t>Layers and Evidence of Explainable Ownership</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2340"/>
            <w:tcBorders>
              <w:bottom w:val="single" w:sz="6" w:color="000000"/>
            </w:tcBorders>
          </w:tcPr>
          <w:p>
            <w:pPr>
              <w:spacing w:after="40"/>
            </w:pPr>
            <w:r>
              <w:rPr>
                <w:b/>
                <w:highlight w:val="yellow"/>
              </w:rPr>
              <w:t>Layer</w:t>
            </w:r>
          </w:p>
        </w:tc>
        <w:tc>
          <w:tcPr>
            <w:tcW w:type="dxa" w:w="2340"/>
            <w:tcBorders>
              <w:bottom w:val="single" w:sz="6" w:color="000000"/>
            </w:tcBorders>
          </w:tcPr>
          <w:p>
            <w:pPr>
              <w:spacing w:after="40"/>
            </w:pPr>
            <w:r>
              <w:rPr>
                <w:b/>
                <w:highlight w:val="yellow"/>
              </w:rPr>
              <w:t>Core claim</w:t>
            </w:r>
          </w:p>
        </w:tc>
        <w:tc>
          <w:tcPr>
            <w:tcW w:type="dxa" w:w="2340"/>
            <w:tcBorders>
              <w:bottom w:val="single" w:sz="6" w:color="000000"/>
            </w:tcBorders>
          </w:tcPr>
          <w:p>
            <w:pPr>
              <w:spacing w:after="40"/>
            </w:pPr>
            <w:r>
              <w:rPr>
                <w:b/>
                <w:highlight w:val="yellow"/>
              </w:rPr>
              <w:t>Primary assessment evidence</w:t>
            </w:r>
          </w:p>
        </w:tc>
        <w:tc>
          <w:tcPr>
            <w:tcW w:type="dxa" w:w="2340"/>
            <w:tcBorders>
              <w:bottom w:val="single" w:sz="6" w:color="000000"/>
            </w:tcBorders>
          </w:tcPr>
          <w:p>
            <w:pPr>
              <w:spacing w:after="40"/>
            </w:pPr>
            <w:r>
              <w:rPr>
                <w:b/>
                <w:highlight w:val="yellow"/>
              </w:rPr>
              <w:t>Requirement</w:t>
            </w:r>
          </w:p>
        </w:tc>
      </w:tr>
      <w:tr>
        <w:tc>
          <w:tcPr>
            <w:tcW w:type="dxa" w:w="2340"/>
          </w:tcPr>
          <w:p>
            <w:pPr>
              <w:spacing w:after="40"/>
            </w:pPr>
            <w:r>
              <w:rPr>
                <w:highlight w:val="yellow"/>
              </w:rPr>
              <w:t>Accountable authorship</w:t>
            </w:r>
          </w:p>
        </w:tc>
        <w:tc>
          <w:tcPr>
            <w:tcW w:type="dxa" w:w="2340"/>
          </w:tcPr>
          <w:p>
            <w:pPr>
              <w:spacing w:after="40"/>
            </w:pPr>
            <w:r>
              <w:rPr>
                <w:highlight w:val="yellow"/>
              </w:rPr>
              <w:t>"I directed this work and accept responsibility for it."</w:t>
            </w:r>
          </w:p>
        </w:tc>
        <w:tc>
          <w:tcPr>
            <w:tcW w:type="dxa" w:w="2340"/>
          </w:tcPr>
          <w:p>
            <w:pPr>
              <w:spacing w:after="40"/>
            </w:pPr>
            <w:r>
              <w:rPr>
                <w:highlight w:val="yellow"/>
              </w:rPr>
              <w:t>AI-use disclosure; ownership statement; decision trail</w:t>
            </w:r>
          </w:p>
        </w:tc>
        <w:tc>
          <w:tcPr>
            <w:tcW w:type="dxa" w:w="2340"/>
          </w:tcPr>
          <w:p>
            <w:pPr>
              <w:spacing w:after="40"/>
            </w:pPr>
            <w:r>
              <w:rPr>
                <w:highlight w:val="yellow"/>
              </w:rPr>
              <w:t>Required for submitted work</w:t>
            </w:r>
          </w:p>
        </w:tc>
      </w:tr>
      <w:tr>
        <w:tc>
          <w:tcPr>
            <w:tcW w:type="dxa" w:w="2340"/>
          </w:tcPr>
          <w:p>
            <w:pPr>
              <w:spacing w:after="40"/>
            </w:pPr>
            <w:r>
              <w:rPr>
                <w:highlight w:val="yellow"/>
              </w:rPr>
              <w:t>Epistemic ownership</w:t>
            </w:r>
          </w:p>
        </w:tc>
        <w:tc>
          <w:tcPr>
            <w:tcW w:type="dxa" w:w="2340"/>
          </w:tcPr>
          <w:p>
            <w:pPr>
              <w:spacing w:after="40"/>
            </w:pPr>
            <w:r>
              <w:rPr>
                <w:highlight w:val="yellow"/>
              </w:rPr>
              <w:t>"I understand and can justify this work."</w:t>
            </w:r>
          </w:p>
        </w:tc>
        <w:tc>
          <w:tcPr>
            <w:tcW w:type="dxa" w:w="2340"/>
          </w:tcPr>
          <w:p>
            <w:pPr>
              <w:spacing w:after="40"/>
            </w:pPr>
            <w:r>
              <w:rPr>
                <w:highlight w:val="yellow"/>
              </w:rPr>
              <w:t>Oral defense; transfer task; revision under critique</w:t>
            </w:r>
          </w:p>
        </w:tc>
        <w:tc>
          <w:tcPr>
            <w:tcW w:type="dxa" w:w="2340"/>
          </w:tcPr>
          <w:p>
            <w:pPr>
              <w:spacing w:after="40"/>
            </w:pPr>
            <w:r>
              <w:rPr>
                <w:highlight w:val="yellow"/>
              </w:rPr>
              <w:t>Required across task types</w:t>
            </w:r>
          </w:p>
        </w:tc>
      </w:tr>
      <w:tr>
        <w:tc>
          <w:tcPr>
            <w:tcW w:type="dxa" w:w="2340"/>
          </w:tcPr>
          <w:p>
            <w:pPr>
              <w:spacing w:after="40"/>
            </w:pPr>
            <w:r>
              <w:rPr>
                <w:highlight w:val="yellow"/>
              </w:rPr>
              <w:t>Identity-level ownership</w:t>
            </w:r>
          </w:p>
        </w:tc>
        <w:tc>
          <w:tcPr>
            <w:tcW w:type="dxa" w:w="2340"/>
          </w:tcPr>
          <w:p>
            <w:pPr>
              <w:spacing w:after="40"/>
            </w:pPr>
            <w:r>
              <w:rPr>
                <w:highlight w:val="yellow"/>
              </w:rPr>
              <w:t>"This work reflects my thinking and voice."</w:t>
            </w:r>
          </w:p>
        </w:tc>
        <w:tc>
          <w:tcPr>
            <w:tcW w:type="dxa" w:w="2340"/>
          </w:tcPr>
          <w:p>
            <w:pPr>
              <w:spacing w:after="40"/>
            </w:pPr>
            <w:r>
              <w:rPr>
                <w:highlight w:val="yellow"/>
              </w:rPr>
              <w:t>Reflective memo; rationale for voice or value choices</w:t>
            </w:r>
          </w:p>
        </w:tc>
        <w:tc>
          <w:tcPr>
            <w:tcW w:type="dxa" w:w="2340"/>
          </w:tcPr>
          <w:p>
            <w:pPr>
              <w:spacing w:after="40"/>
            </w:pPr>
            <w:r>
              <w:rPr>
                <w:highlight w:val="yellow"/>
              </w:rPr>
              <w:t>Task-dependent</w:t>
            </w:r>
          </w:p>
        </w:tc>
      </w:tr>
    </w:tbl>
    <w:p/>
    <w:p>
      <w:pPr>
        <w:pStyle w:val="Heading1"/>
      </w:pPr>
      <w:r>
        <w:rPr>
          <w:rFonts w:ascii="Times New Roman" w:hAnsi="Times New Roman"/>
          <w:highlight w:val="yellow"/>
        </w:rPr>
        <w:t>6. Learner Readiness, Prerequisites, and Scaffolding</w:t>
      </w:r>
    </w:p>
    <w:p>
      <w:pPr>
        <w:spacing w:line="480" w:lineRule="auto" w:after="0"/>
        <w:ind w:firstLine="720"/>
      </w:pPr>
      <w:r>
        <w:rPr>
          <w:highlight w:val="yellow"/>
        </w:rPr>
        <w:t>Reverse Learning requires baseline domain knowledge, source-evaluation skill, metacognitive monitoring, and prompt literacy. A novice cannot reliably flag claims they cannot parse, but this does not make the framework expert-only. It changes the reference point for verification: novices compare output with supplied course materials, curated sources, worked examples, and instructor feedback, while experts can draw more on internalized standards.</w:t>
      </w:r>
    </w:p>
    <w:p>
      <w:pPr>
        <w:spacing w:line="480" w:lineRule="auto" w:after="0"/>
        <w:ind w:firstLine="720"/>
      </w:pPr>
      <w:r>
        <w:rPr>
          <w:highlight w:val="yellow"/>
        </w:rPr>
        <w:t>Scaffolding should therefore vary with expertise. The expertise-reversal effect predicts that supports useful to novices can become redundant for advanced learners (Kalyuga, 2007). Early implementations can externalize the cycle through claim-flagging templates, preselected source sets, verification logs, prompt stems, instructor modeling, and sentence starters for revision rationales. These supports can be faded through demonstration, guided practice, and independent application. Prompt templates support access but should eventually give way to prompts that learners design and justify.</w:t>
      </w:r>
    </w:p>
    <w:p>
      <w:pPr>
        <w:spacing w:line="480" w:lineRule="auto" w:after="0"/>
        <w:ind w:firstLine="720"/>
      </w:pPr>
      <w:r>
        <w:rPr>
          <w:highlight w:val="yellow"/>
        </w:rPr>
        <w:t>This is also an equity condition. Learners differ in prior knowledge, language resources, access to databases, AI experience, time, and confidence in questioning authoritative-sounding text. Requiring verification without providing accessible evidence and feedback can amplify those differences. Adequate scaffolds and verification resources are therefore implementation conditions, not optional enrichment. Proposition 5 makes the design obligation explicit: visible support should increase as prerequisite knowledge decreases or task consequences rise.</w:t>
      </w:r>
    </w:p>
    <w:p>
      <w:pPr>
        <w:spacing w:line="480" w:lineRule="auto" w:after="0"/>
        <w:ind w:firstLine="720"/>
      </w:pPr>
      <w:r>
        <w:rPr>
          <w:highlight w:val="yellow"/>
        </w:rPr>
        <w:t>Readiness should be diagnosed rather than inferred from age or educational level. A short pretask can ask learners to identify a checkable claim, distinguish primary from secondary evidence, revise a weak prompt, and explain a course concept without AI. The results can determine whether learners receive curated sources, partially completed logs, or independent choice. This approach treats the framework as a progression: verification and prompt literacy are prerequisites at one moment and learning outcomes at the next.</w:t>
      </w:r>
    </w:p>
    <w:p>
      <w:pPr>
        <w:pStyle w:val="Heading1"/>
      </w:pPr>
      <w:r>
        <w:rPr>
          <w:rFonts w:ascii="Times New Roman" w:hAnsi="Times New Roman"/>
          <w:highlight w:val="yellow"/>
        </w:rPr>
        <w:t>7. Distinguishing Reverse Learning from Related Concepts</w:t>
      </w:r>
    </w:p>
    <w:p>
      <w:pPr>
        <w:spacing w:line="480" w:lineRule="auto" w:after="0"/>
        <w:ind w:firstLine="720"/>
      </w:pPr>
      <w:r>
        <w:rPr/>
        <w:t>Reverse Learning does not replace its foundations. It organizes them around the problem of a complete-appearing artifact that precedes learner understanding. Table 3 locates the distinctive unit of analysis and explanatory gap.</w:t>
      </w:r>
    </w:p>
    <w:p>
      <w:pPr>
        <w:spacing w:after="0"/>
        <w:ind w:firstLine="0"/>
      </w:pPr>
      <w:r>
        <w:rPr>
          <w:b/>
          <w:highlight w:val="yellow"/>
        </w:rPr>
        <w:t>Table 3</w:t>
      </w:r>
    </w:p>
    <w:p>
      <w:pPr>
        <w:spacing w:line="480" w:lineRule="auto" w:after="120"/>
        <w:ind w:firstLine="0"/>
      </w:pPr>
      <w:r>
        <w:rPr>
          <w:i/>
          <w:highlight w:val="yellow"/>
        </w:rPr>
        <w:t>Reverse Learning and Adjacent Concepts</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3120"/>
            <w:tcBorders>
              <w:bottom w:val="single" w:sz="6" w:color="000000"/>
            </w:tcBorders>
          </w:tcPr>
          <w:p>
            <w:pPr>
              <w:spacing w:after="40"/>
            </w:pPr>
            <w:r>
              <w:rPr>
                <w:b/>
              </w:rPr>
              <w:t>Concept</w:t>
            </w:r>
          </w:p>
        </w:tc>
        <w:tc>
          <w:tcPr>
            <w:tcW w:type="dxa" w:w="3120"/>
            <w:tcBorders>
              <w:bottom w:val="single" w:sz="6" w:color="000000"/>
            </w:tcBorders>
          </w:tcPr>
          <w:p>
            <w:pPr>
              <w:spacing w:after="40"/>
            </w:pPr>
            <w:r>
              <w:rPr>
                <w:b/>
              </w:rPr>
              <w:t>Primary contribution</w:t>
            </w:r>
          </w:p>
        </w:tc>
        <w:tc>
          <w:tcPr>
            <w:tcW w:type="dxa" w:w="3120"/>
            <w:tcBorders>
              <w:bottom w:val="single" w:sz="6" w:color="000000"/>
            </w:tcBorders>
          </w:tcPr>
          <w:p>
            <w:pPr>
              <w:spacing w:after="40"/>
            </w:pPr>
            <w:r>
              <w:rPr>
                <w:b/>
              </w:rPr>
              <w:t>What Reverse Learning adds</w:t>
            </w:r>
          </w:p>
        </w:tc>
      </w:tr>
      <w:tr>
        <w:tc>
          <w:tcPr>
            <w:tcW w:type="dxa" w:w="3120"/>
          </w:tcPr>
          <w:p>
            <w:pPr>
              <w:spacing w:after="40"/>
            </w:pPr>
            <w:r>
              <w:rPr/>
              <w:t>AI literacy</w:t>
            </w:r>
          </w:p>
        </w:tc>
        <w:tc>
          <w:tcPr>
            <w:tcW w:type="dxa" w:w="3120"/>
          </w:tcPr>
          <w:p>
            <w:pPr>
              <w:spacing w:after="40"/>
            </w:pPr>
            <w:r>
              <w:rPr/>
              <w:t>Competencies for understanding, evaluating, and using AI</w:t>
            </w:r>
          </w:p>
        </w:tc>
        <w:tc>
          <w:tcPr>
            <w:tcW w:type="dxa" w:w="3120"/>
          </w:tcPr>
          <w:p>
            <w:pPr>
              <w:spacing w:after="40"/>
            </w:pPr>
            <w:r>
              <w:rPr/>
              <w:t>An artifact-first learning process and ownership criterion</w:t>
            </w:r>
          </w:p>
        </w:tc>
      </w:tr>
      <w:tr>
        <w:tc>
          <w:tcPr>
            <w:tcW w:type="dxa" w:w="3120"/>
          </w:tcPr>
          <w:p>
            <w:pPr>
              <w:spacing w:after="40"/>
            </w:pPr>
            <w:r>
              <w:rPr/>
              <w:t>Metacognition and ICAP</w:t>
            </w:r>
          </w:p>
        </w:tc>
        <w:tc>
          <w:tcPr>
            <w:tcW w:type="dxa" w:w="3120"/>
          </w:tcPr>
          <w:p>
            <w:pPr>
              <w:spacing w:after="40"/>
            </w:pPr>
            <w:r>
              <w:rPr/>
              <w:t>Monitoring and levels of cognitive engagement</w:t>
            </w:r>
          </w:p>
        </w:tc>
        <w:tc>
          <w:tcPr>
            <w:tcW w:type="dxa" w:w="3120"/>
          </w:tcPr>
          <w:p>
            <w:pPr>
              <w:spacing w:after="40"/>
            </w:pPr>
            <w:r>
              <w:rPr/>
              <w:t>External-artifact monitoring linked to observable reconstruction</w:t>
            </w:r>
          </w:p>
        </w:tc>
      </w:tr>
      <w:tr>
        <w:tc>
          <w:tcPr>
            <w:tcW w:type="dxa" w:w="3120"/>
          </w:tcPr>
          <w:p>
            <w:pPr>
              <w:spacing w:after="40"/>
            </w:pPr>
            <w:r>
              <w:rPr/>
              <w:t>Productive failure</w:t>
            </w:r>
          </w:p>
        </w:tc>
        <w:tc>
          <w:tcPr>
            <w:tcW w:type="dxa" w:w="3120"/>
          </w:tcPr>
          <w:p>
            <w:pPr>
              <w:spacing w:after="40"/>
            </w:pPr>
            <w:r>
              <w:rPr/>
              <w:t>Learning value of initial struggle or unsuccessful solutions</w:t>
            </w:r>
          </w:p>
        </w:tc>
        <w:tc>
          <w:tcPr>
            <w:tcW w:type="dxa" w:w="3120"/>
          </w:tcPr>
          <w:p>
            <w:pPr>
              <w:spacing w:after="40"/>
            </w:pPr>
            <w:r>
              <w:rPr/>
              <w:t>Productive struggle triggered after a pseudo-canonical AI answer appears</w:t>
            </w:r>
          </w:p>
        </w:tc>
      </w:tr>
      <w:tr>
        <w:tc>
          <w:tcPr>
            <w:tcW w:type="dxa" w:w="3120"/>
          </w:tcPr>
          <w:p>
            <w:pPr>
              <w:spacing w:after="40"/>
            </w:pPr>
            <w:r>
              <w:rPr/>
              <w:t>Knowledge building</w:t>
            </w:r>
          </w:p>
        </w:tc>
        <w:tc>
          <w:tcPr>
            <w:tcW w:type="dxa" w:w="3120"/>
          </w:tcPr>
          <w:p>
            <w:pPr>
              <w:spacing w:after="40"/>
            </w:pPr>
            <w:r>
              <w:rPr/>
              <w:t>Improvement of conceptual artifacts</w:t>
            </w:r>
          </w:p>
        </w:tc>
        <w:tc>
          <w:tcPr>
            <w:tcW w:type="dxa" w:w="3120"/>
          </w:tcPr>
          <w:p>
            <w:pPr>
              <w:spacing w:after="40"/>
            </w:pPr>
            <w:r>
              <w:rPr/>
              <w:t>Transfer from AI-generated artifact to learner-held warrant</w:t>
            </w:r>
          </w:p>
        </w:tc>
      </w:tr>
      <w:tr>
        <w:tc>
          <w:tcPr>
            <w:tcW w:type="dxa" w:w="3120"/>
          </w:tcPr>
          <w:p>
            <w:pPr>
              <w:spacing w:after="40"/>
            </w:pPr>
            <w:r>
              <w:rPr/>
              <w:t>AI Assessment Scale</w:t>
            </w:r>
          </w:p>
        </w:tc>
        <w:tc>
          <w:tcPr>
            <w:tcW w:type="dxa" w:w="3120"/>
          </w:tcPr>
          <w:p>
            <w:pPr>
              <w:spacing w:after="40"/>
            </w:pPr>
            <w:r>
              <w:rPr/>
              <w:t>Permitted levels of AI use in assessment</w:t>
            </w:r>
          </w:p>
        </w:tc>
        <w:tc>
          <w:tcPr>
            <w:tcW w:type="dxa" w:w="3120"/>
          </w:tcPr>
          <w:p>
            <w:pPr>
              <w:spacing w:after="40"/>
            </w:pPr>
            <w:r>
              <w:rPr/>
              <w:t>Learner actions and evidence required when generated output is used</w:t>
            </w:r>
          </w:p>
        </w:tc>
      </w:tr>
      <w:tr>
        <w:tc>
          <w:tcPr>
            <w:tcW w:type="dxa" w:w="3120"/>
          </w:tcPr>
          <w:p>
            <w:pPr>
              <w:spacing w:after="40"/>
            </w:pPr>
            <w:r>
              <w:rPr/>
              <w:t>Reverse Learning Framework</w:t>
            </w:r>
          </w:p>
        </w:tc>
        <w:tc>
          <w:tcPr>
            <w:tcW w:type="dxa" w:w="3120"/>
          </w:tcPr>
          <w:p>
            <w:pPr>
              <w:spacing w:after="40"/>
            </w:pPr>
            <w:r>
              <w:rPr/>
              <w:t>Discovery and resolution of the fluency–validity gap</w:t>
            </w:r>
          </w:p>
        </w:tc>
        <w:tc>
          <w:tcPr>
            <w:tcW w:type="dxa" w:w="3120"/>
          </w:tcPr>
          <w:p>
            <w:pPr>
              <w:spacing w:after="40"/>
            </w:pPr>
            <w:r>
              <w:rPr/>
              <w:t>Recursive relationships ending in assessed explainable ownership</w:t>
            </w:r>
          </w:p>
        </w:tc>
      </w:tr>
    </w:tbl>
    <w:p/>
    <w:p>
      <w:pPr>
        <w:spacing w:line="480" w:lineRule="auto" w:after="0"/>
        <w:ind w:firstLine="720"/>
      </w:pPr>
      <w:r>
        <w:rPr>
          <w:highlight w:val="yellow"/>
        </w:rPr>
        <w:t>The name itself may invite conflation with established educational approaches, so the boundaries are worth stating. Flipped learning reorganizes when and where instruction and practice occur (Flipped Learning Network, 2014), while backward design reverses curriculum planning by beginning with intended outcomes (Wiggins &amp; McTighe, 2005). Reverse Learning instead describes a change in the order of learning under generative AI: a complete-appearing artifact can precede understanding, and the learner must move from that output through verification and reconstruction toward assessed, explainable ownership.</w:t>
      </w:r>
    </w:p>
    <w:p>
      <w:pPr>
        <w:spacing w:line="480" w:lineRule="auto" w:after="0"/>
        <w:ind w:firstLine="720"/>
      </w:pPr>
      <w:r>
        <w:rPr>
          <w:highlight w:val="yellow"/>
        </w:rPr>
        <w:t>The framework's novelty is therefore not a general claim to critical thinking. It lies in connecting activation, evidence-disciplined human-AI dialogue, contextual reconstruction, and a layered ownership criterion within artifact-first learning. The AI Assessment Scale can specify whether and how AI is permitted (Perkins et al., 2024); Reverse Learning specifies what learners do with generated output when use is permitted.</w:t>
      </w:r>
    </w:p>
    <w:p>
      <w:pPr>
        <w:spacing w:line="480" w:lineRule="auto" w:after="0"/>
        <w:ind w:firstLine="720"/>
      </w:pPr>
      <w:r>
        <w:rPr/>
        <w:t>Reverse Learning also differs from a simple workflow. A workflow can prescribe actions without explaining when learners will undertake them or why one action changes another. The propositions connect motivational conditions, reciprocal inquiry, regression, moderation, and an outcome construct. That conceptual structure remains compatible with multiple instructional workflows rather than requiring one implementation script.</w:t>
      </w:r>
    </w:p>
    <w:p>
      <w:pPr>
        <w:pStyle w:val="Heading1"/>
      </w:pPr>
      <w:r>
        <w:rPr>
          <w:rFonts w:ascii="Times New Roman" w:hAnsi="Times New Roman"/>
        </w:rPr>
        <w:t>8. Pedagogical Applications and Assessment</w:t>
      </w:r>
    </w:p>
    <w:p>
      <w:pPr>
        <w:spacing w:line="480" w:lineRule="auto" w:after="0"/>
        <w:ind w:firstLine="720"/>
      </w:pPr>
      <w:r>
        <w:rPr/>
        <w:t>Ownership-based assessment both measures and motivates the process. Announced requirements to submit the initiating artifact, document checks, explain revisions, or defend the final product change the expectancy-value structure described in Section 3.3. Table 4 offers an aligned evidence set; instructors can select proportionate evidence rather than require every artifact in every task.</w:t>
      </w:r>
    </w:p>
    <w:p>
      <w:pPr>
        <w:spacing w:after="0"/>
        <w:ind w:firstLine="0"/>
      </w:pPr>
      <w:r>
        <w:rPr>
          <w:b/>
        </w:rPr>
        <w:t>Table 4</w:t>
      </w:r>
    </w:p>
    <w:p>
      <w:pPr>
        <w:spacing w:line="480" w:lineRule="auto" w:after="120"/>
        <w:ind w:firstLine="0"/>
      </w:pPr>
      <w:r>
        <w:rPr>
          <w:i/>
        </w:rPr>
        <w:t>Assignment Evidence and Assessment Alignment</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3120"/>
            <w:tcBorders>
              <w:bottom w:val="single" w:sz="6" w:color="000000"/>
            </w:tcBorders>
          </w:tcPr>
          <w:p>
            <w:pPr>
              <w:spacing w:after="40"/>
            </w:pPr>
            <w:r>
              <w:rPr>
                <w:b/>
              </w:rPr>
              <w:t>Evidence</w:t>
            </w:r>
          </w:p>
        </w:tc>
        <w:tc>
          <w:tcPr>
            <w:tcW w:type="dxa" w:w="3120"/>
            <w:tcBorders>
              <w:bottom w:val="single" w:sz="6" w:color="000000"/>
            </w:tcBorders>
          </w:tcPr>
          <w:p>
            <w:pPr>
              <w:spacing w:after="40"/>
            </w:pPr>
            <w:r>
              <w:rPr>
                <w:b/>
              </w:rPr>
              <w:t>Framework function</w:t>
            </w:r>
          </w:p>
        </w:tc>
        <w:tc>
          <w:tcPr>
            <w:tcW w:type="dxa" w:w="3120"/>
            <w:tcBorders>
              <w:bottom w:val="single" w:sz="6" w:color="000000"/>
            </w:tcBorders>
          </w:tcPr>
          <w:p>
            <w:pPr>
              <w:spacing w:after="40"/>
            </w:pPr>
            <w:r>
              <w:rPr>
                <w:b/>
              </w:rPr>
              <w:t>Assessment focus</w:t>
            </w:r>
          </w:p>
        </w:tc>
      </w:tr>
      <w:tr>
        <w:tc>
          <w:tcPr>
            <w:tcW w:type="dxa" w:w="3120"/>
          </w:tcPr>
          <w:p>
            <w:pPr>
              <w:spacing w:after="40"/>
            </w:pPr>
            <w:r>
              <w:rPr/>
              <w:t>Annotated AI output</w:t>
            </w:r>
          </w:p>
        </w:tc>
        <w:tc>
          <w:tcPr>
            <w:tcW w:type="dxa" w:w="3120"/>
          </w:tcPr>
          <w:p>
            <w:pPr>
              <w:spacing w:after="40"/>
            </w:pPr>
            <w:r>
              <w:rPr/>
              <w:t>Activates skepticism</w:t>
            </w:r>
          </w:p>
        </w:tc>
        <w:tc>
          <w:tcPr>
            <w:tcW w:type="dxa" w:w="3120"/>
          </w:tcPr>
          <w:p>
            <w:pPr>
              <w:spacing w:after="40"/>
            </w:pPr>
            <w:r>
              <w:rPr/>
              <w:t>Quality and prioritization of identified uncertainties</w:t>
            </w:r>
          </w:p>
        </w:tc>
      </w:tr>
      <w:tr>
        <w:tc>
          <w:tcPr>
            <w:tcW w:type="dxa" w:w="3120"/>
          </w:tcPr>
          <w:p>
            <w:pPr>
              <w:spacing w:after="40"/>
            </w:pPr>
            <w:r>
              <w:rPr/>
              <w:t>Verification log</w:t>
            </w:r>
          </w:p>
        </w:tc>
        <w:tc>
          <w:tcPr>
            <w:tcW w:type="dxa" w:w="3120"/>
          </w:tcPr>
          <w:p>
            <w:pPr>
              <w:spacing w:after="40"/>
            </w:pPr>
            <w:r>
              <w:rPr/>
              <w:t>Disciplines the inquiry loop</w:t>
            </w:r>
          </w:p>
        </w:tc>
        <w:tc>
          <w:tcPr>
            <w:tcW w:type="dxa" w:w="3120"/>
          </w:tcPr>
          <w:p>
            <w:pPr>
              <w:spacing w:after="40"/>
            </w:pPr>
            <w:r>
              <w:rPr/>
              <w:t>Source credibility, accuracy, and correction rationale</w:t>
            </w:r>
          </w:p>
        </w:tc>
      </w:tr>
      <w:tr>
        <w:tc>
          <w:tcPr>
            <w:tcW w:type="dxa" w:w="3120"/>
          </w:tcPr>
          <w:p>
            <w:pPr>
              <w:spacing w:after="40"/>
            </w:pPr>
            <w:r>
              <w:rPr/>
              <w:t>Prompting reflection</w:t>
            </w:r>
          </w:p>
        </w:tc>
        <w:tc>
          <w:tcPr>
            <w:tcW w:type="dxa" w:w="3120"/>
          </w:tcPr>
          <w:p>
            <w:pPr>
              <w:spacing w:after="40"/>
            </w:pPr>
            <w:r>
              <w:rPr/>
              <w:t>Makes dialogue metacognitive</w:t>
            </w:r>
          </w:p>
        </w:tc>
        <w:tc>
          <w:tcPr>
            <w:tcW w:type="dxa" w:w="3120"/>
          </w:tcPr>
          <w:p>
            <w:pPr>
              <w:spacing w:after="40"/>
            </w:pPr>
            <w:r>
              <w:rPr/>
              <w:t>How prompts surfaced assumptions or changed understanding</w:t>
            </w:r>
          </w:p>
        </w:tc>
      </w:tr>
      <w:tr>
        <w:tc>
          <w:tcPr>
            <w:tcW w:type="dxa" w:w="3120"/>
          </w:tcPr>
          <w:p>
            <w:pPr>
              <w:spacing w:after="40"/>
            </w:pPr>
            <w:r>
              <w:rPr/>
              <w:t>Reconstruction comparison</w:t>
            </w:r>
          </w:p>
        </w:tc>
        <w:tc>
          <w:tcPr>
            <w:tcW w:type="dxa" w:w="3120"/>
          </w:tcPr>
          <w:p>
            <w:pPr>
              <w:spacing w:after="40"/>
            </w:pPr>
            <w:r>
              <w:rPr/>
              <w:t>Demonstrates conversion</w:t>
            </w:r>
          </w:p>
        </w:tc>
        <w:tc>
          <w:tcPr>
            <w:tcW w:type="dxa" w:w="3120"/>
          </w:tcPr>
          <w:p>
            <w:pPr>
              <w:spacing w:after="40"/>
            </w:pPr>
            <w:r>
              <w:rPr/>
              <w:t>Substantive changes to reasoning, evidence, context, and structure</w:t>
            </w:r>
          </w:p>
        </w:tc>
      </w:tr>
      <w:tr>
        <w:tc>
          <w:tcPr>
            <w:tcW w:type="dxa" w:w="3120"/>
          </w:tcPr>
          <w:p>
            <w:pPr>
              <w:spacing w:after="40"/>
            </w:pPr>
            <w:r>
              <w:rPr/>
              <w:t>Oral defense or transfer task</w:t>
            </w:r>
          </w:p>
        </w:tc>
        <w:tc>
          <w:tcPr>
            <w:tcW w:type="dxa" w:w="3120"/>
          </w:tcPr>
          <w:p>
            <w:pPr>
              <w:spacing w:after="40"/>
            </w:pPr>
            <w:r>
              <w:rPr/>
              <w:t>Tests epistemic ownership</w:t>
            </w:r>
          </w:p>
        </w:tc>
        <w:tc>
          <w:tcPr>
            <w:tcW w:type="dxa" w:w="3120"/>
          </w:tcPr>
          <w:p>
            <w:pPr>
              <w:spacing w:after="40"/>
            </w:pPr>
            <w:r>
              <w:rPr/>
              <w:t>Explanation, justification, limitation awareness, and adaptation</w:t>
            </w:r>
          </w:p>
        </w:tc>
      </w:tr>
      <w:tr>
        <w:tc>
          <w:tcPr>
            <w:tcW w:type="dxa" w:w="3120"/>
          </w:tcPr>
          <w:p>
            <w:pPr>
              <w:spacing w:after="40"/>
            </w:pPr>
            <w:r>
              <w:rPr/>
              <w:t>Ownership statement</w:t>
            </w:r>
          </w:p>
        </w:tc>
        <w:tc>
          <w:tcPr>
            <w:tcW w:type="dxa" w:w="3120"/>
          </w:tcPr>
          <w:p>
            <w:pPr>
              <w:spacing w:after="40"/>
            </w:pPr>
            <w:r>
              <w:rPr/>
              <w:t>Documents accountable authorship</w:t>
            </w:r>
          </w:p>
        </w:tc>
        <w:tc>
          <w:tcPr>
            <w:tcW w:type="dxa" w:w="3120"/>
          </w:tcPr>
          <w:p>
            <w:pPr>
              <w:spacing w:after="40"/>
            </w:pPr>
            <w:r>
              <w:rPr/>
              <w:t>Specific disclosure of AI use and learner decisions</w:t>
            </w:r>
          </w:p>
        </w:tc>
      </w:tr>
      <w:tr>
        <w:tc>
          <w:tcPr>
            <w:tcW w:type="dxa" w:w="3120"/>
          </w:tcPr>
          <w:p>
            <w:pPr>
              <w:spacing w:after="40"/>
            </w:pPr>
            <w:r>
              <w:rPr/>
              <w:t>Reflective memo</w:t>
            </w:r>
          </w:p>
        </w:tc>
        <w:tc>
          <w:tcPr>
            <w:tcW w:type="dxa" w:w="3120"/>
          </w:tcPr>
          <w:p>
            <w:pPr>
              <w:spacing w:after="40"/>
            </w:pPr>
            <w:r>
              <w:rPr/>
              <w:t>Surfaces identity-level ownership when relevant</w:t>
            </w:r>
          </w:p>
        </w:tc>
        <w:tc>
          <w:tcPr>
            <w:tcW w:type="dxa" w:w="3120"/>
          </w:tcPr>
          <w:p>
            <w:pPr>
              <w:spacing w:after="40"/>
            </w:pPr>
            <w:r>
              <w:rPr/>
              <w:t>Relationship between the work and the learner's voice or commitments</w:t>
            </w:r>
          </w:p>
        </w:tc>
      </w:tr>
    </w:tbl>
    <w:p/>
    <w:p>
      <w:pPr>
        <w:spacing w:line="480" w:lineRule="auto" w:after="0"/>
        <w:ind w:firstLine="720"/>
      </w:pPr>
      <w:r>
        <w:rPr/>
        <w:t>These measures also reduce dependence on AI-output detection. A polished artifact cannot by itself distinguish pseudo-competence from understanding, whereas explanation, transfer, and revision under questioning directly sample learner control. At scale, brief randomized defenses, peer-audited verification logs, or sampled transfer questions may provide more feasible evidence than interviewing every learner.</w:t>
      </w:r>
    </w:p>
    <w:p>
      <w:pPr>
        <w:spacing w:line="480" w:lineRule="auto" w:after="0"/>
        <w:ind w:firstLine="720"/>
      </w:pPr>
      <w:r>
        <w:rPr/>
        <w:t>A compact assignment might provide a deliberately flawed AI explanation, require students to annotate three consequential claims, verify them against a curated source set, reconstruct one section, and answer an unaided transfer question. A more advanced assignment might allow learners to generate their own artifact, maintain a decision trail, justify the standards used for verification, and defend the final work orally. Both enact the same functions while varying autonomy and documentation. Instructors should grade the quality of judgment and correction rather than reward the number of prompts or the amount of visible editing.</w:t>
      </w:r>
    </w:p>
    <w:p>
      <w:pPr>
        <w:spacing w:line="480" w:lineRule="auto" w:after="0"/>
        <w:ind w:firstLine="720"/>
      </w:pPr>
      <w:r>
        <w:rPr/>
        <w:t>Assessment validity also depends on timing. If ownership evidence is announced only after submission, it can detect a problem but cannot reliably motivate the process. When the evidence and criteria are stated at task launch, they shape forethought and strategy selection. Formative checkpoints can then return verification or reconstruction feedback before the final defense, making the framework a learning design rather than a retrospective audit.</w:t>
      </w:r>
    </w:p>
    <w:p>
      <w:pPr>
        <w:pStyle w:val="Heading1"/>
      </w:pPr>
      <w:r>
        <w:rPr>
          <w:rFonts w:ascii="Times New Roman" w:hAnsi="Times New Roman"/>
          <w:highlight w:val="yellow"/>
        </w:rPr>
        <w:t>9. Boundary Conditions, Disciplinary Variation, and Limitations</w:t>
      </w:r>
    </w:p>
    <w:p>
      <w:pPr>
        <w:spacing w:line="480" w:lineRule="auto" w:after="0"/>
        <w:ind w:firstLine="720"/>
      </w:pPr>
      <w:r>
        <w:rPr>
          <w:highlight w:val="yellow"/>
        </w:rPr>
        <w:t>Verification and reconstruction differ across epistemic cultures. In STEM, code can be executed, calculations checked, and derivations traced, although model assumptions and data provenance still require judgment. In the humanities, verification includes source fidelity and argumentative defensibility rather than a single executable test; contextual integration and identity-level ownership may be especially important. In the social sciences, learners must evaluate methods, contested evidence, population boundaries, and generalizability. Instructors should therefore define what counts as warrant in their domain instead of importing one generic checklist. Human-AI collaboration research similarly suggests that productive hybrid regulation depends on deliberately allocated human and AI roles (Järvelä et al., 2023).</w:t>
      </w:r>
    </w:p>
    <w:p>
      <w:pPr>
        <w:spacing w:line="480" w:lineRule="auto" w:after="0"/>
        <w:ind w:firstLine="720"/>
      </w:pPr>
      <w:r>
        <w:rPr>
          <w:highlight w:val="yellow"/>
        </w:rPr>
        <w:t>Full implementation is most defensible when content is independently checkable, verification resources and time are available, prerequisites are present or scaffolded, and the task carries enough value to justify the cycle. For primarily expressive work, verification may apply to sources and constraints while identity and craft dominate. For low-stakes, high-volume work, a compressed cycle may be proportionate. Meta-analytic evidence that GenAI effects vary across educational levels, subject domains, intervention durations, and sample sizes reinforces the need to test rather than assume generality (Han et al., 2025).</w:t>
      </w:r>
    </w:p>
    <w:p>
      <w:pPr>
        <w:spacing w:line="480" w:lineRule="auto" w:after="0"/>
        <w:ind w:firstLine="720"/>
      </w:pPr>
      <w:r>
        <w:rPr>
          <w:highlight w:val="yellow"/>
        </w:rPr>
        <w:t>The framework has three present limitations. First, it is conceptual and its propositions require empirical validation. Second, oral defense and detailed process review can be costly at scale, even with sampling strategies. Third, the current model centers individual ownership; collaborative settings distribute regulation and responsibility across people and AI, requiring further development through socially shared regulation research (Järvelä et al., 2023). The framework should not be used to force AI into tasks where unaided performance is the learning objective or where policy prohibits its use.</w:t>
      </w:r>
    </w:p>
    <w:p>
      <w:pPr>
        <w:spacing w:line="480" w:lineRule="auto" w:after="0"/>
        <w:ind w:firstLine="720"/>
      </w:pPr>
      <w:r>
        <w:rPr/>
        <w:t>Additional boundaries concern risk and infrastructure. Sensitive personal, educational, or organizational data should not be placed in systems that lack appropriate privacy and governance controls. In high-stakes domains, learner verification cannot substitute for qualified professional review, and incorrect reconstruction may carry consequences beyond a grade. Accessibility also includes reliable device and model access; requiring premium capabilities without an equivalent institutional option creates a participation barrier. Finally, instructors themselves need enough disciplinary and AI literacy to model verification and interpret process evidence.</w:t>
      </w:r>
    </w:p>
    <w:p>
      <w:pPr>
        <w:pStyle w:val="Heading1"/>
      </w:pPr>
      <w:r>
        <w:rPr>
          <w:rFonts w:ascii="Times New Roman" w:hAnsi="Times New Roman"/>
        </w:rPr>
        <w:t>10. Research Agenda</w:t>
      </w:r>
    </w:p>
    <w:p>
      <w:pPr>
        <w:spacing w:line="480" w:lineRule="auto" w:after="0"/>
        <w:ind w:firstLine="720"/>
      </w:pPr>
      <w:r>
        <w:rPr/>
        <w:t>The propositions generate four research priorities. First, comparative studies should test whether structured Reverse Learning improves explanation, retention, and transfer relative to unstructured AI use and unaided work. Second, process studies should examine whether assessment cues and scaffolds activate skepticism and how prompt and verification traces reflect SRL. Third, studies should test moderation by prior knowledge, discipline, task stakes, and access to resources, including whether supports should be faded as expertise develops. Fourth, measurement work should distinguish accountable authorship, epistemic ownership, and identity-level ownership and test whether epistemic ownership best predicts unaided transfer. These studies should report not only final artifact quality but also no-AI performance and the process evidence needed to distinguish productive assistance from cognitive substitution.</w:t>
      </w:r>
    </w:p>
    <w:p>
      <w:pPr>
        <w:spacing w:line="480" w:lineRule="auto" w:after="0"/>
        <w:ind w:firstLine="720"/>
      </w:pPr>
      <w:r>
        <w:rPr/>
        <w:t>Methodologically, studies should separate fidelity from effectiveness. A null effect may indicate that the framework is ineffective, or that learners never engaged in independent verification or substantive reconstruction. Process coding can test the proposed reciprocal and regressive paths, while experimental manipulations of announced defense, source access, or prompt scaffolds can test activation and moderation. Longitudinal work is needed to determine whether externally documented practices become internalized habits and whether gains persist when scaffolds or AI access are removed.</w:t>
      </w:r>
    </w:p>
    <w:p>
      <w:pPr>
        <w:pStyle w:val="Heading1"/>
      </w:pPr>
      <w:r>
        <w:rPr>
          <w:rFonts w:ascii="Times New Roman" w:hAnsi="Times New Roman"/>
        </w:rPr>
        <w:t>11. Discussion</w:t>
      </w:r>
    </w:p>
    <w:p>
      <w:pPr>
        <w:spacing w:line="480" w:lineRule="auto" w:after="0"/>
        <w:ind w:firstLine="720"/>
      </w:pPr>
      <w:r>
        <w:rPr/>
        <w:t>Reverse Learning reframes a central ethical and instructional problem. Detection asks whether AI contributed; ownership asks whether the learner can warrant the result. Disclosure remains important, but it cannot demonstrate understanding. Similarly, increasing model accuracy does not remove the need for the framework: fewer visible errors may reduce the cue to scrutinize an artifact, while contextual fit and learner-held justification remain human responsibilities.</w:t>
      </w:r>
    </w:p>
    <w:p>
      <w:pPr>
        <w:spacing w:line="480" w:lineRule="auto" w:after="0"/>
        <w:ind w:firstLine="720"/>
      </w:pPr>
      <w:r>
        <w:rPr/>
        <w:t>The framework is more specific than "critical thinking plus AI" because it identifies a potential gap created by artifact-first learning, theorizes the conditions that make the gap salient, specifies reciprocal and regressive relationships among components, and defines an assessable exit state. It is also deliberately conditional. Reverse Learning is not a universal mandate for AI use; it is a design model for settings in which generated artifacts are permitted and learning must remain attributable to human judgment.</w:t>
      </w:r>
    </w:p>
    <w:p>
      <w:pPr>
        <w:spacing w:line="480" w:lineRule="auto" w:after="0"/>
        <w:ind w:firstLine="720"/>
      </w:pPr>
      <w:r>
        <w:rPr/>
        <w:t>For practitioners, the most important implication is alignment. Permission to use AI, access to evidence, required process artifacts, and the final assessment must point toward the same outcome. Allowing AI while grading only polish encourages delegation; demanding verification without source access produces compliance theater; requiring disclosure without explanation measures transparency but not understanding. Alignment makes epistemic responsibility both feasible and consequential.</w:t>
      </w:r>
    </w:p>
    <w:p>
      <w:pPr>
        <w:pStyle w:val="Heading1"/>
      </w:pPr>
      <w:r>
        <w:rPr>
          <w:rFonts w:ascii="Times New Roman" w:hAnsi="Times New Roman"/>
        </w:rPr>
        <w:t>12. Conclusion</w:t>
      </w:r>
    </w:p>
    <w:p>
      <w:pPr>
        <w:spacing w:line="480" w:lineRule="auto" w:after="0"/>
        <w:ind w:firstLine="720"/>
      </w:pPr>
      <w:r>
        <w:rPr/>
        <w:t>Generative AI can end a task before learning begins, or it can supply an artifact from which learning begins. Reverse Learning describes the latter path: make apparent adequacy questionable, test it against independent warrant, reconstruct it in context, and require the learner to explain and defend the result. Its goal is not automated learning but accountable, human-owned understanding.</w:t>
      </w:r>
    </w:p>
    <w:p>
      <w:pPr>
        <w:spacing w:line="480" w:lineRule="auto" w:after="0"/>
        <w:ind w:firstLine="720"/>
      </w:pPr>
      <w:r>
        <w:rPr/>
        <w:t>The framework's contribution is therefore both conceptual and practical: it explains a distinctive artifact-first risk, specifies relationships that can be tested, and identifies evidence that educators can design for now. Its value will ultimately depend on whether future studies show that resolving the fluency–validity gap produces durable epistemic ownership across learners, tasks, and disciplines. Reverse Learning is not the automation of learning; it is the humanization of AI-assisted learning.</w:t>
      </w:r>
    </w:p>
    <w:p>
      <w:pPr>
        <w:pStyle w:val="Heading1"/>
      </w:pPr>
      <w:r>
        <w:rPr>
          <w:rFonts w:ascii="Times New Roman" w:hAnsi="Times New Roman"/>
        </w:rPr>
        <w:t>AI Use Disclosure</w:t>
      </w:r>
    </w:p>
    <w:p>
      <w:pPr>
        <w:spacing w:line="480" w:lineRule="auto" w:after="0"/>
        <w:ind w:firstLine="720"/>
      </w:pPr>
      <w:r>
        <w:rPr/>
        <w:t>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p>
      <w:r>
        <w:br w:type="page"/>
      </w:r>
    </w:p>
    <w:p>
      <w:pPr>
        <w:pStyle w:val="Heading1"/>
      </w:pPr>
      <w:r>
        <w:rPr>
          <w:rFonts w:ascii="Times New Roman" w:hAnsi="Times New Roman"/>
        </w:rPr>
        <w:t>References</w:t>
      </w:r>
    </w:p>
    <w:p>
      <w:pPr>
        <w:spacing w:line="480" w:lineRule="auto" w:after="0"/>
        <w:ind w:left="720" w:hanging="720"/>
      </w:pPr>
      <w:r>
        <w:rPr>
          <w:highlight w:val="yellow"/>
        </w:rPr>
        <w:t xml:space="preserve">Cacioppo, J. T., &amp; Petty, R. E. (1982). The need for cognition. </w:t>
      </w:r>
      <w:r>
        <w:rPr>
          <w:i/>
          <w:highlight w:val="yellow"/>
        </w:rPr>
        <w:t>Journal of Personality and Social Psychology</w:t>
      </w:r>
      <w:r>
        <w:rPr>
          <w:highlight w:val="yellow"/>
        </w:rPr>
        <w:t xml:space="preserve">, </w:t>
      </w:r>
      <w:r>
        <w:rPr>
          <w:i/>
          <w:highlight w:val="yellow"/>
        </w:rPr>
        <w:t>42</w:t>
      </w:r>
      <w:r>
        <w:rPr>
          <w:highlight w:val="yellow"/>
        </w:rPr>
        <w:t>(1), 116–131. https://doi.org/10.1037/0022-3514.42.1.116</w:t>
      </w:r>
    </w:p>
    <w:p>
      <w:pPr>
        <w:spacing w:line="480" w:lineRule="auto" w:after="0"/>
        <w:ind w:left="720" w:hanging="720"/>
      </w:pPr>
      <w:r>
        <w:rPr>
          <w:highlight w:val="yellow"/>
        </w:rPr>
        <w:t xml:space="preserve">Chan, C. K. Y., &amp; Zhou, W. (2023). An expectancy value theory (EVT) based instrument for measuring student perceptions of generative AI. </w:t>
      </w:r>
      <w:r>
        <w:rPr>
          <w:i/>
          <w:highlight w:val="yellow"/>
        </w:rPr>
        <w:t>Smart Learning Environments</w:t>
      </w:r>
      <w:r>
        <w:rPr>
          <w:highlight w:val="yellow"/>
        </w:rPr>
        <w:t xml:space="preserve">, </w:t>
      </w:r>
      <w:r>
        <w:rPr>
          <w:i/>
          <w:highlight w:val="yellow"/>
        </w:rPr>
        <w:t>10</w:t>
      </w:r>
      <w:r>
        <w:rPr>
          <w:highlight w:val="yellow"/>
        </w:rPr>
        <w:t>, Article 64. https://doi.org/10.1186/s40561-023-00284-4</w:t>
      </w:r>
    </w:p>
    <w:p>
      <w:pPr>
        <w:spacing w:line="480" w:lineRule="auto" w:after="0"/>
        <w:ind w:left="720" w:hanging="720"/>
      </w:pPr>
      <w:r>
        <w:rPr/>
        <w:t xml:space="preserve">Chi, M. T. H., &amp; Wylie, R. (2014). The ICAP framework: Linking cognitive engagement to active learning outcomes. </w:t>
      </w:r>
      <w:r>
        <w:rPr>
          <w:i/>
        </w:rPr>
        <w:t>Educational Psychologist</w:t>
      </w:r>
      <w:r>
        <w:rPr/>
        <w:t xml:space="preserve">, </w:t>
      </w:r>
      <w:r>
        <w:rPr>
          <w:i/>
        </w:rPr>
        <w:t>49</w:t>
      </w:r>
      <w:r>
        <w:rPr/>
        <w:t>(4), 219–243. https://doi.org/10.1080/00461520.2014.965823</w:t>
      </w:r>
    </w:p>
    <w:p>
      <w:pPr>
        <w:spacing w:line="480" w:lineRule="auto" w:after="0"/>
        <w:ind w:left="720" w:hanging="720"/>
      </w:pPr>
      <w:r>
        <w:rPr>
          <w:highlight w:val="yellow"/>
        </w:rPr>
        <w:t xml:space="preserve">Chinn, C. A., Buckland, L. A., &amp; Samarapungavan, A. (2011). Expanding the dimensions of epistemic cognition: Arguments from philosophy and psychology. </w:t>
      </w:r>
      <w:r>
        <w:rPr>
          <w:i/>
          <w:highlight w:val="yellow"/>
        </w:rPr>
        <w:t>Educational Psychologist</w:t>
      </w:r>
      <w:r>
        <w:rPr>
          <w:highlight w:val="yellow"/>
        </w:rPr>
        <w:t xml:space="preserve">, </w:t>
      </w:r>
      <w:r>
        <w:rPr>
          <w:i/>
          <w:highlight w:val="yellow"/>
        </w:rPr>
        <w:t>46</w:t>
      </w:r>
      <w:r>
        <w:rPr>
          <w:highlight w:val="yellow"/>
        </w:rPr>
        <w:t>(3), 141–167. https://doi.org/10.1080/00461520.2011.587722</w:t>
      </w:r>
    </w:p>
    <w:p>
      <w:pPr>
        <w:spacing w:line="480" w:lineRule="auto" w:after="0"/>
        <w:ind w:left="720" w:hanging="720"/>
      </w:pPr>
      <w:r>
        <w:rPr/>
        <w:t xml:space="preserve">Cotton, D. R. E., Cotton, P. A., &amp; Shipway, J. R. (2024). Chatting and cheating: Ensuring academic integrity in the era of ChatGPT. </w:t>
      </w:r>
      <w:r>
        <w:rPr>
          <w:i/>
        </w:rPr>
        <w:t>Innovations in Education and Teaching International</w:t>
      </w:r>
      <w:r>
        <w:rPr/>
        <w:t xml:space="preserve">, </w:t>
      </w:r>
      <w:r>
        <w:rPr>
          <w:i/>
        </w:rPr>
        <w:t>61</w:t>
      </w:r>
      <w:r>
        <w:rPr/>
        <w:t>(2), 228–239. https://doi.org/10.1080/14703297.2023.2190148</w:t>
      </w:r>
    </w:p>
    <w:p>
      <w:pPr>
        <w:spacing w:line="480" w:lineRule="auto" w:after="0"/>
        <w:ind w:left="720" w:hanging="720"/>
      </w:pPr>
      <w:r>
        <w:rPr/>
        <w:t xml:space="preserve">Eaton, S. E. (2023). Postplagiarism: Transdisciplinary ethics and integrity in the age of artificial intelligence and neurotechnology. </w:t>
      </w:r>
      <w:r>
        <w:rPr>
          <w:i/>
        </w:rPr>
        <w:t>International Journal for Educational Integrity</w:t>
      </w:r>
      <w:r>
        <w:rPr/>
        <w:t xml:space="preserve">, </w:t>
      </w:r>
      <w:r>
        <w:rPr>
          <w:i/>
        </w:rPr>
        <w:t>19</w:t>
      </w:r>
      <w:r>
        <w:rPr/>
        <w:t>, Article 23. https://doi.org/10.1007/s40979-023-00144-1</w:t>
      </w:r>
    </w:p>
    <w:p>
      <w:pPr>
        <w:spacing w:line="480" w:lineRule="auto" w:after="0"/>
        <w:ind w:left="720" w:hanging="720"/>
      </w:pPr>
      <w:r>
        <w:rPr>
          <w:highlight w:val="yellow"/>
        </w:rPr>
        <w:t xml:space="preserve">Eccles, J. S., &amp; Wigfield, A. (2020). From expectancy-value theory to situated expectancy-value theory: A developmental, social cognitive, and sociocultural perspective on motivation. </w:t>
      </w:r>
      <w:r>
        <w:rPr>
          <w:i/>
          <w:highlight w:val="yellow"/>
        </w:rPr>
        <w:t>Contemporary Educational Psychology</w:t>
      </w:r>
      <w:r>
        <w:rPr>
          <w:highlight w:val="yellow"/>
        </w:rPr>
        <w:t xml:space="preserve">, </w:t>
      </w:r>
      <w:r>
        <w:rPr>
          <w:i/>
          <w:highlight w:val="yellow"/>
        </w:rPr>
        <w:t>61</w:t>
      </w:r>
      <w:r>
        <w:rPr>
          <w:highlight w:val="yellow"/>
        </w:rPr>
        <w:t>, Article 101859. https://doi.org/10.1016/j.cedpsych.2020.101859</w:t>
      </w:r>
    </w:p>
    <w:p>
      <w:pPr>
        <w:spacing w:line="480" w:lineRule="auto" w:after="0"/>
        <w:ind w:left="720" w:hanging="720"/>
      </w:pPr>
      <w:r>
        <w:rPr>
          <w:highlight w:val="yellow"/>
        </w:rPr>
        <w:t xml:space="preserve">Fan, Y., Tang, L., Le, H., Shen, K., Tan, S., Zhao, Y., Shen, Y., Li, X., &amp; Gašević, D. (2025). Beware of metacognitive laziness: Effects of generative artificial intelligence on learning motivation, processes, and performance. </w:t>
      </w:r>
      <w:r>
        <w:rPr>
          <w:i/>
          <w:highlight w:val="yellow"/>
        </w:rPr>
        <w:t>British Journal of Educational Technology</w:t>
      </w:r>
      <w:r>
        <w:rPr>
          <w:highlight w:val="yellow"/>
        </w:rPr>
        <w:t xml:space="preserve">, </w:t>
      </w:r>
      <w:r>
        <w:rPr>
          <w:i/>
          <w:highlight w:val="yellow"/>
        </w:rPr>
        <w:t>56</w:t>
      </w:r>
      <w:r>
        <w:rPr>
          <w:highlight w:val="yellow"/>
        </w:rPr>
        <w:t>(2), 489–530. https://doi.org/10.1111/bjet.13544</w:t>
      </w:r>
    </w:p>
    <w:p>
      <w:pPr>
        <w:spacing w:line="480" w:lineRule="auto" w:after="0"/>
        <w:ind w:left="720" w:hanging="720"/>
      </w:pPr>
      <w:r>
        <w:rPr/>
        <w:t xml:space="preserve">Flavell, J. H. (1979). Metacognition and cognitive monitoring: A new area of cognitive-developmental inquiry. </w:t>
      </w:r>
      <w:r>
        <w:rPr>
          <w:i/>
        </w:rPr>
        <w:t>American Psychologist</w:t>
      </w:r>
      <w:r>
        <w:rPr/>
        <w:t xml:space="preserve">, </w:t>
      </w:r>
      <w:r>
        <w:rPr>
          <w:i/>
        </w:rPr>
        <w:t>34</w:t>
      </w:r>
      <w:r>
        <w:rPr/>
        <w:t>(10), 906–911. https://doi.org/10.1037/0003-066X.34.10.906</w:t>
      </w:r>
    </w:p>
    <w:p>
      <w:pPr>
        <w:spacing w:line="480" w:lineRule="auto" w:after="0"/>
        <w:ind w:left="720" w:hanging="720"/>
      </w:pPr>
      <w:r>
        <w:rPr>
          <w:highlight w:val="yellow"/>
        </w:rPr>
        <w:t xml:space="preserve">Flipped Learning Network. (2014). </w:t>
      </w:r>
      <w:r>
        <w:rPr>
          <w:i/>
          <w:highlight w:val="yellow"/>
        </w:rPr>
        <w:t>The four pillars of F-L-I-P</w:t>
      </w:r>
      <w:r>
        <w:rPr>
          <w:highlight w:val="yellow"/>
        </w:rPr>
        <w:t>. https://flippedlearning.org/definition-of-flipped-learning/</w:t>
      </w:r>
    </w:p>
    <w:p>
      <w:pPr>
        <w:spacing w:line="480" w:lineRule="auto" w:after="0"/>
        <w:ind w:left="720" w:hanging="720"/>
      </w:pPr>
      <w:r>
        <w:rPr>
          <w:highlight w:val="yellow"/>
        </w:rPr>
        <w:t xml:space="preserve">Han, X., Peng, H., &amp; Liu, M. (2025). The impact of GenAI on learning outcomes: A systematic review and meta-analysis of experimental studies. </w:t>
      </w:r>
      <w:r>
        <w:rPr>
          <w:i/>
          <w:highlight w:val="yellow"/>
        </w:rPr>
        <w:t>Educational Research Review</w:t>
      </w:r>
      <w:r>
        <w:rPr>
          <w:highlight w:val="yellow"/>
        </w:rPr>
        <w:t xml:space="preserve">, </w:t>
      </w:r>
      <w:r>
        <w:rPr>
          <w:i/>
          <w:highlight w:val="yellow"/>
        </w:rPr>
        <w:t>48</w:t>
      </w:r>
      <w:r>
        <w:rPr>
          <w:highlight w:val="yellow"/>
        </w:rPr>
        <w:t>, Article 100714. https://doi.org/10.1016/j.edurev.2025.100714</w:t>
      </w:r>
    </w:p>
    <w:p>
      <w:pPr>
        <w:spacing w:line="480" w:lineRule="auto" w:after="0"/>
        <w:ind w:left="720" w:hanging="720"/>
      </w:pPr>
      <w:r>
        <w:rPr/>
        <w:t xml:space="preserve">Jaakkola, E. (2020). Designing conceptual articles: Four approaches. </w:t>
      </w:r>
      <w:r>
        <w:rPr>
          <w:i/>
        </w:rPr>
        <w:t>AMS Review</w:t>
      </w:r>
      <w:r>
        <w:rPr/>
        <w:t xml:space="preserve">, </w:t>
      </w:r>
      <w:r>
        <w:rPr>
          <w:i/>
        </w:rPr>
        <w:t>10</w:t>
      </w:r>
      <w:r>
        <w:rPr/>
        <w:t>, 18–26. https://doi.org/10.1007/s13162-020-00161-0</w:t>
      </w:r>
    </w:p>
    <w:p>
      <w:pPr>
        <w:spacing w:line="480" w:lineRule="auto" w:after="0"/>
        <w:ind w:left="720" w:hanging="720"/>
      </w:pPr>
      <w:r>
        <w:rPr>
          <w:highlight w:val="yellow"/>
        </w:rPr>
        <w:t xml:space="preserve">Järvelä, S., Nguyen, A., &amp; Hadwin, A. (2023). Human and artificial intelligence collaboration for socially shared regulation in learning. </w:t>
      </w:r>
      <w:r>
        <w:rPr>
          <w:i/>
          <w:highlight w:val="yellow"/>
        </w:rPr>
        <w:t>British Journal of Educational Technology</w:t>
      </w:r>
      <w:r>
        <w:rPr>
          <w:highlight w:val="yellow"/>
        </w:rPr>
        <w:t xml:space="preserve">, </w:t>
      </w:r>
      <w:r>
        <w:rPr>
          <w:i/>
          <w:highlight w:val="yellow"/>
        </w:rPr>
        <w:t>54</w:t>
      </w:r>
      <w:r>
        <w:rPr>
          <w:highlight w:val="yellow"/>
        </w:rPr>
        <w:t>(5), 1057–1076. https://doi.org/10.1111/bjet.13325</w:t>
      </w:r>
    </w:p>
    <w:p>
      <w:pPr>
        <w:spacing w:line="480" w:lineRule="auto" w:after="0"/>
        <w:ind w:left="720" w:hanging="720"/>
      </w:pPr>
      <w:r>
        <w:rPr>
          <w:highlight w:val="yellow"/>
        </w:rPr>
        <w:t xml:space="preserve">Kalyuga, S. (2007). Expertise reversal effect and its implications for learner-tailored instruction. </w:t>
      </w:r>
      <w:r>
        <w:rPr>
          <w:i/>
          <w:highlight w:val="yellow"/>
        </w:rPr>
        <w:t>Educational Psychology Review</w:t>
      </w:r>
      <w:r>
        <w:rPr>
          <w:highlight w:val="yellow"/>
        </w:rPr>
        <w:t xml:space="preserve">, </w:t>
      </w:r>
      <w:r>
        <w:rPr>
          <w:i/>
          <w:highlight w:val="yellow"/>
        </w:rPr>
        <w:t>19</w:t>
      </w:r>
      <w:r>
        <w:rPr>
          <w:highlight w:val="yellow"/>
        </w:rPr>
        <w:t>(4), 509–539. https://doi.org/10.1007/s10648-007-9054-3</w:t>
      </w:r>
    </w:p>
    <w:p>
      <w:pPr>
        <w:spacing w:line="480" w:lineRule="auto" w:after="0"/>
        <w:ind w:left="720" w:hanging="720"/>
      </w:pPr>
      <w:r>
        <w:rPr/>
        <w:t xml:space="preserve">Kapur, M. (2008). Productive failure. </w:t>
      </w:r>
      <w:r>
        <w:rPr>
          <w:i/>
        </w:rPr>
        <w:t>Cognition and Instruction</w:t>
      </w:r>
      <w:r>
        <w:rPr/>
        <w:t xml:space="preserve">, </w:t>
      </w:r>
      <w:r>
        <w:rPr>
          <w:i/>
        </w:rPr>
        <w:t>26</w:t>
      </w:r>
      <w:r>
        <w:rPr/>
        <w:t>(3), 379–424. https://doi.org/10.1080/07370000802212669</w:t>
      </w:r>
    </w:p>
    <w:p>
      <w:pPr>
        <w:spacing w:line="480" w:lineRule="auto" w:after="0"/>
        <w:ind w:left="720" w:hanging="720"/>
      </w:pPr>
      <w:r>
        <w:rPr/>
        <w:t xml:space="preserve">Kapur, M. (2016). Examining productive failure, productive success, unproductive failure, and unproductive success in learning. </w:t>
      </w:r>
      <w:r>
        <w:rPr>
          <w:i/>
        </w:rPr>
        <w:t>Educational Psychologist</w:t>
      </w:r>
      <w:r>
        <w:rPr/>
        <w:t xml:space="preserve">, </w:t>
      </w:r>
      <w:r>
        <w:rPr>
          <w:i/>
        </w:rPr>
        <w:t>51</w:t>
      </w:r>
      <w:r>
        <w:rPr/>
        <w:t>(2), 289–299. https://doi.org/10.1080/00461520.2016.1155457</w:t>
      </w:r>
    </w:p>
    <w:p>
      <w:pPr>
        <w:spacing w:line="480" w:lineRule="auto" w:after="0"/>
        <w:ind w:left="720" w:hanging="720"/>
      </w:pPr>
      <w:r>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r>
        <w:rPr>
          <w:i/>
        </w:rPr>
        <w:t>Learning and Individual Differences</w:t>
      </w:r>
      <w:r>
        <w:rPr/>
        <w:t xml:space="preserve">, </w:t>
      </w:r>
      <w:r>
        <w:rPr>
          <w:i/>
        </w:rPr>
        <w:t>103</w:t>
      </w:r>
      <w:r>
        <w:rPr/>
        <w:t>, Article 102274. https://doi.org/10.1016/j.lindif.2023.102274</w:t>
      </w:r>
    </w:p>
    <w:p>
      <w:pPr>
        <w:spacing w:line="480" w:lineRule="auto" w:after="0"/>
        <w:ind w:left="720" w:hanging="720"/>
      </w:pPr>
      <w:r>
        <w:rPr>
          <w:highlight w:val="yellow"/>
        </w:rPr>
        <w:t xml:space="preserve">Knoth, N., Tolzin, A., Janson, A., &amp; Leimeister, J. M. (2024). AI literacy and its implications for prompt engineering strategies. </w:t>
      </w:r>
      <w:r>
        <w:rPr>
          <w:i/>
          <w:highlight w:val="yellow"/>
        </w:rPr>
        <w:t>Computers and Education: Artificial Intelligence</w:t>
      </w:r>
      <w:r>
        <w:rPr>
          <w:highlight w:val="yellow"/>
        </w:rPr>
        <w:t xml:space="preserve">, </w:t>
      </w:r>
      <w:r>
        <w:rPr>
          <w:i/>
          <w:highlight w:val="yellow"/>
        </w:rPr>
        <w:t>6</w:t>
      </w:r>
      <w:r>
        <w:rPr>
          <w:highlight w:val="yellow"/>
        </w:rPr>
        <w:t>, Article 100225. https://doi.org/10.1016/j.caeai.2024.100225</w:t>
      </w:r>
    </w:p>
    <w:p>
      <w:pPr>
        <w:spacing w:line="480" w:lineRule="auto" w:after="0"/>
        <w:ind w:left="720" w:hanging="720"/>
      </w:pPr>
      <w:r>
        <w:rPr/>
        <w:t xml:space="preserve">Long, D., &amp; Magerko, B. (2020). What is AI literacy? Competencies and design considerations. In </w:t>
      </w:r>
      <w:r>
        <w:rPr>
          <w:i/>
        </w:rPr>
        <w:t>Proceedings of the 2020 CHI Conference on Human Factors in Computing Systems</w:t>
      </w:r>
      <w:r>
        <w:rPr/>
        <w:t xml:space="preserve"> (Article 598, pp. 1–16). Association for Computing Machinery. https://doi.org/10.1145/3313831.3376727</w:t>
      </w:r>
    </w:p>
    <w:p>
      <w:pPr>
        <w:spacing w:line="480" w:lineRule="auto" w:after="0"/>
        <w:ind w:left="720" w:hanging="720"/>
      </w:pPr>
      <w:r>
        <w:rPr/>
        <w:t xml:space="preserve">Lodge, J. M., Yang, S., Furze, L., &amp; Dawson, P. (2023). It's not like a calculator, so what is the relationship between learners and generative artificial intelligence? </w:t>
      </w:r>
      <w:r>
        <w:rPr>
          <w:i/>
        </w:rPr>
        <w:t>Learning: Research and Practice</w:t>
      </w:r>
      <w:r>
        <w:rPr/>
        <w:t xml:space="preserve">, </w:t>
      </w:r>
      <w:r>
        <w:rPr>
          <w:i/>
        </w:rPr>
        <w:t>9</w:t>
      </w:r>
      <w:r>
        <w:rPr/>
        <w:t>(2), 117–124. https://doi.org/10.1080/23735082.2023.2261106</w:t>
      </w:r>
    </w:p>
    <w:p>
      <w:pPr>
        <w:spacing w:line="480" w:lineRule="auto" w:after="0"/>
        <w:ind w:left="720" w:hanging="720"/>
      </w:pPr>
      <w:r>
        <w:rPr/>
        <w:t xml:space="preserve">Ng, D. T. K., Leung, J. K. L., Chu, S. K. W., &amp; Qiao, M. S. (2021). Conceptualizing AI literacy: An exploratory review. </w:t>
      </w:r>
      <w:r>
        <w:rPr>
          <w:i/>
        </w:rPr>
        <w:t>Computers and Education: Artificial Intelligence</w:t>
      </w:r>
      <w:r>
        <w:rPr/>
        <w:t xml:space="preserve">, </w:t>
      </w:r>
      <w:r>
        <w:rPr>
          <w:i/>
        </w:rPr>
        <w:t>2</w:t>
      </w:r>
      <w:r>
        <w:rPr/>
        <w:t>, Article 100041. https://doi.org/10.1016/j.caeai.2021.100041</w:t>
      </w:r>
    </w:p>
    <w:p>
      <w:pPr>
        <w:spacing w:line="480" w:lineRule="auto" w:after="0"/>
        <w:ind w:left="720" w:hanging="720"/>
      </w:pPr>
      <w:r>
        <w:rPr/>
        <w:t xml:space="preserve">Perkins, M., Furze, L., Roe, J., &amp; MacVaugh, J. (2024). The Artificial Intelligence Assessment Scale (AIAS): A framework for ethical integration of generative AI in educational assessment. </w:t>
      </w:r>
      <w:r>
        <w:rPr>
          <w:i/>
        </w:rPr>
        <w:t>Journal of University Teaching and Learning Practice</w:t>
      </w:r>
      <w:r>
        <w:rPr/>
        <w:t xml:space="preserve">, </w:t>
      </w:r>
      <w:r>
        <w:rPr>
          <w:i/>
        </w:rPr>
        <w:t>21</w:t>
      </w:r>
      <w:r>
        <w:rPr/>
        <w:t>(6). https://doi.org/10.53761/q3azde36</w:t>
      </w:r>
    </w:p>
    <w:p>
      <w:pPr>
        <w:spacing w:line="480" w:lineRule="auto" w:after="0"/>
        <w:ind w:left="720" w:hanging="720"/>
      </w:pPr>
      <w:r>
        <w:rPr>
          <w:highlight w:val="yellow"/>
        </w:rPr>
        <w:t xml:space="preserve">Pierce, J. L., Kostova, T., &amp; Dirks, K. T. (2003). The state of psychological ownership: Integrating and extending a century of research. </w:t>
      </w:r>
      <w:r>
        <w:rPr>
          <w:i/>
          <w:highlight w:val="yellow"/>
        </w:rPr>
        <w:t>Review of General Psychology</w:t>
      </w:r>
      <w:r>
        <w:rPr>
          <w:highlight w:val="yellow"/>
        </w:rPr>
        <w:t xml:space="preserve">, </w:t>
      </w:r>
      <w:r>
        <w:rPr>
          <w:i/>
          <w:highlight w:val="yellow"/>
        </w:rPr>
        <w:t>7</w:t>
      </w:r>
      <w:r>
        <w:rPr>
          <w:highlight w:val="yellow"/>
        </w:rPr>
        <w:t>(1), 84–107. https://doi.org/10.1037/1089-2680.7.1.84</w:t>
      </w:r>
    </w:p>
    <w:p>
      <w:pPr>
        <w:spacing w:line="480" w:lineRule="auto" w:after="0"/>
        <w:ind w:left="720" w:hanging="720"/>
      </w:pPr>
      <w:r>
        <w:rPr>
          <w:highlight w:val="yellow"/>
        </w:rPr>
        <w:t xml:space="preserve">Risko, E. F., &amp; Gilbert, S. J. (2016). Cognitive offloading. </w:t>
      </w:r>
      <w:r>
        <w:rPr>
          <w:i/>
          <w:highlight w:val="yellow"/>
        </w:rPr>
        <w:t>Trends in Cognitive Sciences</w:t>
      </w:r>
      <w:r>
        <w:rPr>
          <w:highlight w:val="yellow"/>
        </w:rPr>
        <w:t xml:space="preserve">, </w:t>
      </w:r>
      <w:r>
        <w:rPr>
          <w:i/>
          <w:highlight w:val="yellow"/>
        </w:rPr>
        <w:t>20</w:t>
      </w:r>
      <w:r>
        <w:rPr>
          <w:highlight w:val="yellow"/>
        </w:rPr>
        <w:t>(9), 676–688. https://doi.org/10.1016/j.tics.2016.07.002</w:t>
      </w:r>
    </w:p>
    <w:p>
      <w:pPr>
        <w:spacing w:line="480" w:lineRule="auto" w:after="0"/>
        <w:ind w:left="720" w:hanging="720"/>
      </w:pPr>
      <w:r>
        <w:rPr/>
        <w:t xml:space="preserve">Scardamalia, M., &amp; Bereiter, C. (2006). Knowledge building: Theory, pedagogy, and technology. In R. K. Sawyer (Ed.), </w:t>
      </w:r>
      <w:r>
        <w:rPr>
          <w:i/>
        </w:rPr>
        <w:t>The Cambridge handbook of the learning sciences</w:t>
      </w:r>
      <w:r>
        <w:rPr/>
        <w:t xml:space="preserve"> (pp. 97–118). Cambridge University Press.</w:t>
      </w:r>
    </w:p>
    <w:p>
      <w:pPr>
        <w:spacing w:line="480" w:lineRule="auto" w:after="0"/>
        <w:ind w:left="720" w:hanging="720"/>
      </w:pPr>
      <w:r>
        <w:rPr>
          <w:highlight w:val="yellow"/>
        </w:rPr>
        <w:t xml:space="preserve">Wiggins, G., &amp; McTighe, J. (2005). </w:t>
      </w:r>
      <w:r>
        <w:rPr>
          <w:i/>
          <w:highlight w:val="yellow"/>
        </w:rPr>
        <w:t>Understanding by design</w:t>
      </w:r>
      <w:r>
        <w:rPr>
          <w:highlight w:val="yellow"/>
        </w:rPr>
        <w:t xml:space="preserve"> (Expanded 2nd ed.). ASCD.</w:t>
      </w:r>
    </w:p>
    <w:p>
      <w:pPr>
        <w:spacing w:line="480" w:lineRule="auto" w:after="0"/>
        <w:ind w:left="720" w:hanging="720"/>
      </w:pPr>
      <w:r>
        <w:rPr>
          <w:highlight w:val="yellow"/>
        </w:rPr>
        <w:t xml:space="preserve">World Association of Medical Editors. (2023). </w:t>
      </w:r>
      <w:r>
        <w:rPr>
          <w:i/>
          <w:highlight w:val="yellow"/>
        </w:rPr>
        <w:t>Chatbots, generative AI, and scholarly manuscripts: WAME recommendations on chatbots and generative artificial intelligence in relation to scholarly publications</w:t>
      </w:r>
      <w:r>
        <w:rPr>
          <w:highlight w:val="yellow"/>
        </w:rPr>
        <w:t>. https://wame.org/page3.php?id=106</w:t>
      </w:r>
    </w:p>
    <w:p>
      <w:pPr>
        <w:spacing w:line="480" w:lineRule="auto" w:after="0"/>
        <w:ind w:left="720" w:hanging="720"/>
      </w:pPr>
      <w:r>
        <w:rPr>
          <w:highlight w:val="yellow"/>
        </w:rPr>
        <w:t xml:space="preserve">Zimmerman, B. J. (2000). Attaining self-regulation: A social cognitive perspective. In M. Boekaerts, P. R. Pintrich, &amp; M. Zeidner (Eds.), </w:t>
      </w:r>
      <w:r>
        <w:rPr>
          <w:i/>
          <w:highlight w:val="yellow"/>
        </w:rPr>
        <w:t>Handbook of self-regulation</w:t>
      </w:r>
      <w:r>
        <w:rPr>
          <w:highlight w:val="yellow"/>
        </w:rPr>
        <w:t xml:space="preserve"> (pp. 13–39). Academic Press. https://doi.org/10.1016/B978-012109890-2/50031-7</w:t>
      </w:r>
    </w:p>
    <w:p>
      <w:pPr>
        <w:spacing w:line="480" w:lineRule="auto" w:after="0"/>
        <w:ind w:left="720" w:hanging="720"/>
      </w:pPr>
      <w:r>
        <w:rPr>
          <w:highlight w:val="yellow"/>
        </w:rPr>
        <w:t xml:space="preserve">Zimmerman, B. J. (2002). Becoming a self-regulated learner: An overview. </w:t>
      </w:r>
      <w:r>
        <w:rPr>
          <w:i/>
          <w:highlight w:val="yellow"/>
        </w:rPr>
        <w:t>Theory Into Practice</w:t>
      </w:r>
      <w:r>
        <w:rPr>
          <w:highlight w:val="yellow"/>
        </w:rPr>
        <w:t xml:space="preserve">, </w:t>
      </w:r>
      <w:r>
        <w:rPr>
          <w:i/>
          <w:highlight w:val="yellow"/>
        </w:rPr>
        <w:t>41</w:t>
      </w:r>
      <w:r>
        <w:rPr>
          <w:highlight w:val="yellow"/>
        </w:rPr>
        <w:t>(2), 64–70. https://doi.org/10.1207/s15430421tip4102_2</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sz w:val="20"/>
      </w:rPr>
      <w:t>Running head: REVERSE LEARNING FRAMEWORK</w:t>
    </w:r>
    <w:r>
      <w:tab/>
    </w: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AI-Generated Output to Learner Ownership</dc:title>
  <dc:subject/>
  <dc:creator/>
  <cp:keywords/>
  <dc:description/>
  <cp:lastModifiedBy/>
  <cp:revision>1</cp:revision>
  <dcterms:created xsi:type="dcterms:W3CDTF">2013-12-23T23:15:00Z</dcterms:created>
  <dcterms:modified xsi:type="dcterms:W3CDTF">2013-12-23T23:15:00Z</dcterms:modified>
  <cp:category/>
</cp:coreProperties>
</file>