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Response to Reviewers</w:t>
      </w:r>
    </w:p>
    <w:p>
      <w:pPr>
        <w:spacing w:after="160"/>
      </w:pPr>
      <w:r>
        <w:t>Manuscript: "From AI-Generated Output to Learner Ownership: A Reverse Learning Framework for Generative AI-Mediated Education"</w:t>
      </w:r>
    </w:p>
    <w:p>
      <w:pPr>
        <w:spacing w:after="160"/>
      </w:pPr>
      <w:r>
        <w:t>We thank the editor and both reviewers for their constructive guidance. We revised the conceptual core, relationships among components, account of learner agency, construct of explainable ownership, implementation boundaries, figure, tables, references, and presentation. Addressing the reviewers' requests while bringing the manuscript within the journal's length guidance (approximately 5,000–6,000 words) required extensive condensation and rewriting. To preserve readability and make the substantive revision path easy to review, yellow highlighting is focused on the principal reviewer-responsive additions and conceptual revisions. Locations below use stable section, proposition, table, and figure identifiers so that they remain accurate if Word pagination reflows.</w:t>
      </w:r>
    </w:p>
    <w:p>
      <w:pPr>
        <w:pStyle w:val="Heading1"/>
      </w:pPr>
      <w:r>
        <w:rPr>
          <w:rFonts w:ascii="Times New Roman" w:hAnsi="Times New Roman"/>
          <w:sz w:val="24"/>
        </w:rPr>
        <w:t>Editor</w:t>
      </w:r>
    </w:p>
    <w:tbl>
      <w:tblPr>
        <w:tblW w:type="auto" w:w="0"/>
        <w:tblLayout w:type="fixed"/>
        <w:tblLook w:firstColumn="1" w:firstRow="1" w:lastColumn="0" w:lastRow="0" w:noHBand="0" w:noVBand="1" w:val="04A0"/>
        <w:tblBorders>
          <w:top w:val="single" w:sz="4" w:color="666666"/>
          <w:bottom w:val="single" w:sz="4" w:color="666666"/>
          <w:left w:val="single" w:sz="4" w:color="666666"/>
          <w:right w:val="single" w:sz="4" w:color="666666"/>
          <w:insideH w:val="single" w:sz="4" w:color="666666"/>
          <w:insideV w:val="single" w:sz="4" w:color="666666"/>
        </w:tblBorders>
      </w:tblPr>
      <w:tblGrid>
        <w:gridCol w:w="6912"/>
        <w:gridCol w:w="6912"/>
      </w:tblGrid>
      <w:tr>
        <w:trPr>
          <w:tblHeader w:val="true"/>
        </w:trPr>
        <w:tc>
          <w:tcPr>
            <w:tcW w:type="dxa" w:w="5760"/>
          </w:tcPr>
          <w:p>
            <w:r>
              <w:rPr>
                <w:b/>
              </w:rPr>
              <w:t>Reviewer suggestion</w:t>
            </w:r>
          </w:p>
        </w:tc>
        <w:tc>
          <w:tcPr>
            <w:tcW w:type="dxa" w:w="7776"/>
          </w:tcPr>
          <w:p>
            <w:r>
              <w:rPr>
                <w:b/>
              </w:rPr>
              <w:t>Response</w:t>
            </w:r>
          </w:p>
        </w:tc>
      </w:tr>
      <w:tr>
        <w:trPr>
          <w:cantSplit/>
        </w:trPr>
        <w:tc>
          <w:tcPr>
            <w:tcW w:type="dxa" w:w="5760"/>
          </w:tcPr>
          <w:p>
            <w:pPr>
              <w:spacing w:after="80"/>
            </w:pPr>
            <w:r>
              <w:t>Provide a two-column table listing each reviewer suggestion and a specific response; make all manuscript revisions clearly visible; submit editable source files rather than PDF.</w:t>
            </w:r>
          </w:p>
        </w:tc>
        <w:tc>
          <w:tcPr>
            <w:tcW w:type="dxa" w:w="7776"/>
          </w:tcPr>
          <w:p>
            <w:pPr>
              <w:spacing w:after="80"/>
            </w:pPr>
            <w:r>
              <w:t>This editable Word response file uses the requested two-column structure and addresses every substantive comment separately. The revised manuscript is also an editable Word file. Principal reviewer-responsive additions and conceptual revisions are yellow-highlighted; the replacement Figure 1 is identified by a highlighted figure number, title, and note. We also added a running head and page-number field. The abstract is approximately 150 words, and the manuscript is approximately 5,200 words excluding references, tables, and the figure, consistent with the journal's approximate length guidance.</w:t>
            </w:r>
          </w:p>
        </w:tc>
      </w:tr>
    </w:tbl>
    <w:p>
      <w:pPr>
        <w:pStyle w:val="Heading1"/>
      </w:pPr>
      <w:r>
        <w:rPr>
          <w:rFonts w:ascii="Times New Roman" w:hAnsi="Times New Roman"/>
          <w:sz w:val="24"/>
        </w:rPr>
        <w:t>Reviewer #1</w:t>
      </w:r>
    </w:p>
    <w:tbl>
      <w:tblPr>
        <w:tblW w:type="auto" w:w="0"/>
        <w:tblLayout w:type="fixed"/>
        <w:tblLook w:firstColumn="1" w:firstRow="1" w:lastColumn="0" w:lastRow="0" w:noHBand="0" w:noVBand="1" w:val="04A0"/>
        <w:tblBorders>
          <w:top w:val="single" w:sz="4" w:color="666666"/>
          <w:bottom w:val="single" w:sz="4" w:color="666666"/>
          <w:left w:val="single" w:sz="4" w:color="666666"/>
          <w:right w:val="single" w:sz="4" w:color="666666"/>
          <w:insideH w:val="single" w:sz="4" w:color="666666"/>
          <w:insideV w:val="single" w:sz="4" w:color="666666"/>
        </w:tblBorders>
      </w:tblPr>
      <w:tblGrid>
        <w:gridCol w:w="6912"/>
        <w:gridCol w:w="6912"/>
      </w:tblGrid>
      <w:tr>
        <w:trPr>
          <w:tblHeader w:val="true"/>
        </w:trPr>
        <w:tc>
          <w:tcPr>
            <w:tcW w:type="dxa" w:w="5760"/>
          </w:tcPr>
          <w:p>
            <w:r>
              <w:rPr>
                <w:b/>
              </w:rPr>
              <w:t>Reviewer suggestion</w:t>
            </w:r>
          </w:p>
        </w:tc>
        <w:tc>
          <w:tcPr>
            <w:tcW w:type="dxa" w:w="7776"/>
          </w:tcPr>
          <w:p>
            <w:r>
              <w:rPr>
                <w:b/>
              </w:rPr>
              <w:t>Response</w:t>
            </w:r>
          </w:p>
        </w:tc>
      </w:tr>
      <w:tr>
        <w:trPr>
          <w:cantSplit/>
        </w:trPr>
        <w:tc>
          <w:tcPr>
            <w:tcW w:type="dxa" w:w="5760"/>
          </w:tcPr>
          <w:p>
            <w:pPr>
              <w:spacing w:after="80"/>
            </w:pPr>
            <w:r>
              <w:t>(1.1) Strengthen the framework's theoretical contribution and novelty. Explain the new mechanism, why existing frameworks are insufficient, how the foundations work together, and what educational phenomena Reverse Learning uniquely captures.</w:t>
            </w:r>
          </w:p>
        </w:tc>
        <w:tc>
          <w:tcPr>
            <w:tcW w:type="dxa" w:w="7776"/>
          </w:tcPr>
          <w:p>
            <w:pPr>
              <w:spacing w:after="80"/>
            </w:pPr>
            <w:r>
              <w:t>We added Section 3.5, "An Integrated Account: The Fluency–Validity Gap." It assigns distinct functions to AI literacy, metacognition/ICAP, SRL and expectancy-value theory, knowledge building, and productive failure. It defines the fluency–validity gap as a potential discrepancy between apparent adequacy and evidential validity, contextual fit, or the learner's capacity to justify the artifact. The revision explains that no single adjacent framework was designed to center the conjunction of a complete-appearing AI-generated artifact and absent learner-held warrant; it does not claim that those theories are incapable of addressing individual parts. Section 3.4 further clarifies the pedagogical reversal: generative AI can place artifact production before understanding. The mechanism accounts for artifact-first learning, pseudo-competence, and ownership without sole origination. Section 5.1 then formalizes the mechanism as five relational propositions.</w:t>
            </w:r>
          </w:p>
        </w:tc>
      </w:tr>
      <w:tr>
        <w:trPr>
          <w:cantSplit/>
        </w:trPr>
        <w:tc>
          <w:tcPr>
            <w:tcW w:type="dxa" w:w="5760"/>
          </w:tcPr>
          <w:p>
            <w:pPr>
              <w:spacing w:after="80"/>
            </w:pPr>
            <w:r>
              <w:t>(1.2) Address readiness and prior knowledge, novice-expert differences, equity, prerequisite competencies, instructional scaffolds, and prompt literacy.</w:t>
            </w:r>
          </w:p>
        </w:tc>
        <w:tc>
          <w:tcPr>
            <w:tcW w:type="dxa" w:w="7776"/>
          </w:tcPr>
          <w:p>
            <w:pPr>
              <w:spacing w:after="80"/>
            </w:pPr>
            <w:r>
              <w:t>New Section 6, "Learner Readiness, Prerequisites, and Scaffolding," specifies baseline domain knowledge, source evaluation, metacognitive monitoring, and prompt literacy. It explains that novices verify against curated materials and worked examples rather than unaided expertise; uses the expertise-reversal effect to justify fading supports; and identifies claim-flagging templates, source sets, verification logs, prompt stems, modeling, and revision-rationale scaffolds. It also treats access to evidence, language resources, time, and AI tools as equity conditions and proposes a brief readiness diagnostic. Prompt literacy is addressed in Sections 5.2 and 6 as affecting both initial generation and the prompting-verification loop, without treating prompt quality as warrant.</w:t>
            </w:r>
          </w:p>
        </w:tc>
      </w:tr>
      <w:tr>
        <w:trPr>
          <w:cantSplit/>
        </w:trPr>
        <w:tc>
          <w:tcPr>
            <w:tcW w:type="dxa" w:w="5760"/>
          </w:tcPr>
          <w:p>
            <w:pPr>
              <w:spacing w:after="80"/>
            </w:pPr>
            <w:r>
              <w:t>(1.3) Deepen disciplinary applicability, limitations, and boundary conditions, and engage recent peer-reviewed research on human-AI collaboration, cognitive offloading, prompt literacy, and AI-supported learning.</w:t>
            </w:r>
          </w:p>
        </w:tc>
        <w:tc>
          <w:tcPr>
            <w:tcW w:type="dxa" w:w="7776"/>
          </w:tcPr>
          <w:p>
            <w:pPr>
              <w:spacing w:after="80"/>
            </w:pPr>
            <w:r>
              <w:t>New Section 9 differentiates verification and reconstruction in STEM, the humanities, and the social sciences; specifies conditions involving checkability, resources, time, prerequisites, task value, privacy, infrastructure, and high-stakes professional review; and states limitations involving empirical validation, scalability, and collaborative ownership. We added peer-reviewed work on cognitive offloading and metacognitive disengagement (Risko &amp; Gilbert, 2016; Fan et al., 2025), human-AI/shared regulation (Järvelä et al., 2023), prompt literacy (Knoth et al., 2024), and a recent systematic review and meta-analysis of GenAI learning outcomes (Han et al., 2025). The discussion uses the meta-analysis's heterogeneity, rather than its mean effect alone, to motivate contextual boundary testing.</w:t>
            </w:r>
          </w:p>
        </w:tc>
      </w:tr>
      <w:tr>
        <w:trPr>
          <w:cantSplit/>
        </w:trPr>
        <w:tc>
          <w:tcPr>
            <w:tcW w:type="dxa" w:w="5760"/>
          </w:tcPr>
          <w:p>
            <w:pPr>
              <w:spacing w:after="80"/>
            </w:pPr>
            <w:r>
              <w:t>(1.4) Combine the many one- and two-sentence paragraphs to improve flow, coherence, and scholarly presentation.</w:t>
            </w:r>
          </w:p>
        </w:tc>
        <w:tc>
          <w:tcPr>
            <w:tcW w:type="dxa" w:w="7776"/>
          </w:tcPr>
          <w:p>
            <w:pPr>
              <w:spacing w:after="80"/>
            </w:pPr>
            <w:r>
              <w:t>We consolidated related fragments throughout the manuscript, particularly in the definition, theoretical synthesis, component relationships, applications, discussion, and conclusion. Short standalone prose is retained only where it serves a definition, proposition, or concise section transition. The revision also removes duplication between the stage descriptions, applications, and discussion by moving component definitions and evidence into Tables 1 and 4.</w:t>
            </w:r>
          </w:p>
        </w:tc>
      </w:tr>
      <w:tr>
        <w:trPr>
          <w:cantSplit/>
        </w:trPr>
        <w:tc>
          <w:tcPr>
            <w:tcW w:type="dxa" w:w="5760"/>
          </w:tcPr>
          <w:p>
            <w:pPr>
              <w:spacing w:after="80"/>
            </w:pPr>
            <w:r>
              <w:t>(1.5) Redevelop Figure 1 so that it represents the framework's iterative rather than primarily linear character.</w:t>
            </w:r>
          </w:p>
        </w:tc>
        <w:tc>
          <w:tcPr>
            <w:tcW w:type="dxa" w:w="7776"/>
          </w:tcPr>
          <w:p>
            <w:pPr>
              <w:spacing w:after="80"/>
            </w:pPr>
            <w:r>
              <w:t>Figure 1 is fully replaced. It shows skepticism as an activation gateway with a passive-delegation path; verification and iterative prompting as a reciprocal, evidence-disciplined inquiry loop; contextual integration and reconstruction as a conversion phase with feedback paths; and explainable ownership as an assessed exit state. An additional annotation shows expertise and task stakes moderating cycle intensity. The figure and note map these relationships to Propositions 1–5.</w:t>
            </w:r>
          </w:p>
        </w:tc>
      </w:tr>
    </w:tbl>
    <w:p>
      <w:pPr>
        <w:pStyle w:val="Heading1"/>
      </w:pPr>
      <w:r>
        <w:rPr>
          <w:rFonts w:ascii="Times New Roman" w:hAnsi="Times New Roman"/>
          <w:sz w:val="24"/>
        </w:rPr>
        <w:t>Reviewer #2</w:t>
      </w:r>
    </w:p>
    <w:tbl>
      <w:tblPr>
        <w:tblW w:type="auto" w:w="0"/>
        <w:tblLayout w:type="fixed"/>
        <w:tblLook w:firstColumn="1" w:firstRow="1" w:lastColumn="0" w:lastRow="0" w:noHBand="0" w:noVBand="1" w:val="04A0"/>
        <w:tblBorders>
          <w:top w:val="single" w:sz="4" w:color="666666"/>
          <w:bottom w:val="single" w:sz="4" w:color="666666"/>
          <w:left w:val="single" w:sz="4" w:color="666666"/>
          <w:right w:val="single" w:sz="4" w:color="666666"/>
          <w:insideH w:val="single" w:sz="4" w:color="666666"/>
          <w:insideV w:val="single" w:sz="4" w:color="666666"/>
        </w:tblBorders>
      </w:tblPr>
      <w:tblGrid>
        <w:gridCol w:w="6912"/>
        <w:gridCol w:w="6912"/>
      </w:tblGrid>
      <w:tr>
        <w:trPr>
          <w:tblHeader w:val="true"/>
        </w:trPr>
        <w:tc>
          <w:tcPr>
            <w:tcW w:type="dxa" w:w="5760"/>
          </w:tcPr>
          <w:p>
            <w:r>
              <w:rPr>
                <w:b/>
              </w:rPr>
              <w:t>Reviewer suggestion</w:t>
            </w:r>
          </w:p>
        </w:tc>
        <w:tc>
          <w:tcPr>
            <w:tcW w:type="dxa" w:w="7776"/>
          </w:tcPr>
          <w:p>
            <w:r>
              <w:rPr>
                <w:b/>
              </w:rPr>
              <w:t>Response</w:t>
            </w:r>
          </w:p>
        </w:tc>
      </w:tr>
      <w:tr>
        <w:trPr>
          <w:cantSplit/>
        </w:trPr>
        <w:tc>
          <w:tcPr>
            <w:tcW w:type="dxa" w:w="5760"/>
          </w:tcPr>
          <w:p>
            <w:pPr>
              <w:spacing w:after="80"/>
            </w:pPr>
            <w:r>
              <w:t>(2.1) Provide an agentic account explaining what activates and sustains skepticism and how dispositional, contextual, and task-level conditions shape engagement; draw on SRL and/or expectancy-value theory.</w:t>
            </w:r>
          </w:p>
        </w:tc>
        <w:tc>
          <w:tcPr>
            <w:tcW w:type="dxa" w:w="7776"/>
          </w:tcPr>
          <w:p>
            <w:pPr>
              <w:spacing w:after="80"/>
            </w:pPr>
            <w:r>
              <w:t>New Section 3.3 uses Zimmerman's SRL cycle to explain forethought, monitoring, and self-reflection and situated expectancy-value theory to explain the effort/value tradeoff of verification. It distinguishes dispositional, contextual, and task-level activation conditions and explains how rubrics, announced ownership assessment, staged deadlines, modeling, and feedback sustain regulation after an initial anomaly. Proposition 1 treats skepticism as a motivational gateway that can also be activated by a required source check, avoiding an assumption of an already skeptical learner. Proposition 5 links support intensity to expertise and task stakes.</w:t>
            </w:r>
          </w:p>
        </w:tc>
      </w:tr>
      <w:tr>
        <w:trPr>
          <w:cantSplit/>
        </w:trPr>
        <w:tc>
          <w:tcPr>
            <w:tcW w:type="dxa" w:w="5760"/>
          </w:tcPr>
          <w:p>
            <w:pPr>
              <w:spacing w:after="80"/>
            </w:pPr>
            <w:r>
              <w:t>(2.2) The framework reads as a linear process model. Specify how and why constructs relate, whether verification and prompting can co-occur, and whether learners can skip or regress across components.</w:t>
            </w:r>
          </w:p>
        </w:tc>
        <w:tc>
          <w:tcPr>
            <w:tcW w:type="dxa" w:w="7776"/>
          </w:tcPr>
          <w:p>
            <w:pPr>
              <w:spacing w:after="80"/>
            </w:pPr>
            <w:r>
              <w:t>Section 5.1 now presents five propositions: P1, activation; P2, the reciprocal but externally disciplined verification-prompting loop; P3, conversion and expected regression; P4, explainable ownership as an assessed state that should predict unaided explanation and transfer; and P5, expertise- and stakes-moderated compression. P2 states that verification and prompting can occur in either order or overlap. P3 states that integration and reconstruction can expose assumptions and return the learner to inquiry. P5 distinguishes combining or internalizing functions from omitting independent verification or substantive reconstruction. Figure 1 visualizes all five relationships, and Table 1 defines the observable functions without imposing invariant timing.</w:t>
            </w:r>
          </w:p>
        </w:tc>
      </w:tr>
      <w:tr>
        <w:trPr>
          <w:cantSplit/>
        </w:trPr>
        <w:tc>
          <w:tcPr>
            <w:tcW w:type="dxa" w:w="5760"/>
          </w:tcPr>
          <w:p>
            <w:pPr>
              <w:spacing w:after="80"/>
            </w:pPr>
            <w:r>
              <w:t>(2.3) Develop explainable ownership by distinguishing authorship, epistemic ownership, and identity-level ownership and explaining whether every task requires all three.</w:t>
            </w:r>
          </w:p>
        </w:tc>
        <w:tc>
          <w:tcPr>
            <w:tcW w:type="dxa" w:w="7776"/>
          </w:tcPr>
          <w:p>
            <w:pPr>
              <w:spacing w:after="80"/>
            </w:pPr>
            <w:r>
              <w:t>New Section 5.3 and Table 2 define accountable authorship, epistemic ownership, and identity-level ownership with distinct theoretical grounding and evidence. Epistemic ownership is the required educational core across task types; accountable authorship is required for submitted work but is defined as responsible direction, disclosure, curation, and reconstruction rather than unaided origination; identity-level ownership is task-dependent and especially relevant to reflective, argumentative, and creative work. Table 2 maps the layers to disclosures and decision trails, oral defense/transfer/revision, and reflective evidence, respectively. Proposition 4 turns epistemic ownership into an empirically testable outcome rather than a sequence-completion label.</w:t>
            </w:r>
          </w:p>
        </w:tc>
      </w:tr>
      <w:tr>
        <w:trPr>
          <w:cantSplit/>
        </w:trPr>
        <w:tc>
          <w:tcPr>
            <w:tcW w:type="dxa" w:w="5760"/>
          </w:tcPr>
          <w:p>
            <w:pPr>
              <w:spacing w:after="80"/>
            </w:pPr>
            <w:r>
              <w:t>(2.4) Correct tables and references to APA 7th edition, including horizontal-only table rules and italicized journal titles and volume numbers.</w:t>
            </w:r>
          </w:p>
        </w:tc>
        <w:tc>
          <w:tcPr>
            <w:tcW w:type="dxa" w:w="7776"/>
          </w:tcPr>
          <w:p>
            <w:pPr>
              <w:spacing w:after="80"/>
            </w:pPr>
            <w:r>
              <w:t>All four tables now use only a top rule, a rule below the header, and a bottom rule; vertical and internal rules are removed. Table numbers are bold and titles italicized on separate lines. In the reference list, journal and volume titles are italicized, book and standalone webpage titles are treated consistently, and hanging indents are applied. We reconciled all 29 reference entries with in-text citations and resolved all 25 DOI-bearing entries against Crossref metadata. The reference list begins on a new page.</w:t>
            </w:r>
          </w:p>
        </w:tc>
      </w:tr>
    </w:tbl>
    <w:sectPr w:rsidR="00FC693F" w:rsidRPr="0006063C" w:rsidSect="00034616">
      <w:footerReference w:type="default" r:id="rId9"/>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subject/>
  <dc:creator/>
  <cp:keywords/>
  <dc:description/>
  <cp:lastModifiedBy/>
  <cp:revision>1</cp:revision>
  <dcterms:created xsi:type="dcterms:W3CDTF">2013-12-23T23:15:00Z</dcterms:created>
  <dcterms:modified xsi:type="dcterms:W3CDTF">2013-12-23T23:15:00Z</dcterms:modified>
  <cp:category/>
</cp:coreProperties>
</file>