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240"/>
        <w:jc w:val="left"/>
      </w:pPr>
      <w:r>
        <w:rPr>
          <w:rFonts w:ascii="Aptos" w:hAnsi="Aptos"/>
          <w:b/>
          <w:color w:val="000000"/>
          <w:sz w:val="56"/>
        </w:rPr>
        <w:t>Layered Automated Trading System Architecture</w:t>
      </w:r>
    </w:p>
    <w:p>
      <w:pPr>
        <w:pStyle w:val="Subtitle"/>
        <w:spacing w:after="520"/>
      </w:pPr>
      <w:r>
        <w:rPr>
          <w:rFonts w:ascii="Aptos" w:hAnsi="Aptos"/>
          <w:color w:val="000000"/>
          <w:sz w:val="26"/>
        </w:rPr>
        <w:t>Technical design for deterministic execution with bounded AI support</w:t>
      </w:r>
    </w:p>
    <w:p>
      <w:pPr>
        <w:keepLines w:val="0"/>
        <w:spacing w:after="280" w:line="269" w:lineRule="auto"/>
      </w:pPr>
      <w:r>
        <w:rPr>
          <w:rFonts w:ascii="Aptos" w:hAnsi="Aptos"/>
          <w:color w:val="000000"/>
        </w:rPr>
        <w:t>This document defines a four-layer trading platform for positional and directional strategies across NSE stock and index options and MCX commodities. Artificial intelligence supports macro interpretation, evaluation, diagnosis and research. It does not control the live order path, override risk rules or directly manage broker positions.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Design attribute</w:t>
            </w:r>
          </w:p>
        </w:tc>
        <w:tc>
          <w:tcPr>
            <w:tcW w:type="dxa" w:w="756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Decision</w:t>
            </w:r>
          </w:p>
        </w:tc>
      </w:tr>
      <w:tr>
        <w:trPr>
          <w:cantSplit/>
        </w:trPr>
        <w:tc>
          <w:tcPr>
            <w:tcW w:type="dxa" w:w="223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System identity</w:t>
            </w:r>
          </w:p>
        </w:tc>
        <w:tc>
          <w:tcPr>
            <w:tcW w:type="dxa" w:w="756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Automated trading system with AI support, not an AI trading system</w:t>
            </w:r>
          </w:p>
        </w:tc>
      </w:tr>
      <w:tr>
        <w:trPr>
          <w:cantSplit/>
        </w:trPr>
        <w:tc>
          <w:tcPr>
            <w:tcW w:type="dxa" w:w="223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Execution authority</w:t>
            </w:r>
          </w:p>
        </w:tc>
        <w:tc>
          <w:tcPr>
            <w:tcW w:type="dxa" w:w="756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Deterministic scripts and state machines only</w:t>
            </w:r>
          </w:p>
        </w:tc>
      </w:tr>
      <w:tr>
        <w:trPr>
          <w:cantSplit/>
        </w:trPr>
        <w:tc>
          <w:tcPr>
            <w:tcW w:type="dxa" w:w="223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Source of truth</w:t>
            </w:r>
          </w:p>
        </w:tc>
        <w:tc>
          <w:tcPr>
            <w:tcW w:type="dxa" w:w="756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Broker positions, orders and fills, reconciled into internal state</w:t>
            </w:r>
          </w:p>
        </w:tc>
      </w:tr>
      <w:tr>
        <w:trPr>
          <w:cantSplit/>
        </w:trPr>
        <w:tc>
          <w:tcPr>
            <w:tcW w:type="dxa" w:w="223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Failure posture</w:t>
            </w:r>
          </w:p>
        </w:tc>
        <w:tc>
          <w:tcPr>
            <w:tcW w:type="dxa" w:w="756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Fail closed for new exposure; deterministic recovery and liquidation rules</w:t>
            </w:r>
          </w:p>
        </w:tc>
      </w:tr>
      <w:tr>
        <w:trPr>
          <w:cantSplit/>
        </w:trPr>
        <w:tc>
          <w:tcPr>
            <w:tcW w:type="dxa" w:w="223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Primary horizon</w:t>
            </w:r>
          </w:p>
        </w:tc>
        <w:tc>
          <w:tcPr>
            <w:tcW w:type="dxa" w:w="756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Positional and selected intraday workflows; low latency only where the strategy needs it</w:t>
            </w:r>
          </w:p>
        </w:tc>
      </w:tr>
      <w:tr>
        <w:trPr>
          <w:cantSplit/>
        </w:trPr>
        <w:tc>
          <w:tcPr>
            <w:tcW w:type="dxa" w:w="223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AI boundary</w:t>
            </w:r>
          </w:p>
        </w:tc>
        <w:tc>
          <w:tcPr>
            <w:tcW w:type="dxa" w:w="756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Structured proposals, bounded parameters and advisory diagnostics</w:t>
            </w:r>
          </w:p>
        </w:tc>
      </w:tr>
    </w:tbl>
    <w:p>
      <w:pPr>
        <w:spacing w:after="40"/>
      </w:pPr>
    </w:p>
    <w:p>
      <w:pPr>
        <w:spacing w:before="600"/>
      </w:pPr>
      <w:r>
        <w:rPr>
          <w:rFonts w:ascii="Aptos" w:hAnsi="Aptos"/>
          <w:b/>
          <w:color w:val="667085"/>
          <w:sz w:val="20"/>
        </w:rPr>
        <w:t>Architecture baseline</w:t>
      </w:r>
    </w:p>
    <w:p>
      <w:pPr>
        <w:keepLines w:val="0"/>
        <w:spacing w:after="0" w:line="269" w:lineRule="auto"/>
      </w:pPr>
      <w:r>
        <w:rPr>
          <w:rFonts w:ascii="Aptos" w:hAnsi="Aptos"/>
          <w:color w:val="000000"/>
        </w:rPr>
        <w:t>Version 1.0  |  September 2026  |  Engineering design document</w:t>
      </w:r>
    </w:p>
    <w:p>
      <w:r>
        <w:br w:type="page"/>
      </w:r>
    </w:p>
    <w:p>
      <w:pPr>
        <w:pStyle w:val="Heading1"/>
        <w:keepNext/>
        <w:spacing w:before="240" w:after="100"/>
      </w:pPr>
      <w:r>
        <w:rPr>
          <w:rFonts w:ascii="Aptos" w:hAnsi="Aptos"/>
          <w:b/>
          <w:color w:val="000000"/>
          <w:sz w:val="32"/>
        </w:rPr>
        <w:t>Contents</w:t>
      </w:r>
    </w:p>
    <w:p>
      <w:pPr>
        <w:spacing w:after="60"/>
        <w:ind w:left="216"/>
      </w:pPr>
      <w:r>
        <w:rPr>
          <w:rFonts w:ascii="Aptos" w:hAnsi="Aptos"/>
          <w:color w:val="000000"/>
          <w:sz w:val="20"/>
        </w:rPr>
        <w:t>1  Executive summary</w:t>
      </w:r>
    </w:p>
    <w:p>
      <w:pPr>
        <w:spacing w:after="60"/>
        <w:ind w:left="216"/>
      </w:pPr>
      <w:r>
        <w:rPr>
          <w:rFonts w:ascii="Aptos" w:hAnsi="Aptos"/>
          <w:color w:val="000000"/>
          <w:sz w:val="20"/>
        </w:rPr>
        <w:t>2  Scope, objectives and non-goals</w:t>
      </w:r>
    </w:p>
    <w:p>
      <w:pPr>
        <w:spacing w:after="60"/>
        <w:ind w:left="216"/>
      </w:pPr>
      <w:r>
        <w:rPr>
          <w:rFonts w:ascii="Aptos" w:hAnsi="Aptos"/>
          <w:color w:val="000000"/>
          <w:sz w:val="20"/>
        </w:rPr>
        <w:t>3  Architectural principles</w:t>
      </w:r>
    </w:p>
    <w:p>
      <w:pPr>
        <w:spacing w:after="60"/>
        <w:ind w:left="216"/>
      </w:pPr>
      <w:r>
        <w:rPr>
          <w:rFonts w:ascii="Aptos" w:hAnsi="Aptos"/>
          <w:color w:val="000000"/>
          <w:sz w:val="20"/>
        </w:rPr>
        <w:t>4  Logical architecture and calculation ownership</w:t>
      </w:r>
    </w:p>
    <w:p>
      <w:pPr>
        <w:spacing w:after="60"/>
        <w:ind w:left="216"/>
      </w:pPr>
      <w:r>
        <w:rPr>
          <w:rFonts w:ascii="Aptos" w:hAnsi="Aptos"/>
          <w:color w:val="000000"/>
          <w:sz w:val="20"/>
        </w:rPr>
        <w:t>5  Layer 1 Core foundations and data</w:t>
      </w:r>
    </w:p>
    <w:p>
      <w:pPr>
        <w:spacing w:after="60"/>
        <w:ind w:left="216"/>
      </w:pPr>
      <w:r>
        <w:rPr>
          <w:rFonts w:ascii="Aptos" w:hAnsi="Aptos"/>
          <w:color w:val="000000"/>
          <w:sz w:val="20"/>
        </w:rPr>
        <w:t>6  Layer 2 Common trading, risk and state services</w:t>
      </w:r>
    </w:p>
    <w:p>
      <w:pPr>
        <w:spacing w:after="60"/>
        <w:ind w:left="216"/>
      </w:pPr>
      <w:r>
        <w:rPr>
          <w:rFonts w:ascii="Aptos" w:hAnsi="Aptos"/>
          <w:color w:val="000000"/>
          <w:sz w:val="20"/>
        </w:rPr>
        <w:t>7  Layer 3 Strategy systems</w:t>
      </w:r>
    </w:p>
    <w:p>
      <w:pPr>
        <w:spacing w:after="60"/>
        <w:ind w:left="216"/>
      </w:pPr>
      <w:r>
        <w:rPr>
          <w:rFonts w:ascii="Aptos" w:hAnsi="Aptos"/>
          <w:color w:val="000000"/>
          <w:sz w:val="20"/>
        </w:rPr>
        <w:t>8  Layer 4 Analytics and self-improvement</w:t>
      </w:r>
    </w:p>
    <w:p>
      <w:pPr>
        <w:spacing w:after="60"/>
        <w:ind w:left="216"/>
      </w:pPr>
      <w:r>
        <w:rPr>
          <w:rFonts w:ascii="Aptos" w:hAnsi="Aptos"/>
          <w:color w:val="000000"/>
          <w:sz w:val="20"/>
        </w:rPr>
        <w:t>9  AI operating boundary and grounding</w:t>
      </w:r>
    </w:p>
    <w:p>
      <w:pPr>
        <w:spacing w:after="60"/>
        <w:ind w:left="216"/>
      </w:pPr>
      <w:r>
        <w:rPr>
          <w:rFonts w:ascii="Aptos" w:hAnsi="Aptos"/>
          <w:color w:val="000000"/>
          <w:sz w:val="20"/>
        </w:rPr>
        <w:t>10 End-to-end operating flows</w:t>
      </w:r>
    </w:p>
    <w:p>
      <w:pPr>
        <w:spacing w:after="60"/>
        <w:ind w:left="216"/>
      </w:pPr>
      <w:r>
        <w:rPr>
          <w:rFonts w:ascii="Aptos" w:hAnsi="Aptos"/>
          <w:color w:val="000000"/>
          <w:sz w:val="20"/>
        </w:rPr>
        <w:t>11 Observability, fault remediation and resilience</w:t>
      </w:r>
    </w:p>
    <w:p>
      <w:pPr>
        <w:spacing w:after="60"/>
        <w:ind w:left="216"/>
      </w:pPr>
      <w:r>
        <w:rPr>
          <w:rFonts w:ascii="Aptos" w:hAnsi="Aptos"/>
          <w:color w:val="000000"/>
          <w:sz w:val="20"/>
        </w:rPr>
        <w:t>12 Security, governance and auditability</w:t>
      </w:r>
    </w:p>
    <w:p>
      <w:pPr>
        <w:spacing w:after="60"/>
        <w:ind w:left="216"/>
      </w:pPr>
      <w:r>
        <w:rPr>
          <w:rFonts w:ascii="Aptos" w:hAnsi="Aptos"/>
          <w:color w:val="000000"/>
          <w:sz w:val="20"/>
        </w:rPr>
        <w:t>13 Deployment and runtime topology</w:t>
      </w:r>
    </w:p>
    <w:p>
      <w:pPr>
        <w:spacing w:after="60"/>
        <w:ind w:left="216"/>
      </w:pPr>
      <w:r>
        <w:rPr>
          <w:rFonts w:ascii="Aptos" w:hAnsi="Aptos"/>
          <w:color w:val="000000"/>
          <w:sz w:val="20"/>
        </w:rPr>
        <w:t>14 Testing and release assurance</w:t>
      </w:r>
    </w:p>
    <w:p>
      <w:pPr>
        <w:spacing w:after="60"/>
        <w:ind w:left="216"/>
      </w:pPr>
      <w:r>
        <w:rPr>
          <w:rFonts w:ascii="Aptos" w:hAnsi="Aptos"/>
          <w:color w:val="000000"/>
          <w:sz w:val="20"/>
        </w:rPr>
        <w:t>15 Implementation roadmap</w:t>
      </w:r>
    </w:p>
    <w:p>
      <w:pPr>
        <w:spacing w:after="60"/>
        <w:ind w:left="216"/>
      </w:pPr>
      <w:r>
        <w:rPr>
          <w:rFonts w:ascii="Aptos" w:hAnsi="Aptos"/>
          <w:color w:val="000000"/>
          <w:sz w:val="20"/>
        </w:rPr>
        <w:t>16 Recommended proof of concept</w:t>
      </w:r>
    </w:p>
    <w:p>
      <w:pPr>
        <w:spacing w:after="60"/>
        <w:ind w:left="216"/>
      </w:pPr>
      <w:r>
        <w:rPr>
          <w:rFonts w:ascii="Aptos" w:hAnsi="Aptos"/>
          <w:color w:val="000000"/>
          <w:sz w:val="20"/>
        </w:rPr>
        <w:t>Appendix A Core data contracts</w:t>
      </w:r>
    </w:p>
    <w:p>
      <w:pPr>
        <w:spacing w:after="60"/>
        <w:ind w:left="216"/>
      </w:pPr>
      <w:r>
        <w:rPr>
          <w:rFonts w:ascii="Aptos" w:hAnsi="Aptos"/>
          <w:color w:val="000000"/>
          <w:sz w:val="20"/>
        </w:rPr>
        <w:t>Appendix B Initial service objectives</w:t>
      </w:r>
    </w:p>
    <w:p>
      <w:pPr>
        <w:spacing w:after="60"/>
        <w:ind w:left="216"/>
      </w:pPr>
      <w:r>
        <w:rPr>
          <w:rFonts w:ascii="Aptos" w:hAnsi="Aptos"/>
          <w:color w:val="000000"/>
          <w:sz w:val="20"/>
        </w:rPr>
        <w:t>Appendix C Glossary</w:t>
      </w:r>
    </w:p>
    <w:p>
      <w:r>
        <w:br w:type="page"/>
      </w:r>
    </w:p>
    <w:p>
      <w:pPr>
        <w:pStyle w:val="Heading1"/>
        <w:keepNext/>
        <w:spacing w:before="240" w:after="100"/>
      </w:pPr>
      <w:r>
        <w:rPr>
          <w:rFonts w:ascii="Aptos" w:hAnsi="Aptos"/>
          <w:b/>
          <w:color w:val="000000"/>
          <w:sz w:val="32"/>
        </w:rPr>
        <w:t>1 Executive summary</w:t>
      </w:r>
    </w:p>
    <w:p>
      <w:pPr>
        <w:keepLines w:val="0"/>
        <w:spacing w:after="120" w:line="269" w:lineRule="auto"/>
      </w:pPr>
      <w:r>
        <w:rPr>
          <w:rFonts w:ascii="Aptos" w:hAnsi="Aptos"/>
          <w:color w:val="000000"/>
        </w:rPr>
        <w:t>The recommended platform is a deterministic, event-driven trading system organized into four functional layers and two cross-cutting planes. Layer 1 acquires, validates, calculates and stores trusted market state. Layer 2 owns capital, portfolio risk, trade lifecycle, order management and broker reconciliation. Layer 3 contains independent strategy systems that emit standardized trade intents. Layer 4 performs macro interpretation, post-trade evaluation, replay and controlled improvement.</w:t>
      </w:r>
    </w:p>
    <w:p>
      <w:pPr>
        <w:keepLines w:val="0"/>
        <w:spacing w:after="120" w:line="269" w:lineRule="auto"/>
      </w:pPr>
      <w:r>
        <w:rPr>
          <w:rFonts w:ascii="Aptos" w:hAnsi="Aptos"/>
          <w:color w:val="000000"/>
        </w:rPr>
        <w:t>The system deliberately keeps generative AI outside the live execution path. AI may classify a weekly macro regime, explain an anomaly or propose a bounded parameter change, but every output must be grounded in retrieved evidence, expressed through a strict schema, validated by deterministic policy and promoted through backtesting and shadow execution. AI cannot place, cancel or resize an order; alter a stop; bypass a limit; or promote its own proposal.</w:t>
      </w:r>
    </w:p>
    <w:p>
      <w:pPr>
        <w:keepLines w:val="0"/>
        <w:spacing w:after="120" w:line="269" w:lineRule="auto"/>
      </w:pPr>
      <w:r>
        <w:rPr>
          <w:rFonts w:ascii="Aptos" w:hAnsi="Aptos"/>
          <w:color w:val="000000"/>
        </w:rPr>
        <w:t>The central architectural contract is the Trade Intent. Each Layer 3 strategy produces an intent containing the proposed instrument, structure, entry conditions, expiry, maximum loss, exit policy and supporting evidence. Layer 2 then independently checks portfolio capacity, margin, liquidity, concentration and operational readiness before translating the intent into broker orders. This prevents strategy code, including hybrid AI-assisted strategies, from becoming an alternative execution channel.</w:t>
      </w:r>
    </w:p>
    <w:p>
      <w:pPr>
        <w:pStyle w:val="Heading2"/>
        <w:keepNext/>
        <w:spacing w:before="180" w:after="100"/>
      </w:pPr>
      <w:r>
        <w:rPr>
          <w:rFonts w:ascii="Aptos" w:hAnsi="Aptos"/>
          <w:b/>
          <w:color w:val="000000"/>
          <w:sz w:val="26"/>
        </w:rPr>
        <w:t>Recommended outcome</w:t>
      </w:r>
    </w:p>
    <w:p>
      <w:pPr>
        <w:pStyle w:val="ListBullet"/>
        <w:spacing w:after="60" w:line="259" w:lineRule="auto"/>
      </w:pPr>
      <w:r>
        <w:rPr>
          <w:rFonts w:ascii="Aptos" w:hAnsi="Aptos"/>
          <w:color w:val="000000"/>
        </w:rPr>
        <w:t>Build the proof of concept around one positional options strategy and one commodity futures strategy before adding more strategy families.</w:t>
      </w:r>
    </w:p>
    <w:p>
      <w:pPr>
        <w:pStyle w:val="ListBullet"/>
        <w:spacing w:after="60" w:line="259" w:lineRule="auto"/>
      </w:pPr>
      <w:r>
        <w:rPr>
          <w:rFonts w:ascii="Aptos" w:hAnsi="Aptos"/>
          <w:color w:val="000000"/>
        </w:rPr>
        <w:t>Implement broker reconciliation, the pre-trade risk gateway, the order state machine and the kill switch before enabling unattended live trading.</w:t>
      </w:r>
    </w:p>
    <w:p>
      <w:pPr>
        <w:pStyle w:val="ListBullet"/>
        <w:spacing w:after="60" w:line="259" w:lineRule="auto"/>
      </w:pPr>
      <w:r>
        <w:rPr>
          <w:rFonts w:ascii="Aptos" w:hAnsi="Aptos"/>
          <w:color w:val="000000"/>
        </w:rPr>
        <w:t>Treat the AI macro agent as a weekly advisory service whose output expires and must pass independent technical, liquidity and risk gates.</w:t>
      </w:r>
    </w:p>
    <w:p>
      <w:pPr>
        <w:pStyle w:val="ListBullet"/>
        <w:spacing w:after="60" w:line="259" w:lineRule="auto"/>
      </w:pPr>
      <w:r>
        <w:rPr>
          <w:rFonts w:ascii="Aptos" w:hAnsi="Aptos"/>
          <w:color w:val="000000"/>
        </w:rPr>
        <w:t>Start the self-improvement loop in analysis and shadow mode. Require explicit promotion gates for every change to production configuration.</w:t>
      </w:r>
    </w:p>
    <w:p>
      <w:pPr>
        <w:pStyle w:val="ListBullet"/>
        <w:spacing w:after="60" w:line="259" w:lineRule="auto"/>
      </w:pPr>
      <w:r>
        <w:rPr>
          <w:rFonts w:ascii="Aptos" w:hAnsi="Aptos"/>
          <w:color w:val="000000"/>
        </w:rPr>
        <w:t>Instrument every service with metrics, structured logs, traces, heartbeats and immutable decision records from the first release.</w:t>
      </w:r>
    </w:p>
    <w:p>
      <w:pPr>
        <w:spacing w:after="80"/>
      </w:pPr>
    </w:p>
    <w:p>
      <w:pPr>
        <w:pStyle w:val="Heading1"/>
        <w:keepNext/>
        <w:spacing w:before="240" w:after="100"/>
      </w:pPr>
      <w:r>
        <w:rPr>
          <w:rFonts w:ascii="Aptos" w:hAnsi="Aptos"/>
          <w:b/>
          <w:color w:val="000000"/>
          <w:sz w:val="32"/>
        </w:rPr>
        <w:t>2 Scope objectives and non goals</w:t>
      </w:r>
    </w:p>
    <w:p>
      <w:pPr>
        <w:pStyle w:val="Heading2"/>
        <w:keepNext/>
        <w:spacing w:before="180" w:after="100"/>
      </w:pPr>
      <w:r>
        <w:rPr>
          <w:rFonts w:ascii="Aptos" w:hAnsi="Aptos"/>
          <w:b/>
          <w:color w:val="000000"/>
          <w:sz w:val="26"/>
        </w:rPr>
        <w:t>2.1 Scope</w:t>
      </w:r>
    </w:p>
    <w:p>
      <w:pPr>
        <w:keepLines w:val="0"/>
        <w:spacing w:after="120" w:line="269" w:lineRule="auto"/>
      </w:pPr>
      <w:r>
        <w:rPr>
          <w:rFonts w:ascii="Aptos" w:hAnsi="Aptos"/>
          <w:color w:val="000000"/>
        </w:rPr>
        <w:t>The architecture supports automated research, decisioning, risk control and execution for Indian exchange-traded products. The initial strategy universe includes positional stock and index options, directional long options, a CAS microstructure strategy, positional commodity systems and directional commodity futures. The same service contracts can later support additional products or brokers without moving AI into the execution path.</w:t>
      </w:r>
    </w:p>
    <w:p>
      <w:pPr>
        <w:pStyle w:val="Heading2"/>
        <w:keepNext/>
        <w:spacing w:before="180" w:after="100"/>
      </w:pPr>
      <w:r>
        <w:rPr>
          <w:rFonts w:ascii="Aptos" w:hAnsi="Aptos"/>
          <w:b/>
          <w:color w:val="000000"/>
          <w:sz w:val="26"/>
        </w:rPr>
        <w:t>2.2 Objectives</w:t>
      </w:r>
    </w:p>
    <w:p>
      <w:pPr>
        <w:pStyle w:val="ListBullet"/>
        <w:spacing w:after="60" w:line="259" w:lineRule="auto"/>
      </w:pPr>
      <w:r>
        <w:rPr>
          <w:rFonts w:ascii="Aptos" w:hAnsi="Aptos"/>
          <w:color w:val="000000"/>
        </w:rPr>
        <w:t>Operate without a human in the minute-to-minute loop while retaining deterministic safety boundaries.</w:t>
      </w:r>
    </w:p>
    <w:p>
      <w:pPr>
        <w:pStyle w:val="ListBullet"/>
        <w:spacing w:after="60" w:line="259" w:lineRule="auto"/>
      </w:pPr>
      <w:r>
        <w:rPr>
          <w:rFonts w:ascii="Aptos" w:hAnsi="Aptos"/>
          <w:color w:val="000000"/>
        </w:rPr>
        <w:t>Recover correctly after restarts, broker disconnects, partial fills, stale data and duplicate events.</w:t>
      </w:r>
    </w:p>
    <w:p>
      <w:pPr>
        <w:pStyle w:val="ListBullet"/>
        <w:spacing w:after="60" w:line="259" w:lineRule="auto"/>
      </w:pPr>
      <w:r>
        <w:rPr>
          <w:rFonts w:ascii="Aptos" w:hAnsi="Aptos"/>
          <w:color w:val="000000"/>
        </w:rPr>
        <w:t>Separate reusable portfolio and execution services from strategy-specific logic.</w:t>
      </w:r>
    </w:p>
    <w:p>
      <w:pPr>
        <w:pStyle w:val="ListBullet"/>
        <w:spacing w:after="60" w:line="259" w:lineRule="auto"/>
      </w:pPr>
      <w:r>
        <w:rPr>
          <w:rFonts w:ascii="Aptos" w:hAnsi="Aptos"/>
          <w:color w:val="000000"/>
        </w:rPr>
        <w:t>Provide reproducible decisions through versioned data, code, configuration and AI evidence.</w:t>
      </w:r>
    </w:p>
    <w:p>
      <w:pPr>
        <w:pStyle w:val="ListBullet"/>
        <w:spacing w:after="60" w:line="259" w:lineRule="auto"/>
      </w:pPr>
      <w:r>
        <w:rPr>
          <w:rFonts w:ascii="Aptos" w:hAnsi="Aptos"/>
          <w:color w:val="000000"/>
        </w:rPr>
        <w:t>Allow AI to cover ambiguous macro and diagnostic edge cases without giving it transactional authority.</w:t>
      </w:r>
    </w:p>
    <w:p>
      <w:pPr>
        <w:pStyle w:val="ListBullet"/>
        <w:spacing w:after="60" w:line="259" w:lineRule="auto"/>
      </w:pPr>
      <w:r>
        <w:rPr>
          <w:rFonts w:ascii="Aptos" w:hAnsi="Aptos"/>
          <w:color w:val="000000"/>
        </w:rPr>
        <w:t>Support low-cost deployment for a proof of concept and a path toward higher availability as capital and strategy count increase.</w:t>
      </w:r>
    </w:p>
    <w:p>
      <w:pPr>
        <w:pStyle w:val="Heading2"/>
        <w:keepNext/>
        <w:spacing w:before="180" w:after="100"/>
      </w:pPr>
      <w:r>
        <w:rPr>
          <w:rFonts w:ascii="Aptos" w:hAnsi="Aptos"/>
          <w:b/>
          <w:color w:val="000000"/>
          <w:sz w:val="26"/>
        </w:rPr>
        <w:t>2.3 Non goals</w:t>
      </w:r>
    </w:p>
    <w:p>
      <w:pPr>
        <w:pStyle w:val="ListBullet"/>
        <w:spacing w:after="60" w:line="259" w:lineRule="auto"/>
      </w:pPr>
      <w:r>
        <w:rPr>
          <w:rFonts w:ascii="Aptos" w:hAnsi="Aptos"/>
          <w:color w:val="000000"/>
        </w:rPr>
        <w:t>Ultra-low-latency or colocated high-frequency market making.</w:t>
      </w:r>
    </w:p>
    <w:p>
      <w:pPr>
        <w:pStyle w:val="ListBullet"/>
        <w:spacing w:after="60" w:line="259" w:lineRule="auto"/>
      </w:pPr>
      <w:r>
        <w:rPr>
          <w:rFonts w:ascii="Aptos" w:hAnsi="Aptos"/>
          <w:color w:val="000000"/>
        </w:rPr>
        <w:t>An unconstrained agent that selects instruments and directly places orders from natural-language reasoning.</w:t>
      </w:r>
    </w:p>
    <w:p>
      <w:pPr>
        <w:pStyle w:val="ListBullet"/>
        <w:spacing w:after="60" w:line="259" w:lineRule="auto"/>
      </w:pPr>
      <w:r>
        <w:rPr>
          <w:rFonts w:ascii="Aptos" w:hAnsi="Aptos"/>
          <w:color w:val="000000"/>
        </w:rPr>
        <w:t>Automatic production tuning based on a single week, a single evaluator or an LLM confidence score.</w:t>
      </w:r>
    </w:p>
    <w:p>
      <w:pPr>
        <w:pStyle w:val="ListBullet"/>
        <w:spacing w:after="60" w:line="259" w:lineRule="auto"/>
      </w:pPr>
      <w:r>
        <w:rPr>
          <w:rFonts w:ascii="Aptos" w:hAnsi="Aptos"/>
          <w:color w:val="000000"/>
        </w:rPr>
        <w:t>Replacing broker records with an internal database as the final authority for live positions.</w:t>
      </w:r>
    </w:p>
    <w:p>
      <w:pPr>
        <w:pStyle w:val="ListBullet"/>
        <w:spacing w:after="60" w:line="259" w:lineRule="auto"/>
      </w:pPr>
      <w:r>
        <w:rPr>
          <w:rFonts w:ascii="Aptos" w:hAnsi="Aptos"/>
          <w:color w:val="000000"/>
        </w:rPr>
        <w:t>Using a single service process as data collector, strategy engine, risk manager and execution gateway.</w:t>
      </w:r>
    </w:p>
    <w:p>
      <w:pPr>
        <w:pStyle w:val="Heading2"/>
        <w:keepNext/>
        <w:spacing w:before="180" w:after="100"/>
      </w:pPr>
      <w:r>
        <w:rPr>
          <w:rFonts w:ascii="Aptos" w:hAnsi="Aptos"/>
          <w:b/>
          <w:color w:val="000000"/>
          <w:sz w:val="26"/>
        </w:rPr>
        <w:t>2.4 Terminology for directional options</w:t>
      </w:r>
    </w:p>
    <w:p>
      <w:pPr>
        <w:keepLines w:val="0"/>
        <w:spacing w:after="120" w:line="269" w:lineRule="auto"/>
      </w:pPr>
      <w:r>
        <w:rPr>
          <w:rFonts w:ascii="Aptos" w:hAnsi="Aptos"/>
          <w:color w:val="000000"/>
        </w:rPr>
        <w:t>In this design, directional naked options should initially mean unhedged long calls or long puts, where loss is bounded by premium paid. Uncovered short options create materially different tail, margin and gap risks and should be excluded from the proof of concept. If introduced later, they require separate strategy approval, stress limits, margin buffers and forced hedging rules.</w:t>
      </w:r>
    </w:p>
    <w:p>
      <w:pPr>
        <w:pStyle w:val="Heading1"/>
        <w:keepNext/>
        <w:spacing w:before="240" w:after="100"/>
      </w:pPr>
      <w:r>
        <w:rPr>
          <w:rFonts w:ascii="Aptos" w:hAnsi="Aptos"/>
          <w:b/>
          <w:color w:val="000000"/>
          <w:sz w:val="32"/>
        </w:rPr>
        <w:t>3 Architectural principles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Principle</w:t>
            </w:r>
          </w:p>
        </w:tc>
        <w:tc>
          <w:tcPr>
            <w:tcW w:type="dxa" w:w="741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Required behavior</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Deterministic authority</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Only deterministic services can authorize, create, modify or cancel live orders and protective exits.</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Broker as source of truth</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Internal state is a working model. Broker orders, fills and positions are reconciled on startup, periodically and after every ambiguous event.</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Fail closed</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When data, state, time or broker connectivity is uncertain, the system blocks new risk. Existing positions continue under predefined protective logic.</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Independent strategies</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Strategies do not call one another in a chain. Each consumes trusted snapshots and publishes a common Trade Intent.</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Portfolio before order</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Capital allocation and aggregate exposure are evaluated before broker-specific order construction.</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Idempotent operations</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Events, intents, orders and recovery actions carry stable identifiers so retries do not create duplicate exposure.</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Bounded AI</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AI outputs are advisory, structured, evidence-linked, short-lived and restricted to enumerated actions or parameter ranges.</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Promotion, not mutation</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Research systems create candidate versions. Production adopts a version only after deterministic tests and staged validation.</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Observable by design</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Every decision and state transition emits enough context to reconstruct what happened and why.</w:t>
            </w:r>
          </w:p>
        </w:tc>
      </w:tr>
    </w:tbl>
    <w:p>
      <w:pPr>
        <w:spacing w:after="40"/>
      </w:pPr>
    </w:p>
    <w:p>
      <w:pPr>
        <w:spacing w:after="80"/>
      </w:pPr>
    </w:p>
    <w:p>
      <w:pPr>
        <w:pStyle w:val="Heading1"/>
        <w:keepNext/>
        <w:spacing w:before="240" w:after="100"/>
      </w:pPr>
      <w:r>
        <w:rPr>
          <w:rFonts w:ascii="Aptos" w:hAnsi="Aptos"/>
          <w:b/>
          <w:color w:val="000000"/>
          <w:sz w:val="32"/>
        </w:rPr>
        <w:t>4 Logical architecture and calculation ownership</w:t>
      </w:r>
    </w:p>
    <w:p>
      <w:pPr>
        <w:keepLines w:val="0"/>
        <w:spacing w:after="120" w:line="269" w:lineRule="auto"/>
      </w:pPr>
      <w:r>
        <w:rPr>
          <w:rFonts w:ascii="Aptos" w:hAnsi="Aptos"/>
          <w:color w:val="000000"/>
        </w:rPr>
        <w:t>The four layers define responsibility, not necessarily four machines. A proof of concept may run several components in one VPS process group, but the service boundaries and contracts should remain explicit. This preserves the ability to isolate failures, test each decision and scale selected components later.</w:t>
      </w:r>
    </w:p>
    <w:p>
      <w:pPr>
        <w:keepNext/>
        <w:jc w:val="center"/>
      </w:pPr>
      <w:r>
        <w:drawing>
          <wp:inline xmlns:a="http://schemas.openxmlformats.org/drawingml/2006/main" xmlns:pic="http://schemas.openxmlformats.org/drawingml/2006/picture">
            <wp:extent cx="6263640" cy="3523298"/>
            <wp:docPr id="1" name="Picture 1"/>
            <wp:cNvGraphicFramePr>
              <a:graphicFrameLocks noChangeAspect="1"/>
            </wp:cNvGraphicFramePr>
            <a:graphic>
              <a:graphicData uri="http://schemas.openxmlformats.org/drawingml/2006/picture">
                <pic:pic>
                  <pic:nvPicPr>
                    <pic:cNvPr id="0" name="trading-layer-presentation.png"/>
                    <pic:cNvPicPr/>
                  </pic:nvPicPr>
                  <pic:blipFill>
                    <a:blip r:embed="rId10"/>
                    <a:stretch>
                      <a:fillRect/>
                    </a:stretch>
                  </pic:blipFill>
                  <pic:spPr>
                    <a:xfrm>
                      <a:off x="0" y="0"/>
                      <a:ext cx="6263640" cy="3523298"/>
                    </a:xfrm>
                    <a:prstGeom prst="rect"/>
                  </pic:spPr>
                </pic:pic>
              </a:graphicData>
            </a:graphic>
          </wp:inline>
        </w:drawing>
      </w:r>
    </w:p>
    <w:p>
      <w:pPr>
        <w:spacing w:after="160"/>
        <w:jc w:val="center"/>
      </w:pPr>
      <w:r>
        <w:rPr>
          <w:rFonts w:ascii="Aptos" w:hAnsi="Aptos"/>
          <w:color w:val="667085"/>
          <w:sz w:val="18"/>
        </w:rPr>
        <w:t>Figure 1  Four-layer logical architecture and control plane</w:t>
      </w:r>
    </w:p>
    <w:p>
      <w:pPr>
        <w:pStyle w:val="Heading2"/>
        <w:keepNext/>
        <w:spacing w:before="180" w:after="100"/>
      </w:pPr>
      <w:r>
        <w:rPr>
          <w:rFonts w:ascii="Aptos" w:hAnsi="Aptos"/>
          <w:b/>
          <w:color w:val="000000"/>
          <w:sz w:val="26"/>
        </w:rPr>
        <w:t>4.1 Calculation ownership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2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Owner</w:t>
            </w:r>
          </w:p>
        </w:tc>
        <w:tc>
          <w:tcPr>
            <w:tcW w:type="dxa" w:w="2232"/>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Calculation class</w:t>
            </w:r>
          </w:p>
        </w:tc>
        <w:tc>
          <w:tcPr>
            <w:tcW w:type="dxa" w:w="633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Examples</w:t>
            </w:r>
          </w:p>
        </w:tc>
      </w:tr>
      <w:tr>
        <w:trPr>
          <w:cantSplit/>
        </w:trPr>
        <w:tc>
          <w:tcPr>
            <w:tcW w:type="dxa" w:w="122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Layer 1</w:t>
            </w:r>
          </w:p>
        </w:tc>
        <w:tc>
          <w:tcPr>
            <w:tcW w:type="dxa" w:w="223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Market facts</w:t>
            </w:r>
          </w:p>
        </w:tc>
        <w:tc>
          <w:tcPr>
            <w:tcW w:type="dxa" w:w="63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Candles, returns, ATR, momentum, order-book features, option-chain normalization, IV, Greeks, volatility surfaces, liquidity metrics, session state and data-quality flags.</w:t>
            </w:r>
          </w:p>
        </w:tc>
      </w:tr>
      <w:tr>
        <w:trPr>
          <w:cantSplit/>
        </w:trPr>
        <w:tc>
          <w:tcPr>
            <w:tcW w:type="dxa" w:w="122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Layer 2</w:t>
            </w:r>
          </w:p>
        </w:tc>
        <w:tc>
          <w:tcPr>
            <w:tcW w:type="dxa" w:w="223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Portfolio and order risk</w:t>
            </w:r>
          </w:p>
        </w:tc>
        <w:tc>
          <w:tcPr>
            <w:tcW w:type="dxa" w:w="63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Position sizing, capital allocation, aggregate Greeks, concentration, correlation, margin headroom, maximum loss, stop values, trailing logic, daily loss and order permission.</w:t>
            </w:r>
          </w:p>
        </w:tc>
      </w:tr>
      <w:tr>
        <w:trPr>
          <w:cantSplit/>
        </w:trPr>
        <w:tc>
          <w:tcPr>
            <w:tcW w:type="dxa" w:w="122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Layer 3</w:t>
            </w:r>
          </w:p>
        </w:tc>
        <w:tc>
          <w:tcPr>
            <w:tcW w:type="dxa" w:w="223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Strategy intent</w:t>
            </w:r>
          </w:p>
        </w:tc>
        <w:tc>
          <w:tcPr>
            <w:tcW w:type="dxa" w:w="63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Setup detection, regime compatibility, instrument and structure selection, entry conditions, exit template, time horizon and strategy-specific confidence.</w:t>
            </w:r>
          </w:p>
        </w:tc>
      </w:tr>
      <w:tr>
        <w:trPr>
          <w:cantSplit/>
        </w:trPr>
        <w:tc>
          <w:tcPr>
            <w:tcW w:type="dxa" w:w="122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Layer 4</w:t>
            </w:r>
          </w:p>
        </w:tc>
        <w:tc>
          <w:tcPr>
            <w:tcW w:type="dxa" w:w="223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Evaluation and research</w:t>
            </w:r>
          </w:p>
        </w:tc>
        <w:tc>
          <w:tcPr>
            <w:tcW w:type="dxa" w:w="63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Attribution, slippage analysis, calibration, counterfactual replay, failure clusters, candidate parameters and evidence quality. These calculations cannot directly change live state.</w:t>
            </w:r>
          </w:p>
        </w:tc>
      </w:tr>
    </w:tbl>
    <w:p>
      <w:pPr>
        <w:spacing w:after="40"/>
      </w:pPr>
    </w:p>
    <w:p>
      <w:pPr>
        <w:pStyle w:val="Heading2"/>
        <w:keepNext/>
        <w:spacing w:before="180" w:after="100"/>
      </w:pPr>
      <w:r>
        <w:rPr>
          <w:rFonts w:ascii="Aptos" w:hAnsi="Aptos"/>
          <w:b/>
          <w:color w:val="000000"/>
          <w:sz w:val="26"/>
        </w:rPr>
        <w:t>4.2 Cross-layer communication</w:t>
      </w:r>
    </w:p>
    <w:p>
      <w:pPr>
        <w:keepLines w:val="0"/>
        <w:spacing w:after="120" w:line="269" w:lineRule="auto"/>
      </w:pPr>
      <w:r>
        <w:rPr>
          <w:rFonts w:ascii="Aptos" w:hAnsi="Aptos"/>
          <w:color w:val="000000"/>
        </w:rPr>
        <w:t>Cross-layer communication should use versioned events and immutable snapshots. Strategy evaluation should not read partially updated feature frames or mutable global variables. Each decision references a market snapshot identifier, feature version, configuration version and timestamp. This makes live decisions reproducible in replay.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Flow</w:t>
            </w:r>
          </w:p>
        </w:tc>
        <w:tc>
          <w:tcPr>
            <w:tcW w:type="dxa" w:w="504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Primary payload</w:t>
            </w:r>
          </w:p>
        </w:tc>
        <w:tc>
          <w:tcPr>
            <w:tcW w:type="dxa" w:w="280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Direction</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Market state</w:t>
            </w:r>
          </w:p>
        </w:tc>
        <w:tc>
          <w:tcPr>
            <w:tcW w:type="dxa" w:w="504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Validated snapshot and feature set</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Layer 1 to Layers 2 and 3</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Trade proposal</w:t>
            </w:r>
          </w:p>
        </w:tc>
        <w:tc>
          <w:tcPr>
            <w:tcW w:type="dxa" w:w="504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Trade Intent</w:t>
            </w:r>
          </w:p>
        </w:tc>
        <w:tc>
          <w:tcPr>
            <w:tcW w:type="dxa" w:w="280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Layer 3 to Layer 2</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Risk response</w:t>
            </w:r>
          </w:p>
        </w:tc>
        <w:tc>
          <w:tcPr>
            <w:tcW w:type="dxa" w:w="504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Approved, resized, deferred or rejected decision</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Layer 2 to Layer 3 and audit log</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Execution events</w:t>
            </w:r>
          </w:p>
        </w:tc>
        <w:tc>
          <w:tcPr>
            <w:tcW w:type="dxa" w:w="504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Order acknowledgements, fills, rejects and cancellations</w:t>
            </w:r>
          </w:p>
        </w:tc>
        <w:tc>
          <w:tcPr>
            <w:tcW w:type="dxa" w:w="280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Broker adapter to Layer 2 and audit log</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Evaluation stream</w:t>
            </w:r>
          </w:p>
        </w:tc>
        <w:tc>
          <w:tcPr>
            <w:tcW w:type="dxa" w:w="504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Decisions, fills, outcomes and operational events</w:t>
            </w:r>
          </w:p>
        </w:tc>
        <w:tc>
          <w:tcPr>
            <w:tcW w:type="dxa" w:w="280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Layers 1 to 3 into Layer 4</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Improvement candidate</w:t>
            </w:r>
          </w:p>
        </w:tc>
        <w:tc>
          <w:tcPr>
            <w:tcW w:type="dxa" w:w="504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Versioned bounded proposal</w:t>
            </w:r>
          </w:p>
        </w:tc>
        <w:tc>
          <w:tcPr>
            <w:tcW w:type="dxa" w:w="280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Layer 4 through promotion gate to configuration registry</w:t>
            </w:r>
          </w:p>
        </w:tc>
      </w:tr>
    </w:tbl>
    <w:p>
      <w:pPr>
        <w:spacing w:after="40"/>
      </w:pPr>
    </w:p>
    <w:p>
      <w:pPr>
        <w:spacing w:after="80"/>
      </w:pPr>
    </w:p>
    <w:p>
      <w:pPr>
        <w:pStyle w:val="Heading1"/>
        <w:keepNext/>
        <w:spacing w:before="240" w:after="100"/>
      </w:pPr>
      <w:r>
        <w:rPr>
          <w:rFonts w:ascii="Aptos" w:hAnsi="Aptos"/>
          <w:b/>
          <w:color w:val="000000"/>
          <w:sz w:val="32"/>
        </w:rPr>
        <w:t>5 Layer 1 Core foundations and data</w:t>
      </w:r>
    </w:p>
    <w:p>
      <w:pPr>
        <w:keepLines w:val="0"/>
        <w:spacing w:after="120" w:line="269" w:lineRule="auto"/>
      </w:pPr>
      <w:r>
        <w:rPr>
          <w:rFonts w:ascii="Aptos" w:hAnsi="Aptos"/>
          <w:color w:val="000000"/>
        </w:rPr>
        <w:t>Layer 1 turns external feeds into trusted, timestamped market state. It must remain useful even when every AI service is unavailable. Strategies should consume normalized calculations from this layer rather than independently downloading and interpreting the same data.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Subsystem</w:t>
            </w:r>
          </w:p>
        </w:tc>
        <w:tc>
          <w:tcPr>
            <w:tcW w:type="dxa" w:w="741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Responsibilities</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Market and broker ingestion</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Connect to WebSocket and REST sources, normalize events, enforce sequence and timestamp rules, and emit reconnect status.</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Macro ingestion</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Collect scheduled economic events, rates, currencies, volatility references and approved news sources for later grounded interpretation.</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Data quality gate</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Detect stale quotes, gaps, crossed markets, invalid OHLC values, missing option strikes, outliers and clock skew. Publish quality status with every snapshot.</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Instrument master</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Maintain exchange symbol, token, expiry, strike, option type, lot size, tick size, session, freeze quantity and rollover metadata.</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Feature engine</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Calculate indicators and microstructure features using deterministic, tested functions with explicit lookback and warm-up requirements.</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Options analytics</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Normalize chains and calculate IV, Greeks, skew, term structure, expected move, spread width and liquidity indicators.</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Storage</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Persist raw events, normalized bars, features, decisions and audit events using retention appropriate to replay and investigation.</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Event bus and scheduler</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Trigger candle close, weekly regime review, expiry checks, end-of-day reconciliation, health checks and research jobs.</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State checkpointing</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Persist consumed offsets, latest trusted snapshot and calculation state so restart behavior is deterministic.</w:t>
            </w:r>
          </w:p>
        </w:tc>
      </w:tr>
    </w:tbl>
    <w:p>
      <w:pPr>
        <w:spacing w:after="40"/>
      </w:pPr>
    </w:p>
    <w:p>
      <w:pPr>
        <w:pStyle w:val="Heading2"/>
        <w:keepNext/>
        <w:spacing w:before="180" w:after="100"/>
      </w:pPr>
      <w:r>
        <w:rPr>
          <w:rFonts w:ascii="Aptos" w:hAnsi="Aptos"/>
          <w:b/>
          <w:color w:val="000000"/>
          <w:sz w:val="26"/>
        </w:rPr>
        <w:t>5.1 Data quality states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State</w:t>
            </w:r>
          </w:p>
        </w:tc>
        <w:tc>
          <w:tcPr>
            <w:tcW w:type="dxa" w:w="504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Definition</w:t>
            </w:r>
          </w:p>
        </w:tc>
        <w:tc>
          <w:tcPr>
            <w:tcW w:type="dxa" w:w="3312"/>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Required action</w:t>
            </w:r>
          </w:p>
        </w:tc>
      </w:tr>
      <w:tr>
        <w:trPr>
          <w:cantSplit/>
        </w:trPr>
        <w:tc>
          <w:tcPr>
            <w:tcW w:type="dxa" w:w="144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Healthy</w:t>
            </w:r>
          </w:p>
        </w:tc>
        <w:tc>
          <w:tcPr>
            <w:tcW w:type="dxa" w:w="504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All mandatory feeds and calculations satisfy quality policy.</w:t>
            </w:r>
          </w:p>
        </w:tc>
        <w:tc>
          <w:tcPr>
            <w:tcW w:type="dxa" w:w="331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Publish tradable snapshot.</w:t>
            </w:r>
          </w:p>
        </w:tc>
      </w:tr>
      <w:tr>
        <w:trPr>
          <w:cantSplit/>
        </w:trPr>
        <w:tc>
          <w:tcPr>
            <w:tcW w:type="dxa" w:w="144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Degraded</w:t>
            </w:r>
          </w:p>
        </w:tc>
        <w:tc>
          <w:tcPr>
            <w:tcW w:type="dxa" w:w="504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Noncritical input unavailable or delayed.</w:t>
            </w:r>
          </w:p>
        </w:tc>
        <w:tc>
          <w:tcPr>
            <w:tcW w:type="dxa" w:w="331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Publish restricted snapshot with reason.</w:t>
            </w:r>
          </w:p>
        </w:tc>
      </w:tr>
      <w:tr>
        <w:trPr>
          <w:cantSplit/>
        </w:trPr>
        <w:tc>
          <w:tcPr>
            <w:tcW w:type="dxa" w:w="144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Stale</w:t>
            </w:r>
          </w:p>
        </w:tc>
        <w:tc>
          <w:tcPr>
            <w:tcW w:type="dxa" w:w="504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Mandatory input older than the strategy-specific threshold.</w:t>
            </w:r>
          </w:p>
        </w:tc>
        <w:tc>
          <w:tcPr>
            <w:tcW w:type="dxa" w:w="331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Block new exposure.</w:t>
            </w:r>
          </w:p>
        </w:tc>
      </w:tr>
      <w:tr>
        <w:trPr>
          <w:cantSplit/>
        </w:trPr>
        <w:tc>
          <w:tcPr>
            <w:tcW w:type="dxa" w:w="144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Invalid</w:t>
            </w:r>
          </w:p>
        </w:tc>
        <w:tc>
          <w:tcPr>
            <w:tcW w:type="dxa" w:w="504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Integrity, ordering or calculation validation failed.</w:t>
            </w:r>
          </w:p>
        </w:tc>
        <w:tc>
          <w:tcPr>
            <w:tcW w:type="dxa" w:w="331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Quarantine and investigate.</w:t>
            </w:r>
          </w:p>
        </w:tc>
      </w:tr>
    </w:tbl>
    <w:p>
      <w:pPr>
        <w:spacing w:after="40"/>
      </w:pPr>
    </w:p>
    <w:p>
      <w:pPr>
        <w:pStyle w:val="Heading2"/>
        <w:keepNext/>
        <w:spacing w:before="180" w:after="100"/>
      </w:pPr>
      <w:r>
        <w:rPr>
          <w:rFonts w:ascii="Aptos" w:hAnsi="Aptos"/>
          <w:b/>
          <w:color w:val="000000"/>
          <w:sz w:val="26"/>
        </w:rPr>
        <w:t>5.2 Calculation reproducibility</w:t>
      </w:r>
    </w:p>
    <w:p>
      <w:pPr>
        <w:keepLines w:val="0"/>
        <w:spacing w:after="120" w:line="269" w:lineRule="auto"/>
      </w:pPr>
      <w:r>
        <w:rPr>
          <w:rFonts w:ascii="Aptos" w:hAnsi="Aptos"/>
          <w:color w:val="000000"/>
        </w:rPr>
        <w:t>Every derived value should be reproducible from a defined input window and calculation version. A Feature Snapshot should carry the instrument, event time, source time, calculation time, input range, quality status and feature-set version. Research code and live code should share calculation libraries or parity tests; otherwise a successful backtest may not represent the live system.</w:t>
      </w:r>
    </w:p>
    <w:p>
      <w:pPr>
        <w:spacing w:after="80"/>
      </w:pPr>
    </w:p>
    <w:p>
      <w:pPr>
        <w:pStyle w:val="Heading1"/>
        <w:keepNext/>
        <w:spacing w:before="240" w:after="100"/>
      </w:pPr>
      <w:r>
        <w:rPr>
          <w:rFonts w:ascii="Aptos" w:hAnsi="Aptos"/>
          <w:b/>
          <w:color w:val="000000"/>
          <w:sz w:val="32"/>
        </w:rPr>
        <w:t>6 Layer 2 Common trading risk and state services</w:t>
      </w:r>
    </w:p>
    <w:p>
      <w:pPr>
        <w:keepLines w:val="0"/>
        <w:spacing w:after="120" w:line="269" w:lineRule="auto"/>
      </w:pPr>
      <w:r>
        <w:rPr>
          <w:rFonts w:ascii="Aptos" w:hAnsi="Aptos"/>
          <w:color w:val="000000"/>
        </w:rPr>
        <w:t>Layer 2 is the capital protection boundary and the sole path to execution. It receives strategy intent, checks it against live portfolio and operational state, creates an execution plan, manages all order transitions and reconciles results with the broker.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Service</w:t>
            </w:r>
          </w:p>
        </w:tc>
        <w:tc>
          <w:tcPr>
            <w:tcW w:type="dxa" w:w="741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Required behavior</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Portfolio state</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Maintain positions, cash, realized and unrealized P&amp;L, strategy attribution, exposures and reservations for pending orders.</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Capital allocation</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Assign per-strategy and per-product budgets; enforce total, daily and concurrent-trade limits.</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Position sizing</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Calculate quantity from maximum risk, stop distance, premium, lot size, margin, liquidity and portfolio capacity.</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Portfolio risk engine</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Aggregate Delta, Gamma, Vega, Theta, notional, sector, underlying and expiry concentration; run configured stress shocks.</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Pre-trade risk gateway</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Return approve, resize, defer or reject. Produce explicit reason codes and a decision record for every intent.</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Trade lifecycle service</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Own entry, protection, target, time exit, trailing stop, expiry handling and strategy termination states.</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Order state machine</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Handle new, pending, acknowledged, partially filled, filled, cancel pending, cancelled, rejected and unknown states.</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Execution planner</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Translate an approved structure into broker legs, sequence, price policy, timeout, rollback and residual-risk handling.</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OMS and rate limiter</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Enforce idempotency, broker rate limits, retry policy, request correlation and duplicate-order prevention.</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Broker reconciler</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Compare internal and broker state on startup, periodically, after reconnect and after any ambiguous response.</w:t>
            </w:r>
          </w:p>
        </w:tc>
      </w:tr>
    </w:tbl>
    <w:p>
      <w:pPr>
        <w:spacing w:after="40"/>
      </w:pPr>
    </w:p>
    <w:p>
      <w:pPr>
        <w:pStyle w:val="Heading2"/>
        <w:keepNext/>
        <w:spacing w:before="180" w:after="100"/>
      </w:pPr>
      <w:r>
        <w:rPr>
          <w:rFonts w:ascii="Aptos" w:hAnsi="Aptos"/>
          <w:b/>
          <w:color w:val="000000"/>
          <w:sz w:val="26"/>
        </w:rPr>
        <w:t>6.1 Pre-trade risk checks</w:t>
      </w:r>
    </w:p>
    <w:p>
      <w:pPr>
        <w:pStyle w:val="ListBullet"/>
        <w:spacing w:after="60" w:line="259" w:lineRule="auto"/>
      </w:pPr>
      <w:r>
        <w:rPr>
          <w:rFonts w:ascii="Aptos" w:hAnsi="Aptos"/>
          <w:color w:val="000000"/>
        </w:rPr>
        <w:t>Intent schema and configuration version are valid and currently enabled.</w:t>
      </w:r>
    </w:p>
    <w:p>
      <w:pPr>
        <w:pStyle w:val="ListBullet"/>
        <w:spacing w:after="60" w:line="259" w:lineRule="auto"/>
      </w:pPr>
      <w:r>
        <w:rPr>
          <w:rFonts w:ascii="Aptos" w:hAnsi="Aptos"/>
          <w:color w:val="000000"/>
        </w:rPr>
        <w:t>Market snapshot is healthy, fresh and within the strategy trading session.</w:t>
      </w:r>
    </w:p>
    <w:p>
      <w:pPr>
        <w:pStyle w:val="ListBullet"/>
        <w:spacing w:after="60" w:line="259" w:lineRule="auto"/>
      </w:pPr>
      <w:r>
        <w:rPr>
          <w:rFonts w:ascii="Aptos" w:hAnsi="Aptos"/>
          <w:color w:val="000000"/>
        </w:rPr>
        <w:t>Instrument contract is active, sufficiently far from expiry and consistent with the intended product.</w:t>
      </w:r>
    </w:p>
    <w:p>
      <w:pPr>
        <w:pStyle w:val="ListBullet"/>
        <w:spacing w:after="60" w:line="259" w:lineRule="auto"/>
      </w:pPr>
      <w:r>
        <w:rPr>
          <w:rFonts w:ascii="Aptos" w:hAnsi="Aptos"/>
          <w:color w:val="000000"/>
        </w:rPr>
        <w:t>Proposed risk fits strategy, underlying, product, portfolio and daily drawdown limits.</w:t>
      </w:r>
    </w:p>
    <w:p>
      <w:pPr>
        <w:pStyle w:val="ListBullet"/>
        <w:spacing w:after="60" w:line="259" w:lineRule="auto"/>
      </w:pPr>
      <w:r>
        <w:rPr>
          <w:rFonts w:ascii="Aptos" w:hAnsi="Aptos"/>
          <w:color w:val="000000"/>
        </w:rPr>
        <w:t>Portfolio Greeks, correlated exposure and concentration remain within limits after the proposed fill.</w:t>
      </w:r>
    </w:p>
    <w:p>
      <w:pPr>
        <w:pStyle w:val="ListBullet"/>
        <w:spacing w:after="60" w:line="259" w:lineRule="auto"/>
      </w:pPr>
      <w:r>
        <w:rPr>
          <w:rFonts w:ascii="Aptos" w:hAnsi="Aptos"/>
          <w:color w:val="000000"/>
        </w:rPr>
        <w:t>Margin and cash buffers remain above thresholds under current and stressed assumptions.</w:t>
      </w:r>
    </w:p>
    <w:p>
      <w:pPr>
        <w:pStyle w:val="ListBullet"/>
        <w:spacing w:after="60" w:line="259" w:lineRule="auto"/>
      </w:pPr>
      <w:r>
        <w:rPr>
          <w:rFonts w:ascii="Aptos" w:hAnsi="Aptos"/>
          <w:color w:val="000000"/>
        </w:rPr>
        <w:t>Bid-ask spread, depth, expected slippage and freeze quantity satisfy execution policy.</w:t>
      </w:r>
    </w:p>
    <w:p>
      <w:pPr>
        <w:pStyle w:val="ListBullet"/>
        <w:spacing w:after="60" w:line="259" w:lineRule="auto"/>
      </w:pPr>
      <w:r>
        <w:rPr>
          <w:rFonts w:ascii="Aptos" w:hAnsi="Aptos"/>
          <w:color w:val="000000"/>
        </w:rPr>
        <w:t>No kill switch, daily loss lock, broker-degraded state or unresolved reconciliation break is active.</w:t>
      </w:r>
    </w:p>
    <w:p>
      <w:pPr>
        <w:pStyle w:val="Heading2"/>
        <w:keepNext/>
        <w:spacing w:before="180" w:after="100"/>
      </w:pPr>
      <w:r>
        <w:rPr>
          <w:rFonts w:ascii="Aptos" w:hAnsi="Aptos"/>
          <w:b/>
          <w:color w:val="000000"/>
          <w:sz w:val="26"/>
        </w:rPr>
        <w:t>6.2 Exit authority</w:t>
      </w:r>
    </w:p>
    <w:p>
      <w:pPr>
        <w:keepLines w:val="0"/>
        <w:spacing w:after="120" w:line="269" w:lineRule="auto"/>
      </w:pPr>
      <w:r>
        <w:rPr>
          <w:rFonts w:ascii="Aptos" w:hAnsi="Aptos"/>
          <w:color w:val="000000"/>
        </w:rPr>
        <w:t>Strategies may select an approved exit template, but Layer 2 owns its execution. Initial stop, break-even movement, trailing stop, profit target, time exit and expiry exit must be deterministic and stored with the trade. Stops may only tighten unless a specific tested policy permits widening before entry. An AI service cannot pause, remove or reinterpret a stop after a position is open.</w:t>
      </w:r>
    </w:p>
    <w:p>
      <w:pPr>
        <w:pStyle w:val="Heading2"/>
        <w:keepNext/>
        <w:spacing w:before="180" w:after="100"/>
      </w:pPr>
      <w:r>
        <w:rPr>
          <w:rFonts w:ascii="Aptos" w:hAnsi="Aptos"/>
          <w:b/>
          <w:color w:val="000000"/>
          <w:sz w:val="26"/>
        </w:rPr>
        <w:t>6.3 Multi-leg handling</w:t>
      </w:r>
    </w:p>
    <w:p>
      <w:pPr>
        <w:keepLines w:val="0"/>
        <w:spacing w:after="120" w:line="269" w:lineRule="auto"/>
      </w:pPr>
      <w:r>
        <w:rPr>
          <w:rFonts w:ascii="Aptos" w:hAnsi="Aptos"/>
          <w:color w:val="000000"/>
        </w:rPr>
        <w:t>Options spreads require an execution plan that explicitly handles leg order, partial fills and residual naked exposure. The plan should define the maximum acceptable legging interval, permitted temporary exposure, reprice policy, abort condition and cleanup action. Broker basket orders can be used where reliable, but the internal state machine must still validate each leg and the final combined position.</w:t>
      </w:r>
    </w:p>
    <w:p>
      <w:pPr>
        <w:spacing w:after="80"/>
      </w:pPr>
    </w:p>
    <w:p>
      <w:pPr>
        <w:pStyle w:val="Heading1"/>
        <w:keepNext/>
        <w:spacing w:before="240" w:after="100"/>
      </w:pPr>
      <w:r>
        <w:rPr>
          <w:rFonts w:ascii="Aptos" w:hAnsi="Aptos"/>
          <w:b/>
          <w:color w:val="000000"/>
          <w:sz w:val="32"/>
        </w:rPr>
        <w:t>7 Layer 3 Strategy systems</w:t>
      </w:r>
    </w:p>
    <w:p>
      <w:pPr>
        <w:keepLines w:val="0"/>
        <w:spacing w:after="120" w:line="269" w:lineRule="auto"/>
      </w:pPr>
      <w:r>
        <w:rPr>
          <w:rFonts w:ascii="Aptos" w:hAnsi="Aptos"/>
          <w:color w:val="000000"/>
        </w:rPr>
        <w:t>Layer 3 contains independent strategy engines. Each engine reads trusted market and portfolio context, applies its own deterministic setup rules and produces a Trade Intent. Strategy engines do not send broker orders and do not form a sequential pipeline with other strategies.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System</w:t>
            </w:r>
          </w:p>
        </w:tc>
        <w:tc>
          <w:tcPr>
            <w:tcW w:type="dxa" w:w="129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Horizon</w:t>
            </w:r>
          </w:p>
        </w:tc>
        <w:tc>
          <w:tcPr>
            <w:tcW w:type="dxa" w:w="3672"/>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Typical output</w:t>
            </w:r>
          </w:p>
        </w:tc>
        <w:tc>
          <w:tcPr>
            <w:tcW w:type="dxa" w:w="288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Primary controls</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Positional stock and index options</w:t>
            </w:r>
          </w:p>
        </w:tc>
        <w:tc>
          <w:tcPr>
            <w:tcW w:type="dxa" w:w="129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Days to weeks</w:t>
            </w:r>
          </w:p>
        </w:tc>
        <w:tc>
          <w:tcPr>
            <w:tcW w:type="dxa" w:w="367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Debit spreads, defined-risk credit structures, calendars or condors selected from approved templates.</w:t>
            </w:r>
          </w:p>
        </w:tc>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Gap risk, volatility regime, liquidity, expiry concentration and assignment or settlement behavior.</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Directional long options</w:t>
            </w:r>
          </w:p>
        </w:tc>
        <w:tc>
          <w:tcPr>
            <w:tcW w:type="dxa" w:w="129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Hours to days</w:t>
            </w:r>
          </w:p>
        </w:tc>
        <w:tc>
          <w:tcPr>
            <w:tcW w:type="dxa" w:w="367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Long call or put with premium-at-risk sizing and deterministic technical entry.</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Theta decay, IV crush, spread quality and maximum premium loss.</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CAS microstructure</w:t>
            </w:r>
          </w:p>
        </w:tc>
        <w:tc>
          <w:tcPr>
            <w:tcW w:type="dxa" w:w="129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Seconds to minutes or intraday</w:t>
            </w:r>
          </w:p>
        </w:tc>
        <w:tc>
          <w:tcPr>
            <w:tcW w:type="dxa" w:w="367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Order-flow or microstructure features interpreted through rules, with optional bounded AI classification outside the critical action loop.</w:t>
            </w:r>
          </w:p>
        </w:tc>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Feed quality, computation latency, slippage, false liquidity and rapid regime shifts.</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Positional commodities</w:t>
            </w:r>
          </w:p>
        </w:tc>
        <w:tc>
          <w:tcPr>
            <w:tcW w:type="dxa" w:w="129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Days to weeks</w:t>
            </w:r>
          </w:p>
        </w:tc>
        <w:tc>
          <w:tcPr>
            <w:tcW w:type="dxa" w:w="367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Trend, breakout, pullback or options structures on approved MCX products.</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Rollover, overnight gaps, international reference markets, currency and scheduled event risk.</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Directional commodity futures</w:t>
            </w:r>
          </w:p>
        </w:tc>
        <w:tc>
          <w:tcPr>
            <w:tcW w:type="dxa" w:w="129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Intraday or positional</w:t>
            </w:r>
          </w:p>
        </w:tc>
        <w:tc>
          <w:tcPr>
            <w:tcW w:type="dxa" w:w="367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Rule-based futures entries with two-leg exits, stop movement and trailing policies.</w:t>
            </w:r>
          </w:p>
        </w:tc>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Leverage, gap risk, contract rollover, exchange limits and liquidity by session.</w:t>
            </w:r>
          </w:p>
        </w:tc>
      </w:tr>
    </w:tbl>
    <w:p>
      <w:pPr>
        <w:spacing w:after="40"/>
      </w:pPr>
    </w:p>
    <w:p>
      <w:pPr>
        <w:pStyle w:val="Heading2"/>
        <w:keepNext/>
        <w:spacing w:before="180" w:after="100"/>
      </w:pPr>
      <w:r>
        <w:rPr>
          <w:rFonts w:ascii="Aptos" w:hAnsi="Aptos"/>
          <w:b/>
          <w:color w:val="000000"/>
          <w:sz w:val="26"/>
        </w:rPr>
        <w:t>7.1 Weekly regime selection</w:t>
      </w:r>
    </w:p>
    <w:p>
      <w:pPr>
        <w:keepLines w:val="0"/>
        <w:spacing w:after="120" w:line="269" w:lineRule="auto"/>
      </w:pPr>
      <w:r>
        <w:rPr>
          <w:rFonts w:ascii="Aptos" w:hAnsi="Aptos"/>
          <w:color w:val="000000"/>
        </w:rPr>
        <w:t>A weekly regime selector may combine deterministic technical and volatility classifications with the macro agent's bounded assessment. It selects from approved strategy families such as bullish debit spread, bearish debit spread, neutral defined-risk premium structure, calendar spread or no trade. Selection should remain valid only until its expiry timestamp and must be rechecked when a material event or regime-break condition occurs.</w:t>
      </w:r>
    </w:p>
    <w:p>
      <w:pPr>
        <w:pStyle w:val="Heading2"/>
        <w:keepNext/>
        <w:spacing w:before="180" w:after="100"/>
      </w:pPr>
      <w:r>
        <w:rPr>
          <w:rFonts w:ascii="Aptos" w:hAnsi="Aptos"/>
          <w:b/>
          <w:color w:val="000000"/>
          <w:sz w:val="26"/>
        </w:rPr>
        <w:t>7.2 Confidence is not permission</w:t>
      </w:r>
    </w:p>
    <w:p>
      <w:pPr>
        <w:keepLines w:val="0"/>
        <w:spacing w:after="120" w:line="269" w:lineRule="auto"/>
      </w:pPr>
      <w:r>
        <w:rPr>
          <w:rFonts w:ascii="Aptos" w:hAnsi="Aptos"/>
          <w:color w:val="000000"/>
        </w:rPr>
        <w:t>A strategy score or AI confidence score is evidence, not execution authority. A proposed trade becomes eligible only when the required gates independently agree: grounded macro evidence, technical setup, volatility regime, liquidity, portfolio capacity, operational health and deterministic pre-trade risk. A high AI score cannot compensate for a failed hard gate.</w:t>
      </w:r>
    </w:p>
    <w:p>
      <w:pPr>
        <w:pStyle w:val="Heading2"/>
        <w:keepNext/>
        <w:spacing w:before="180" w:after="100"/>
      </w:pPr>
      <w:r>
        <w:rPr>
          <w:rFonts w:ascii="Aptos" w:hAnsi="Aptos"/>
          <w:b/>
          <w:color w:val="000000"/>
          <w:sz w:val="26"/>
        </w:rPr>
        <w:t>7.3 Common Trade Intent</w:t>
      </w:r>
    </w:p>
    <w:p>
      <w:pPr>
        <w:keepLines w:val="0"/>
        <w:spacing w:after="120" w:line="269" w:lineRule="auto"/>
      </w:pPr>
      <w:r>
        <w:rPr>
          <w:rFonts w:ascii="Aptos" w:hAnsi="Aptos"/>
          <w:color w:val="000000"/>
        </w:rPr>
        <w:t>All strategy systems publish the same contract so Layer 2 can apply consistent controls. Strategy-specific details belong in a versioned evidence payload, not in direct broker instructions. The intent should be immutable after publication; a revision receives a new identifier and links to the intent it supersedes.</w:t>
      </w:r>
    </w:p>
    <w:p>
      <w:pPr>
        <w:spacing w:after="80"/>
      </w:pPr>
    </w:p>
    <w:p>
      <w:pPr>
        <w:pStyle w:val="Heading1"/>
        <w:keepNext/>
        <w:spacing w:before="240" w:after="100"/>
      </w:pPr>
      <w:r>
        <w:rPr>
          <w:rFonts w:ascii="Aptos" w:hAnsi="Aptos"/>
          <w:b/>
          <w:color w:val="000000"/>
          <w:sz w:val="32"/>
        </w:rPr>
        <w:t>8 Layer 4 Analytics and self improvement</w:t>
      </w:r>
    </w:p>
    <w:p>
      <w:pPr>
        <w:keepLines w:val="0"/>
        <w:spacing w:after="120" w:line="269" w:lineRule="auto"/>
      </w:pPr>
      <w:r>
        <w:rPr>
          <w:rFonts w:ascii="Aptos" w:hAnsi="Aptos"/>
          <w:color w:val="000000"/>
        </w:rPr>
        <w:t>Layer 4 is asynchronous and has no direct broker credentials. It learns from market snapshots, decision records, risk responses, order events, fills and outcomes. Its output is a candidate artifact that must be validated and promoted, not a mutation of live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Capability</w:t>
            </w:r>
          </w:p>
        </w:tc>
        <w:tc>
          <w:tcPr>
            <w:tcW w:type="dxa" w:w="741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Output and constraint</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Macro and regime agent</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Summarize approved macro sources, classify impact and uncertainty, identify contradictions and emit a bounded weekly regime proposal.</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Post-trade evaluator</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Compare thesis, expected behavior, execution quality and realized outcome; separate strategy error from execution or data error.</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Log analyst</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Cluster recurring rejects, slippage, stale-data events, missed exits, reconciliation breaks and unusual operational sequences.</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Backtest and replay</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Reproduce live decisions against recorded snapshots and test candidates without lookahead or data leakage.</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Shadow execution</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Run candidate versions on live data without placing orders and compare them with production decisions.</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Parameter proposer</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Suggest changes only within approved fields and ranges, with evidence, sample size, expected effect and rollback criteria.</w:t>
            </w:r>
          </w:p>
        </w:tc>
      </w:tr>
      <w:tr>
        <w:trPr>
          <w:cantSplit/>
        </w:trPr>
        <w:tc>
          <w:tcPr>
            <w:tcW w:type="dxa" w:w="237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Registry</w:t>
            </w:r>
          </w:p>
        </w:tc>
        <w:tc>
          <w:tcPr>
            <w:tcW w:type="dxa" w:w="741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Version models, prompts, retrieval sources, schemas, feature definitions, strategy parameters and evaluation results.</w:t>
            </w:r>
          </w:p>
        </w:tc>
      </w:tr>
      <w:tr>
        <w:trPr>
          <w:cantSplit/>
        </w:trPr>
        <w:tc>
          <w:tcPr>
            <w:tcW w:type="dxa" w:w="237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Promotion gate</w:t>
            </w:r>
          </w:p>
        </w:tc>
        <w:tc>
          <w:tcPr>
            <w:tcW w:type="dxa" w:w="741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Require deterministic tests, performance thresholds, risk checks, shadow duration and approval policy before deployment.</w:t>
            </w:r>
          </w:p>
        </w:tc>
      </w:tr>
    </w:tbl>
    <w:p>
      <w:pPr>
        <w:spacing w:after="40"/>
      </w:pPr>
    </w:p>
    <w:p>
      <w:pPr>
        <w:pStyle w:val="Heading2"/>
        <w:keepNext/>
        <w:spacing w:before="180" w:after="100"/>
      </w:pPr>
      <w:r>
        <w:rPr>
          <w:rFonts w:ascii="Aptos" w:hAnsi="Aptos"/>
          <w:b/>
          <w:color w:val="000000"/>
          <w:sz w:val="26"/>
        </w:rPr>
        <w:t>8.1 Evaluator loop</w:t>
      </w:r>
    </w:p>
    <w:p>
      <w:pPr>
        <w:spacing w:after="80" w:line="259" w:lineRule="auto"/>
        <w:ind w:left="317" w:hanging="317"/>
      </w:pPr>
      <w:r>
        <w:rPr>
          <w:rFonts w:ascii="Aptos" w:hAnsi="Aptos"/>
          <w:color w:val="000000"/>
        </w:rPr>
        <w:t>1.  Collect a complete episode containing inputs, decisions, risk responses, broker events and outcome labels.</w:t>
      </w:r>
    </w:p>
    <w:p>
      <w:pPr>
        <w:spacing w:after="80" w:line="259" w:lineRule="auto"/>
        <w:ind w:left="317" w:hanging="317"/>
      </w:pPr>
      <w:r>
        <w:rPr>
          <w:rFonts w:ascii="Aptos" w:hAnsi="Aptos"/>
          <w:color w:val="000000"/>
        </w:rPr>
        <w:t>2.  Classify the episode into market, strategy, execution, risk, data or infrastructure causes using deterministic facts first.</w:t>
      </w:r>
    </w:p>
    <w:p>
      <w:pPr>
        <w:spacing w:after="80" w:line="259" w:lineRule="auto"/>
        <w:ind w:left="317" w:hanging="317"/>
      </w:pPr>
      <w:r>
        <w:rPr>
          <w:rFonts w:ascii="Aptos" w:hAnsi="Aptos"/>
          <w:color w:val="000000"/>
        </w:rPr>
        <w:t>3.  Allow AI to summarize ambiguity, compare the thesis with observed events and propose bounded hypotheses.</w:t>
      </w:r>
    </w:p>
    <w:p>
      <w:pPr>
        <w:spacing w:after="80" w:line="259" w:lineRule="auto"/>
        <w:ind w:left="317" w:hanging="317"/>
      </w:pPr>
      <w:r>
        <w:rPr>
          <w:rFonts w:ascii="Aptos" w:hAnsi="Aptos"/>
          <w:color w:val="000000"/>
        </w:rPr>
        <w:t>4.  Replay the episode with the current version and any candidate version using the same snapshots.</w:t>
      </w:r>
    </w:p>
    <w:p>
      <w:pPr>
        <w:spacing w:after="80" w:line="259" w:lineRule="auto"/>
        <w:ind w:left="317" w:hanging="317"/>
      </w:pPr>
      <w:r>
        <w:rPr>
          <w:rFonts w:ascii="Aptos" w:hAnsi="Aptos"/>
          <w:color w:val="000000"/>
        </w:rPr>
        <w:t>5.  Aggregate results across a sufficient sample and across relevant regimes. Reject changes that improve one slice by degrading risk elsewhere.</w:t>
      </w:r>
    </w:p>
    <w:p>
      <w:pPr>
        <w:spacing w:after="80" w:line="259" w:lineRule="auto"/>
        <w:ind w:left="317" w:hanging="317"/>
      </w:pPr>
      <w:r>
        <w:rPr>
          <w:rFonts w:ascii="Aptos" w:hAnsi="Aptos"/>
          <w:color w:val="000000"/>
        </w:rPr>
        <w:t>6.  Run the candidate in shadow mode, then canary allocation if policy permits, with automatic rollback thresholds.</w:t>
      </w:r>
    </w:p>
    <w:p>
      <w:pPr>
        <w:pStyle w:val="Heading2"/>
        <w:keepNext/>
        <w:spacing w:before="180" w:after="100"/>
      </w:pPr>
      <w:r>
        <w:rPr>
          <w:rFonts w:ascii="Aptos" w:hAnsi="Aptos"/>
          <w:b/>
          <w:color w:val="000000"/>
          <w:sz w:val="26"/>
        </w:rPr>
        <w:t>8.2 Avoiding self-confirming evaluation</w:t>
      </w:r>
    </w:p>
    <w:p>
      <w:pPr>
        <w:keepLines w:val="0"/>
        <w:spacing w:after="120" w:line="269" w:lineRule="auto"/>
      </w:pPr>
      <w:r>
        <w:rPr>
          <w:rFonts w:ascii="Aptos" w:hAnsi="Aptos"/>
          <w:color w:val="000000"/>
        </w:rPr>
        <w:t>The proposer and evaluator should not rely on the same prompt and unchallenged narrative. Deterministic metrics remain primary. Where an LLM evaluates another LLM output, use explicit rubrics, evidence citations, counterexamples and disagreement handling. Retain a stable holdout set of historical episodes so repeated tuning does not optimize only the recent window.</w:t>
      </w:r>
    </w:p>
    <w:p>
      <w:pPr>
        <w:spacing w:after="80"/>
      </w:pPr>
    </w:p>
    <w:p>
      <w:pPr>
        <w:pStyle w:val="Heading1"/>
        <w:keepNext/>
        <w:spacing w:before="240" w:after="100"/>
      </w:pPr>
      <w:r>
        <w:rPr>
          <w:rFonts w:ascii="Aptos" w:hAnsi="Aptos"/>
          <w:b/>
          <w:color w:val="000000"/>
          <w:sz w:val="32"/>
        </w:rPr>
        <w:t>9 AI operating boundary and grounding</w:t>
      </w:r>
    </w:p>
    <w:p>
      <w:pPr>
        <w:pStyle w:val="Heading2"/>
        <w:keepNext/>
        <w:spacing w:before="180" w:after="100"/>
      </w:pPr>
      <w:r>
        <w:rPr>
          <w:rFonts w:ascii="Aptos" w:hAnsi="Aptos"/>
          <w:b/>
          <w:color w:val="000000"/>
          <w:sz w:val="26"/>
        </w:rPr>
        <w:t>9.1 Allowed and prohibited actions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89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AI may</w:t>
            </w:r>
          </w:p>
        </w:tc>
        <w:tc>
          <w:tcPr>
            <w:tcW w:type="dxa" w:w="489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AI must not</w:t>
            </w:r>
          </w:p>
        </w:tc>
      </w:tr>
      <w:tr>
        <w:trPr>
          <w:cantSplit/>
        </w:trPr>
        <w:tc>
          <w:tcPr>
            <w:tcW w:type="dxa" w:w="489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Classify a macro or volatility regime from approved evidence.</w:t>
            </w:r>
          </w:p>
        </w:tc>
        <w:tc>
          <w:tcPr>
            <w:tcW w:type="dxa" w:w="489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Place, modify, cancel or retry a broker order.</w:t>
            </w:r>
          </w:p>
        </w:tc>
      </w:tr>
      <w:tr>
        <w:trPr>
          <w:cantSplit/>
        </w:trPr>
        <w:tc>
          <w:tcPr>
            <w:tcW w:type="dxa" w:w="489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Propose an approved strategy family or no-trade state.</w:t>
            </w:r>
          </w:p>
        </w:tc>
        <w:tc>
          <w:tcPr>
            <w:tcW w:type="dxa" w:w="489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Change quantity, stop, target or capital reservation on an open trade.</w:t>
            </w:r>
          </w:p>
        </w:tc>
      </w:tr>
      <w:tr>
        <w:trPr>
          <w:cantSplit/>
        </w:trPr>
        <w:tc>
          <w:tcPr>
            <w:tcW w:type="dxa" w:w="489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Recommend a parameter value inside a configured range.</w:t>
            </w:r>
          </w:p>
        </w:tc>
        <w:tc>
          <w:tcPr>
            <w:tcW w:type="dxa" w:w="489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Override pre-trade risk, margin, data quality or kill-switch decisions.</w:t>
            </w:r>
          </w:p>
        </w:tc>
      </w:tr>
      <w:tr>
        <w:trPr>
          <w:cantSplit/>
        </w:trPr>
        <w:tc>
          <w:tcPr>
            <w:tcW w:type="dxa" w:w="489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Explain anomalies and create an incident summary.</w:t>
            </w:r>
          </w:p>
        </w:tc>
        <w:tc>
          <w:tcPr>
            <w:tcW w:type="dxa" w:w="489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Execute shell commands or remediation actions in the production account.</w:t>
            </w:r>
          </w:p>
        </w:tc>
      </w:tr>
      <w:tr>
        <w:trPr>
          <w:cantSplit/>
        </w:trPr>
        <w:tc>
          <w:tcPr>
            <w:tcW w:type="dxa" w:w="489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Generate research hypotheses and evaluation labels.</w:t>
            </w:r>
          </w:p>
        </w:tc>
        <w:tc>
          <w:tcPr>
            <w:tcW w:type="dxa" w:w="489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Promote its own proposal or write directly to production configuration.</w:t>
            </w:r>
          </w:p>
        </w:tc>
      </w:tr>
    </w:tbl>
    <w:p>
      <w:pPr>
        <w:spacing w:after="40"/>
      </w:pPr>
    </w:p>
    <w:p>
      <w:pPr>
        <w:pStyle w:val="Heading2"/>
        <w:keepNext/>
        <w:spacing w:before="180" w:after="100"/>
      </w:pPr>
      <w:r>
        <w:rPr>
          <w:rFonts w:ascii="Aptos" w:hAnsi="Aptos"/>
          <w:b/>
          <w:color w:val="000000"/>
          <w:sz w:val="26"/>
        </w:rPr>
        <w:t>9.2 Grounded response contract</w:t>
      </w:r>
    </w:p>
    <w:p>
      <w:pPr>
        <w:keepLines w:val="0"/>
        <w:spacing w:after="120" w:line="269" w:lineRule="auto"/>
      </w:pPr>
      <w:r>
        <w:rPr>
          <w:rFonts w:ascii="Aptos" w:hAnsi="Aptos"/>
          <w:color w:val="000000"/>
        </w:rPr>
        <w:t>Each AI response should use a strict schema and be rejected when parsing, evidence or policy validation fails. Free-form prose can accompany an accepted response for operators, but it should never be consumed as an executable instruction.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Field</w:t>
            </w:r>
          </w:p>
        </w:tc>
        <w:tc>
          <w:tcPr>
            <w:tcW w:type="dxa" w:w="770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Requirement</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decision_id</w:t>
            </w:r>
          </w:p>
        </w:tc>
        <w:tc>
          <w:tcPr>
            <w:tcW w:type="dxa" w:w="77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Unique identifier tied to a scheduled evaluation.</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as_of_time</w:t>
            </w:r>
          </w:p>
        </w:tc>
        <w:tc>
          <w:tcPr>
            <w:tcW w:type="dxa" w:w="77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Time boundary beyond which no source material may be used.</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regime</w:t>
            </w:r>
          </w:p>
        </w:tc>
        <w:tc>
          <w:tcPr>
            <w:tcW w:type="dxa" w:w="77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One value from an approved enumeration.</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strategy_family</w:t>
            </w:r>
          </w:p>
        </w:tc>
        <w:tc>
          <w:tcPr>
            <w:tcW w:type="dxa" w:w="77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One approved family or NO_TRADE.</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confidence</w:t>
            </w:r>
          </w:p>
        </w:tc>
        <w:tc>
          <w:tcPr>
            <w:tcW w:type="dxa" w:w="77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Calibrated estimate plus uncertainty; never a permission flag.</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evidence</w:t>
            </w:r>
          </w:p>
        </w:tc>
        <w:tc>
          <w:tcPr>
            <w:tcW w:type="dxa" w:w="77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Approved source identifiers, publication times and concise supporting facts.</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contradictions</w:t>
            </w:r>
          </w:p>
        </w:tc>
        <w:tc>
          <w:tcPr>
            <w:tcW w:type="dxa" w:w="77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Material evidence that weakens the conclusion.</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valid_until</w:t>
            </w:r>
          </w:p>
        </w:tc>
        <w:tc>
          <w:tcPr>
            <w:tcW w:type="dxa" w:w="77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Short expiry appropriate to the decision horizon.</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parameter_proposals</w:t>
            </w:r>
          </w:p>
        </w:tc>
        <w:tc>
          <w:tcPr>
            <w:tcW w:type="dxa" w:w="77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Only allow-listed fields inside configured minimum and maximum values.</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schema_version</w:t>
            </w:r>
          </w:p>
        </w:tc>
        <w:tc>
          <w:tcPr>
            <w:tcW w:type="dxa" w:w="77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Version required by the deterministic validator.</w:t>
            </w:r>
          </w:p>
        </w:tc>
      </w:tr>
    </w:tbl>
    <w:p>
      <w:pPr>
        <w:spacing w:after="40"/>
      </w:pPr>
    </w:p>
    <w:p>
      <w:pPr>
        <w:pStyle w:val="Heading2"/>
        <w:keepNext/>
        <w:spacing w:before="180" w:after="100"/>
      </w:pPr>
      <w:r>
        <w:rPr>
          <w:rFonts w:ascii="Aptos" w:hAnsi="Aptos"/>
          <w:b/>
          <w:color w:val="000000"/>
          <w:sz w:val="26"/>
        </w:rPr>
        <w:t>9.3 Prompt injection and source manipulation</w:t>
      </w:r>
    </w:p>
    <w:p>
      <w:pPr>
        <w:pStyle w:val="ListBullet"/>
        <w:spacing w:after="60" w:line="259" w:lineRule="auto"/>
      </w:pPr>
      <w:r>
        <w:rPr>
          <w:rFonts w:ascii="Aptos" w:hAnsi="Aptos"/>
          <w:color w:val="000000"/>
        </w:rPr>
        <w:t>Treat all retrieved text as untrusted data, never as operating instructions.</w:t>
      </w:r>
    </w:p>
    <w:p>
      <w:pPr>
        <w:pStyle w:val="ListBullet"/>
        <w:spacing w:after="60" w:line="259" w:lineRule="auto"/>
      </w:pPr>
      <w:r>
        <w:rPr>
          <w:rFonts w:ascii="Aptos" w:hAnsi="Aptos"/>
          <w:color w:val="000000"/>
        </w:rPr>
        <w:t>Use a source allow-list, metadata validation, content sanitization and time-bounded retrieval.</w:t>
      </w:r>
    </w:p>
    <w:p>
      <w:pPr>
        <w:pStyle w:val="ListBullet"/>
        <w:spacing w:after="60" w:line="259" w:lineRule="auto"/>
      </w:pPr>
      <w:r>
        <w:rPr>
          <w:rFonts w:ascii="Aptos" w:hAnsi="Aptos"/>
          <w:color w:val="000000"/>
        </w:rPr>
        <w:t>Keep broker credentials, system tools and production configuration unavailable to AI runtimes.</w:t>
      </w:r>
    </w:p>
    <w:p>
      <w:pPr>
        <w:pStyle w:val="ListBullet"/>
        <w:spacing w:after="60" w:line="259" w:lineRule="auto"/>
      </w:pPr>
      <w:r>
        <w:rPr>
          <w:rFonts w:ascii="Aptos" w:hAnsi="Aptos"/>
          <w:color w:val="000000"/>
        </w:rPr>
        <w:t>Require cross-source corroboration for market-moving claims and surface contradictions explicitly.</w:t>
      </w:r>
    </w:p>
    <w:p>
      <w:pPr>
        <w:pStyle w:val="ListBullet"/>
        <w:spacing w:after="60" w:line="259" w:lineRule="auto"/>
      </w:pPr>
      <w:r>
        <w:rPr>
          <w:rFonts w:ascii="Aptos" w:hAnsi="Aptos"/>
          <w:color w:val="000000"/>
        </w:rPr>
        <w:t>Store the exact retrieved evidence and model version with the output for later replay.</w:t>
      </w:r>
    </w:p>
    <w:p>
      <w:pPr>
        <w:pStyle w:val="ListBullet"/>
        <w:spacing w:after="60" w:line="259" w:lineRule="auto"/>
      </w:pPr>
      <w:r>
        <w:rPr>
          <w:rFonts w:ascii="Aptos" w:hAnsi="Aptos"/>
          <w:color w:val="000000"/>
        </w:rPr>
        <w:t>Default to NO_TRADE or preserve the existing production configuration when evidence is missing or malformed.</w:t>
      </w:r>
    </w:p>
    <w:p>
      <w:pPr>
        <w:spacing w:after="80"/>
      </w:pPr>
    </w:p>
    <w:p>
      <w:pPr>
        <w:pStyle w:val="Heading1"/>
        <w:keepNext/>
        <w:spacing w:before="240" w:after="100"/>
      </w:pPr>
      <w:r>
        <w:rPr>
          <w:rFonts w:ascii="Aptos" w:hAnsi="Aptos"/>
          <w:b/>
          <w:color w:val="000000"/>
          <w:sz w:val="32"/>
        </w:rPr>
        <w:t>10 End to end operating flows</w:t>
      </w:r>
    </w:p>
    <w:p>
      <w:pPr>
        <w:pStyle w:val="Heading2"/>
        <w:keepNext/>
        <w:spacing w:before="180" w:after="100"/>
      </w:pPr>
      <w:r>
        <w:rPr>
          <w:rFonts w:ascii="Aptos" w:hAnsi="Aptos"/>
          <w:b/>
          <w:color w:val="000000"/>
          <w:sz w:val="26"/>
        </w:rPr>
        <w:t>10.1 Weekly positional options flow</w:t>
      </w:r>
    </w:p>
    <w:p>
      <w:pPr>
        <w:spacing w:after="80" w:line="259" w:lineRule="auto"/>
        <w:ind w:left="317" w:hanging="317"/>
      </w:pPr>
      <w:r>
        <w:rPr>
          <w:rFonts w:ascii="Aptos" w:hAnsi="Aptos"/>
          <w:color w:val="000000"/>
        </w:rPr>
        <w:t>1.  The scheduler closes the weekly evidence window and requests a trusted technical, volatility and macro snapshot.</w:t>
      </w:r>
    </w:p>
    <w:p>
      <w:pPr>
        <w:spacing w:after="80" w:line="259" w:lineRule="auto"/>
        <w:ind w:left="317" w:hanging="317"/>
      </w:pPr>
      <w:r>
        <w:rPr>
          <w:rFonts w:ascii="Aptos" w:hAnsi="Aptos"/>
          <w:color w:val="000000"/>
        </w:rPr>
        <w:t>2.  Deterministic services compute trend, momentum, realized volatility, option-chain quality, IV structure and liquidity state.</w:t>
      </w:r>
    </w:p>
    <w:p>
      <w:pPr>
        <w:spacing w:after="80" w:line="259" w:lineRule="auto"/>
        <w:ind w:left="317" w:hanging="317"/>
      </w:pPr>
      <w:r>
        <w:rPr>
          <w:rFonts w:ascii="Aptos" w:hAnsi="Aptos"/>
          <w:color w:val="000000"/>
        </w:rPr>
        <w:t>3.  The macro agent retrieves approved evidence and emits a structured regime proposal with uncertainty and expiry.</w:t>
      </w:r>
    </w:p>
    <w:p>
      <w:pPr>
        <w:spacing w:after="80" w:line="259" w:lineRule="auto"/>
        <w:ind w:left="317" w:hanging="317"/>
      </w:pPr>
      <w:r>
        <w:rPr>
          <w:rFonts w:ascii="Aptos" w:hAnsi="Aptos"/>
          <w:color w:val="000000"/>
        </w:rPr>
        <w:t>4.  The proposal validator checks schema, sources, timestamps, allowed values and parameter bounds.</w:t>
      </w:r>
    </w:p>
    <w:p>
      <w:pPr>
        <w:spacing w:after="80" w:line="259" w:lineRule="auto"/>
        <w:ind w:left="317" w:hanging="317"/>
      </w:pPr>
      <w:r>
        <w:rPr>
          <w:rFonts w:ascii="Aptos" w:hAnsi="Aptos"/>
          <w:color w:val="000000"/>
        </w:rPr>
        <w:t>5.  The positional strategy combines the accepted macro assessment with deterministic technical and volatility gates and may emit NO_TRADE.</w:t>
      </w:r>
    </w:p>
    <w:p>
      <w:pPr>
        <w:spacing w:after="80" w:line="259" w:lineRule="auto"/>
        <w:ind w:left="317" w:hanging="317"/>
      </w:pPr>
      <w:r>
        <w:rPr>
          <w:rFonts w:ascii="Aptos" w:hAnsi="Aptos"/>
          <w:color w:val="000000"/>
        </w:rPr>
        <w:t>6.  A Trade Intent describes the proposed defined-risk structure, entry conditions, maximum loss and exit template.</w:t>
      </w:r>
    </w:p>
    <w:p>
      <w:pPr>
        <w:spacing w:after="80" w:line="259" w:lineRule="auto"/>
        <w:ind w:left="317" w:hanging="317"/>
      </w:pPr>
      <w:r>
        <w:rPr>
          <w:rFonts w:ascii="Aptos" w:hAnsi="Aptos"/>
          <w:color w:val="000000"/>
        </w:rPr>
        <w:t>7.  Layer 2 calculates portfolio impact, size, margin, liquidity and stress exposure, then approves, resizes, defers or rejects the intent.</w:t>
      </w:r>
    </w:p>
    <w:p>
      <w:pPr>
        <w:spacing w:after="80" w:line="259" w:lineRule="auto"/>
        <w:ind w:left="317" w:hanging="317"/>
      </w:pPr>
      <w:r>
        <w:rPr>
          <w:rFonts w:ascii="Aptos" w:hAnsi="Aptos"/>
          <w:color w:val="000000"/>
        </w:rPr>
        <w:t>8.  The execution planner builds multi-leg orders. The OMS sends idempotent broker requests and records every acknowledgement and fill.</w:t>
      </w:r>
    </w:p>
    <w:p>
      <w:pPr>
        <w:spacing w:after="80" w:line="259" w:lineRule="auto"/>
        <w:ind w:left="317" w:hanging="317"/>
      </w:pPr>
      <w:r>
        <w:rPr>
          <w:rFonts w:ascii="Aptos" w:hAnsi="Aptos"/>
          <w:color w:val="000000"/>
        </w:rPr>
        <w:t>9.  Layer 2 attaches deterministic protection and manages the position until stop, target, time, expiry or kill-switch exit.</w:t>
      </w:r>
    </w:p>
    <w:p>
      <w:pPr>
        <w:spacing w:after="80" w:line="259" w:lineRule="auto"/>
        <w:ind w:left="317" w:hanging="317"/>
      </w:pPr>
      <w:r>
        <w:rPr>
          <w:rFonts w:ascii="Aptos" w:hAnsi="Aptos"/>
          <w:color w:val="000000"/>
        </w:rPr>
        <w:t>10.  The complete episode flows asynchronously into Layer 4 for attribution and evaluation.</w:t>
      </w:r>
    </w:p>
    <w:p>
      <w:pPr>
        <w:pStyle w:val="Heading2"/>
        <w:keepNext/>
        <w:spacing w:before="180" w:after="100"/>
      </w:pPr>
      <w:r>
        <w:rPr>
          <w:rFonts w:ascii="Aptos" w:hAnsi="Aptos"/>
          <w:b/>
          <w:color w:val="000000"/>
          <w:sz w:val="26"/>
        </w:rPr>
        <w:t>10.2 Commodity futures flow</w:t>
      </w:r>
    </w:p>
    <w:p>
      <w:pPr>
        <w:keepLines w:val="0"/>
        <w:spacing w:after="120" w:line="269" w:lineRule="auto"/>
      </w:pPr>
      <w:r>
        <w:rPr>
          <w:rFonts w:ascii="Aptos" w:hAnsi="Aptos"/>
          <w:color w:val="000000"/>
        </w:rPr>
        <w:t>Commodity futures follow the same intent-to-risk-to-execution pattern. The Feature Snapshot additionally includes contract rollover state, session liquidity, international reference movement where licensed and available, currency context and scheduled event proximity. A two-leg position is represented as one trade with two child allocations, each having its own exit state. When the first target is reached, Layer 2 moves the second leg stop to cost and activates the configured trailing policy; stop movement remains monotonic in the protective direction.</w:t>
      </w:r>
    </w:p>
    <w:p>
      <w:pPr>
        <w:pStyle w:val="Heading2"/>
        <w:keepNext/>
        <w:spacing w:before="180" w:after="100"/>
      </w:pPr>
      <w:r>
        <w:rPr>
          <w:rFonts w:ascii="Aptos" w:hAnsi="Aptos"/>
          <w:b/>
          <w:color w:val="000000"/>
          <w:sz w:val="26"/>
        </w:rPr>
        <w:t>10.3 Restart and recovery flow</w:t>
      </w:r>
    </w:p>
    <w:p>
      <w:pPr>
        <w:spacing w:after="80" w:line="259" w:lineRule="auto"/>
        <w:ind w:left="317" w:hanging="317"/>
      </w:pPr>
      <w:r>
        <w:rPr>
          <w:rFonts w:ascii="Aptos" w:hAnsi="Aptos"/>
          <w:color w:val="000000"/>
        </w:rPr>
        <w:t>1.  Start in recovery mode with new entries disabled.</w:t>
      </w:r>
    </w:p>
    <w:p>
      <w:pPr>
        <w:spacing w:after="80" w:line="259" w:lineRule="auto"/>
        <w:ind w:left="317" w:hanging="317"/>
      </w:pPr>
      <w:r>
        <w:rPr>
          <w:rFonts w:ascii="Aptos" w:hAnsi="Aptos"/>
          <w:color w:val="000000"/>
        </w:rPr>
        <w:t>2.  Fetch broker positions, orders, trades, balances and session status.</w:t>
      </w:r>
    </w:p>
    <w:p>
      <w:pPr>
        <w:spacing w:after="80" w:line="259" w:lineRule="auto"/>
        <w:ind w:left="317" w:hanging="317"/>
      </w:pPr>
      <w:r>
        <w:rPr>
          <w:rFonts w:ascii="Aptos" w:hAnsi="Aptos"/>
          <w:color w:val="000000"/>
        </w:rPr>
        <w:t>3.  Load the latest durable internal checkpoint and unprocessed event offsets.</w:t>
      </w:r>
    </w:p>
    <w:p>
      <w:pPr>
        <w:spacing w:after="80" w:line="259" w:lineRule="auto"/>
        <w:ind w:left="317" w:hanging="317"/>
      </w:pPr>
      <w:r>
        <w:rPr>
          <w:rFonts w:ascii="Aptos" w:hAnsi="Aptos"/>
          <w:color w:val="000000"/>
        </w:rPr>
        <w:t>4.  Match broker objects to internal correlation identifiers and classify every difference.</w:t>
      </w:r>
    </w:p>
    <w:p>
      <w:pPr>
        <w:spacing w:after="80" w:line="259" w:lineRule="auto"/>
        <w:ind w:left="317" w:hanging="317"/>
      </w:pPr>
      <w:r>
        <w:rPr>
          <w:rFonts w:ascii="Aptos" w:hAnsi="Aptos"/>
          <w:color w:val="000000"/>
        </w:rPr>
        <w:t>5.  Reconstruct missing internal events from broker facts; never create broker activity merely to make internal state look consistent.</w:t>
      </w:r>
    </w:p>
    <w:p>
      <w:pPr>
        <w:spacing w:after="80" w:line="259" w:lineRule="auto"/>
        <w:ind w:left="317" w:hanging="317"/>
      </w:pPr>
      <w:r>
        <w:rPr>
          <w:rFonts w:ascii="Aptos" w:hAnsi="Aptos"/>
          <w:color w:val="000000"/>
        </w:rPr>
        <w:t>6.  Verify protection for every open position and apply only predefined recovery actions.</w:t>
      </w:r>
    </w:p>
    <w:p>
      <w:pPr>
        <w:spacing w:after="80" w:line="259" w:lineRule="auto"/>
        <w:ind w:left="317" w:hanging="317"/>
      </w:pPr>
      <w:r>
        <w:rPr>
          <w:rFonts w:ascii="Aptos" w:hAnsi="Aptos"/>
          <w:color w:val="000000"/>
        </w:rPr>
        <w:t>7.  Enable new entries only after reconciliation, feed health, clock sync and risk state are all healthy.</w:t>
      </w:r>
    </w:p>
    <w:p>
      <w:pPr>
        <w:pStyle w:val="Heading2"/>
        <w:keepNext/>
        <w:spacing w:before="180" w:after="100"/>
      </w:pPr>
      <w:r>
        <w:rPr>
          <w:rFonts w:ascii="Aptos" w:hAnsi="Aptos"/>
          <w:b/>
          <w:color w:val="000000"/>
          <w:sz w:val="26"/>
        </w:rPr>
        <w:t>10.4 Emergency flow</w:t>
      </w:r>
    </w:p>
    <w:p>
      <w:pPr>
        <w:keepLines w:val="0"/>
        <w:spacing w:after="120" w:line="269" w:lineRule="auto"/>
      </w:pPr>
      <w:r>
        <w:rPr>
          <w:rFonts w:ascii="Aptos" w:hAnsi="Aptos"/>
          <w:color w:val="000000"/>
        </w:rPr>
        <w:t>The kill switch is deterministic and has explicit trigger scopes: strategy, underlying, product, broker account or entire system. Depending on the incident, the action may block entries, cancel working entry orders, retain protective orders, or flatten positions. Flattening is not the universal first response because an unreliable broker connection can make repeated liquidation attempts dangerous. The runbook must define behavior for each trigger and confirm results through reconciliation.</w:t>
      </w:r>
    </w:p>
    <w:p>
      <w:pPr>
        <w:spacing w:after="80"/>
      </w:pPr>
    </w:p>
    <w:p>
      <w:pPr>
        <w:pStyle w:val="Heading1"/>
        <w:keepNext/>
        <w:spacing w:before="240" w:after="100"/>
      </w:pPr>
      <w:r>
        <w:rPr>
          <w:rFonts w:ascii="Aptos" w:hAnsi="Aptos"/>
          <w:b/>
          <w:color w:val="000000"/>
          <w:sz w:val="32"/>
        </w:rPr>
        <w:t>11 Observability fault remediation and resilience</w:t>
      </w:r>
    </w:p>
    <w:p>
      <w:pPr>
        <w:keepLines w:val="0"/>
        <w:spacing w:after="120" w:line="269" w:lineRule="auto"/>
      </w:pPr>
      <w:r>
        <w:rPr>
          <w:rFonts w:ascii="Aptos" w:hAnsi="Aptos"/>
          <w:color w:val="000000"/>
        </w:rPr>
        <w:t>Observability spans every layer. The AI health capability can correlate symptoms and summarize incidents, but deterministic monitors and supervisors detect threshold breaches and execute remediation. The monitoring path must remain available when AI providers or asynchronous cloud services are unavailable.</w:t>
      </w:r>
    </w:p>
    <w:p>
      <w:pPr>
        <w:pStyle w:val="Heading2"/>
        <w:keepNext/>
        <w:spacing w:before="180" w:after="100"/>
      </w:pPr>
      <w:r>
        <w:rPr>
          <w:rFonts w:ascii="Aptos" w:hAnsi="Aptos"/>
          <w:b/>
          <w:color w:val="000000"/>
          <w:sz w:val="26"/>
        </w:rPr>
        <w:t>11.1 Required telemetry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65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Domain</w:t>
            </w:r>
          </w:p>
        </w:tc>
        <w:tc>
          <w:tcPr>
            <w:tcW w:type="dxa" w:w="813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Key telemetry</w:t>
            </w:r>
          </w:p>
        </w:tc>
      </w:tr>
      <w:tr>
        <w:trPr>
          <w:cantSplit/>
        </w:trPr>
        <w:tc>
          <w:tcPr>
            <w:tcW w:type="dxa" w:w="165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Data</w:t>
            </w:r>
          </w:p>
        </w:tc>
        <w:tc>
          <w:tcPr>
            <w:tcW w:type="dxa" w:w="81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Feed connected state, tick age, sequence gaps, candle lateness, option-chain completeness, feature calculation duration and rejected snapshots.</w:t>
            </w:r>
          </w:p>
        </w:tc>
      </w:tr>
      <w:tr>
        <w:trPr>
          <w:cantSplit/>
        </w:trPr>
        <w:tc>
          <w:tcPr>
            <w:tcW w:type="dxa" w:w="165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Strategy</w:t>
            </w:r>
          </w:p>
        </w:tc>
        <w:tc>
          <w:tcPr>
            <w:tcW w:type="dxa" w:w="81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Heartbeat, evaluations, eligible setups, emitted intents, no-trade reasons, configuration version and decision latency.</w:t>
            </w:r>
          </w:p>
        </w:tc>
      </w:tr>
      <w:tr>
        <w:trPr>
          <w:cantSplit/>
        </w:trPr>
        <w:tc>
          <w:tcPr>
            <w:tcW w:type="dxa" w:w="165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Risk</w:t>
            </w:r>
          </w:p>
        </w:tc>
        <w:tc>
          <w:tcPr>
            <w:tcW w:type="dxa" w:w="81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Approvals, resizes, rejects, limit utilization, margin buffer, portfolio Greeks, stress loss and daily loss state.</w:t>
            </w:r>
          </w:p>
        </w:tc>
      </w:tr>
      <w:tr>
        <w:trPr>
          <w:cantSplit/>
        </w:trPr>
        <w:tc>
          <w:tcPr>
            <w:tcW w:type="dxa" w:w="165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Execution</w:t>
            </w:r>
          </w:p>
        </w:tc>
        <w:tc>
          <w:tcPr>
            <w:tcW w:type="dxa" w:w="81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Broker latency, acknowledgement rate, rejects, partial fills, slippage, cancel latency, retries and ambiguous order states.</w:t>
            </w:r>
          </w:p>
        </w:tc>
      </w:tr>
      <w:tr>
        <w:trPr>
          <w:cantSplit/>
        </w:trPr>
        <w:tc>
          <w:tcPr>
            <w:tcW w:type="dxa" w:w="165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Reconciliation</w:t>
            </w:r>
          </w:p>
        </w:tc>
        <w:tc>
          <w:tcPr>
            <w:tcW w:type="dxa" w:w="81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Unmatched positions, quantity differences, orphan orders, missing fills, age of oldest break and recovery action.</w:t>
            </w:r>
          </w:p>
        </w:tc>
      </w:tr>
      <w:tr>
        <w:trPr>
          <w:cantSplit/>
        </w:trPr>
        <w:tc>
          <w:tcPr>
            <w:tcW w:type="dxa" w:w="165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AI</w:t>
            </w:r>
          </w:p>
        </w:tc>
        <w:tc>
          <w:tcPr>
            <w:tcW w:type="dxa" w:w="81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Availability, latency, token and cost usage, schema failures, evidence coverage, contradiction rate, calibration and proposal acceptance.</w:t>
            </w:r>
          </w:p>
        </w:tc>
      </w:tr>
      <w:tr>
        <w:trPr>
          <w:cantSplit/>
        </w:trPr>
        <w:tc>
          <w:tcPr>
            <w:tcW w:type="dxa" w:w="165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Infrastructure</w:t>
            </w:r>
          </w:p>
        </w:tc>
        <w:tc>
          <w:tcPr>
            <w:tcW w:type="dxa" w:w="81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Process health, CPU, memory, disk, queue depth, clock drift, certificate or token expiry and backup status.</w:t>
            </w:r>
          </w:p>
        </w:tc>
      </w:tr>
    </w:tbl>
    <w:p>
      <w:pPr>
        <w:spacing w:after="40"/>
      </w:pPr>
    </w:p>
    <w:p>
      <w:pPr>
        <w:pStyle w:val="Heading2"/>
        <w:keepNext/>
        <w:spacing w:before="180" w:after="100"/>
      </w:pPr>
      <w:r>
        <w:rPr>
          <w:rFonts w:ascii="Aptos" w:hAnsi="Aptos"/>
          <w:b/>
          <w:color w:val="000000"/>
          <w:sz w:val="26"/>
        </w:rPr>
        <w:t>11.2 Deterministic remediation actions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Condition</w:t>
            </w:r>
          </w:p>
        </w:tc>
        <w:tc>
          <w:tcPr>
            <w:tcW w:type="dxa" w:w="453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Automatic action</w:t>
            </w:r>
          </w:p>
        </w:tc>
        <w:tc>
          <w:tcPr>
            <w:tcW w:type="dxa" w:w="316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Recovery requirement</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Market data stale</w:t>
            </w:r>
          </w:p>
        </w:tc>
        <w:tc>
          <w:tcPr>
            <w:tcW w:type="dxa" w:w="45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Block affected strategy entries; retain broker monitoring.</w:t>
            </w:r>
          </w:p>
        </w:tc>
        <w:tc>
          <w:tcPr>
            <w:tcW w:type="dxa" w:w="316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Freshness stable for configured period and calculations rebuilt.</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Broker disconnected</w:t>
            </w:r>
          </w:p>
        </w:tc>
        <w:tc>
          <w:tcPr>
            <w:tcW w:type="dxa" w:w="45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Block entries; preserve local intent queue without sending; monitor existing positions through available broker channels.</w:t>
            </w:r>
          </w:p>
        </w:tc>
        <w:tc>
          <w:tcPr>
            <w:tcW w:type="dxa" w:w="316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Authenticated reconnect followed by full reconciliation.</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Ambiguous order response</w:t>
            </w:r>
          </w:p>
        </w:tc>
        <w:tc>
          <w:tcPr>
            <w:tcW w:type="dxa" w:w="45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Do not retry blindly. Mark UNKNOWN and query broker by correlation and instrument.</w:t>
            </w:r>
          </w:p>
        </w:tc>
        <w:tc>
          <w:tcPr>
            <w:tcW w:type="dxa" w:w="316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Resolve to acknowledged, rejected or absent before further action.</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Position mismatch</w:t>
            </w:r>
          </w:p>
        </w:tc>
        <w:tc>
          <w:tcPr>
            <w:tcW w:type="dxa" w:w="45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Freeze affected account or strategy and raise critical alert.</w:t>
            </w:r>
          </w:p>
        </w:tc>
        <w:tc>
          <w:tcPr>
            <w:tcW w:type="dxa" w:w="316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Broker state classified and internal state repaired from broker facts.</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Daily loss limit</w:t>
            </w:r>
          </w:p>
        </w:tc>
        <w:tc>
          <w:tcPr>
            <w:tcW w:type="dxa" w:w="45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Cancel entry orders and block new exposure; apply configured position policy.</w:t>
            </w:r>
          </w:p>
        </w:tc>
        <w:tc>
          <w:tcPr>
            <w:tcW w:type="dxa" w:w="316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Next-session reset or controlled authorization.</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AI unavailable or invalid</w:t>
            </w:r>
          </w:p>
        </w:tc>
        <w:tc>
          <w:tcPr>
            <w:tcW w:type="dxa" w:w="45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Discard proposal and retain deterministic baseline or NO_TRADE.</w:t>
            </w:r>
          </w:p>
        </w:tc>
        <w:tc>
          <w:tcPr>
            <w:tcW w:type="dxa" w:w="316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A later valid proposal may enter the normal validation workflow.</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Storage pressure</w:t>
            </w:r>
          </w:p>
        </w:tc>
        <w:tc>
          <w:tcPr>
            <w:tcW w:type="dxa" w:w="45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Stop nonessential analytics first; protect audit and execution writes; block new entries before durability is lost.</w:t>
            </w:r>
          </w:p>
        </w:tc>
        <w:tc>
          <w:tcPr>
            <w:tcW w:type="dxa" w:w="316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Capacity restored and persistence verified.</w:t>
            </w:r>
          </w:p>
        </w:tc>
      </w:tr>
    </w:tbl>
    <w:p>
      <w:pPr>
        <w:spacing w:after="40"/>
      </w:pPr>
    </w:p>
    <w:p>
      <w:pPr>
        <w:pStyle w:val="Heading2"/>
        <w:keepNext/>
        <w:spacing w:before="180" w:after="100"/>
      </w:pPr>
      <w:r>
        <w:rPr>
          <w:rFonts w:ascii="Aptos" w:hAnsi="Aptos"/>
          <w:b/>
          <w:color w:val="000000"/>
          <w:sz w:val="26"/>
        </w:rPr>
        <w:t>11.3 Health daemon boundary</w:t>
      </w:r>
    </w:p>
    <w:p>
      <w:pPr>
        <w:keepLines w:val="0"/>
        <w:spacing w:after="120" w:line="269" w:lineRule="auto"/>
      </w:pPr>
      <w:r>
        <w:rPr>
          <w:rFonts w:ascii="Aptos" w:hAnsi="Aptos"/>
          <w:color w:val="000000"/>
        </w:rPr>
        <w:t>The health daemon should be split conceptually into a deterministic supervisor and an optional AI diagnostician. The supervisor owns heartbeats, restart budgets, entry locks, reconciliation triggers and kill-switch invocation. The AI component receives sanitized telemetry, proposes a cause and summarizes a runbook; it cannot execute the runbook or access broker credentials.</w:t>
      </w:r>
    </w:p>
    <w:p>
      <w:pPr>
        <w:spacing w:after="80"/>
      </w:pPr>
    </w:p>
    <w:p>
      <w:pPr>
        <w:pStyle w:val="Heading1"/>
        <w:keepNext/>
        <w:spacing w:before="240" w:after="100"/>
      </w:pPr>
      <w:r>
        <w:rPr>
          <w:rFonts w:ascii="Aptos" w:hAnsi="Aptos"/>
          <w:b/>
          <w:color w:val="000000"/>
          <w:sz w:val="32"/>
        </w:rPr>
        <w:t>12 Security governance and auditability</w:t>
      </w:r>
    </w:p>
    <w:p>
      <w:pPr>
        <w:pStyle w:val="Heading2"/>
        <w:keepNext/>
        <w:spacing w:before="180" w:after="100"/>
      </w:pPr>
      <w:r>
        <w:rPr>
          <w:rFonts w:ascii="Aptos" w:hAnsi="Aptos"/>
          <w:b/>
          <w:color w:val="000000"/>
          <w:sz w:val="26"/>
        </w:rPr>
        <w:t>12.1 Security controls</w:t>
      </w:r>
    </w:p>
    <w:p>
      <w:pPr>
        <w:pStyle w:val="ListBullet"/>
        <w:spacing w:after="60" w:line="259" w:lineRule="auto"/>
      </w:pPr>
      <w:r>
        <w:rPr>
          <w:rFonts w:ascii="Aptos" w:hAnsi="Aptos"/>
          <w:color w:val="000000"/>
        </w:rPr>
        <w:t>Store broker, database and AI credentials in a secrets service or encrypted runtime store; never in prompts, logs or strategy configuration.</w:t>
      </w:r>
    </w:p>
    <w:p>
      <w:pPr>
        <w:pStyle w:val="ListBullet"/>
        <w:spacing w:after="60" w:line="259" w:lineRule="auto"/>
      </w:pPr>
      <w:r>
        <w:rPr>
          <w:rFonts w:ascii="Aptos" w:hAnsi="Aptos"/>
          <w:color w:val="000000"/>
        </w:rPr>
        <w:t>Use separate identities for market data, execution, research and operations with minimum required permissions.</w:t>
      </w:r>
    </w:p>
    <w:p>
      <w:pPr>
        <w:pStyle w:val="ListBullet"/>
        <w:spacing w:after="60" w:line="259" w:lineRule="auto"/>
      </w:pPr>
      <w:r>
        <w:rPr>
          <w:rFonts w:ascii="Aptos" w:hAnsi="Aptos"/>
          <w:color w:val="000000"/>
        </w:rPr>
        <w:t>Restrict broker execution to the OMS network path and approved hosts. AI and analytics workers receive no execution credential.</w:t>
      </w:r>
    </w:p>
    <w:p>
      <w:pPr>
        <w:pStyle w:val="ListBullet"/>
        <w:spacing w:after="60" w:line="259" w:lineRule="auto"/>
      </w:pPr>
      <w:r>
        <w:rPr>
          <w:rFonts w:ascii="Aptos" w:hAnsi="Aptos"/>
          <w:color w:val="000000"/>
        </w:rPr>
        <w:t>Encrypt data in transit and at rest; rotate credentials and validate token expiry before market sessions.</w:t>
      </w:r>
    </w:p>
    <w:p>
      <w:pPr>
        <w:pStyle w:val="ListBullet"/>
        <w:spacing w:after="60" w:line="259" w:lineRule="auto"/>
      </w:pPr>
      <w:r>
        <w:rPr>
          <w:rFonts w:ascii="Aptos" w:hAnsi="Aptos"/>
          <w:color w:val="000000"/>
        </w:rPr>
        <w:t>Require signed, versioned production configuration and retain the actor, timestamp and reason for each activation.</w:t>
      </w:r>
    </w:p>
    <w:p>
      <w:pPr>
        <w:pStyle w:val="ListBullet"/>
        <w:spacing w:after="60" w:line="259" w:lineRule="auto"/>
      </w:pPr>
      <w:r>
        <w:rPr>
          <w:rFonts w:ascii="Aptos" w:hAnsi="Aptos"/>
          <w:color w:val="000000"/>
        </w:rPr>
        <w:t>Protect operational interfaces with strong authentication, authorization and an immutable administrative audit trail.</w:t>
      </w:r>
    </w:p>
    <w:p>
      <w:pPr>
        <w:pStyle w:val="Heading2"/>
        <w:keepNext/>
        <w:spacing w:before="180" w:after="100"/>
      </w:pPr>
      <w:r>
        <w:rPr>
          <w:rFonts w:ascii="Aptos" w:hAnsi="Aptos"/>
          <w:b/>
          <w:color w:val="000000"/>
          <w:sz w:val="26"/>
        </w:rPr>
        <w:t>12.2 Audit record</w:t>
      </w:r>
    </w:p>
    <w:p>
      <w:pPr>
        <w:keepLines w:val="0"/>
        <w:spacing w:after="120" w:line="269" w:lineRule="auto"/>
      </w:pPr>
      <w:r>
        <w:rPr>
          <w:rFonts w:ascii="Aptos" w:hAnsi="Aptos"/>
          <w:color w:val="000000"/>
        </w:rPr>
        <w:t>The audit log should be append-only and reconstruct the full chain from source snapshot to final broker state. Sensitive values should be redacted, but identifiers and versions must remain. An episode should link data quality, calculations, strategy decision, AI evidence where applicable, risk outcome, order plan, broker events, reconciliation and post-trade evaluation.</w:t>
      </w:r>
    </w:p>
    <w:p>
      <w:pPr>
        <w:pStyle w:val="Heading2"/>
        <w:keepNext/>
        <w:spacing w:before="180" w:after="100"/>
      </w:pPr>
      <w:r>
        <w:rPr>
          <w:rFonts w:ascii="Aptos" w:hAnsi="Aptos"/>
          <w:b/>
          <w:color w:val="000000"/>
          <w:sz w:val="26"/>
        </w:rPr>
        <w:t>12.3 Configuration governance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Change class</w:t>
            </w:r>
          </w:p>
        </w:tc>
        <w:tc>
          <w:tcPr>
            <w:tcW w:type="dxa" w:w="324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Example</w:t>
            </w:r>
          </w:p>
        </w:tc>
        <w:tc>
          <w:tcPr>
            <w:tcW w:type="dxa" w:w="468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Minimum release path</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Operational</w:t>
            </w:r>
          </w:p>
        </w:tc>
        <w:tc>
          <w:tcPr>
            <w:tcW w:type="dxa" w:w="324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Log level or dashboard view</w:t>
            </w:r>
          </w:p>
        </w:tc>
        <w:tc>
          <w:tcPr>
            <w:tcW w:type="dxa" w:w="468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Peer review and deployment validation.</w:t>
            </w:r>
          </w:p>
        </w:tc>
      </w:tr>
      <w:tr>
        <w:trPr>
          <w:cantSplit/>
        </w:trPr>
        <w:tc>
          <w:tcPr>
            <w:tcW w:type="dxa" w:w="187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Low-risk strategy bound</w:t>
            </w:r>
          </w:p>
        </w:tc>
        <w:tc>
          <w:tcPr>
            <w:tcW w:type="dxa" w:w="324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Small change within a pre-approved range</w:t>
            </w:r>
          </w:p>
        </w:tc>
        <w:tc>
          <w:tcPr>
            <w:tcW w:type="dxa" w:w="468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Unit tests, replay, shadow comparison and version activation.</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Material strategy change</w:t>
            </w:r>
          </w:p>
        </w:tc>
        <w:tc>
          <w:tcPr>
            <w:tcW w:type="dxa" w:w="324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Entry, exit, sizing or instrument-selection logic</w:t>
            </w:r>
          </w:p>
        </w:tc>
        <w:tc>
          <w:tcPr>
            <w:tcW w:type="dxa" w:w="468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Backtest, walk-forward, stress tests, shadow period and controlled canary.</w:t>
            </w:r>
          </w:p>
        </w:tc>
      </w:tr>
      <w:tr>
        <w:trPr>
          <w:cantSplit/>
        </w:trPr>
        <w:tc>
          <w:tcPr>
            <w:tcW w:type="dxa" w:w="187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Risk policy</w:t>
            </w:r>
          </w:p>
        </w:tc>
        <w:tc>
          <w:tcPr>
            <w:tcW w:type="dxa" w:w="324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Loss cap, concentration or kill-switch behavior</w:t>
            </w:r>
          </w:p>
        </w:tc>
        <w:tc>
          <w:tcPr>
            <w:tcW w:type="dxa" w:w="468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Formal review, simulation, failure drills and explicit authorization.</w:t>
            </w:r>
          </w:p>
        </w:tc>
      </w:tr>
      <w:tr>
        <w:trPr>
          <w:cantSplit/>
        </w:trPr>
        <w:tc>
          <w:tcPr>
            <w:tcW w:type="dxa" w:w="187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AI model or prompt</w:t>
            </w:r>
          </w:p>
        </w:tc>
        <w:tc>
          <w:tcPr>
            <w:tcW w:type="dxa" w:w="324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Provider, model, retrieval or rubric update</w:t>
            </w:r>
          </w:p>
        </w:tc>
        <w:tc>
          <w:tcPr>
            <w:tcW w:type="dxa" w:w="468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Regression set, grounding tests, adversarial tests, cost review and shadow comparison.</w:t>
            </w:r>
          </w:p>
        </w:tc>
      </w:tr>
    </w:tbl>
    <w:p>
      <w:pPr>
        <w:spacing w:after="40"/>
      </w:pPr>
    </w:p>
    <w:p>
      <w:pPr>
        <w:spacing w:after="80"/>
      </w:pPr>
    </w:p>
    <w:p>
      <w:pPr>
        <w:pStyle w:val="Heading1"/>
        <w:keepNext/>
        <w:spacing w:before="240" w:after="100"/>
      </w:pPr>
      <w:r>
        <w:rPr>
          <w:rFonts w:ascii="Aptos" w:hAnsi="Aptos"/>
          <w:b/>
          <w:color w:val="000000"/>
          <w:sz w:val="32"/>
        </w:rPr>
        <w:t>13 Deployment and runtime topology</w:t>
      </w:r>
    </w:p>
    <w:p>
      <w:pPr>
        <w:keepLines w:val="0"/>
        <w:spacing w:after="120" w:line="269" w:lineRule="auto"/>
      </w:pPr>
      <w:r>
        <w:rPr>
          <w:rFonts w:ascii="Aptos" w:hAnsi="Aptos"/>
          <w:color w:val="000000"/>
        </w:rPr>
        <w:t>For the proof of concept, the persistent execution core should run close to the broker and remain independent of asynchronous AI services. The design can start on one adequately monitored VPS while using process isolation, durable local storage and restart supervision. Cloud functions or scheduled workers can host macro aggregation and evaluation because those tasks are not latency-sensitive.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Runtime zone</w:t>
            </w:r>
          </w:p>
        </w:tc>
        <w:tc>
          <w:tcPr>
            <w:tcW w:type="dxa" w:w="540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Components</w:t>
            </w:r>
          </w:p>
        </w:tc>
        <w:tc>
          <w:tcPr>
            <w:tcW w:type="dxa" w:w="244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Availability posture</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Persistent execution core</w:t>
            </w:r>
          </w:p>
        </w:tc>
        <w:tc>
          <w:tcPr>
            <w:tcW w:type="dxa" w:w="540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Feed handlers, feature engine, risk services, trade lifecycle, OMS, reconciliation, audit writer and deterministic supervisor.</w:t>
            </w:r>
          </w:p>
        </w:tc>
        <w:tc>
          <w:tcPr>
            <w:tcW w:type="dxa" w:w="24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Always running during relevant sessions; restarts into recovery mode.</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Asynchronous analytics</w:t>
            </w:r>
          </w:p>
        </w:tc>
        <w:tc>
          <w:tcPr>
            <w:tcW w:type="dxa" w:w="540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Macro retrieval, AI agent, post-trade evaluator, replay orchestration and reporting.</w:t>
            </w:r>
          </w:p>
        </w:tc>
        <w:tc>
          <w:tcPr>
            <w:tcW w:type="dxa" w:w="24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May be delayed or unavailable without compromising open-position control.</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Durable storage</w:t>
            </w:r>
          </w:p>
        </w:tc>
        <w:tc>
          <w:tcPr>
            <w:tcW w:type="dxa" w:w="540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Raw and normalized market data, event log, checkpoints, strategy records and artifacts.</w:t>
            </w:r>
          </w:p>
        </w:tc>
        <w:tc>
          <w:tcPr>
            <w:tcW w:type="dxa" w:w="24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Backed up; audit and state writes prioritized over research workloads.</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Operator access</w:t>
            </w:r>
          </w:p>
        </w:tc>
        <w:tc>
          <w:tcPr>
            <w:tcW w:type="dxa" w:w="540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Read-only dashboard, alerts, configuration promotion and emergency controls.</w:t>
            </w:r>
          </w:p>
        </w:tc>
        <w:tc>
          <w:tcPr>
            <w:tcW w:type="dxa" w:w="24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Strong authentication; operational actions audited.</w:t>
            </w:r>
          </w:p>
        </w:tc>
      </w:tr>
    </w:tbl>
    <w:p>
      <w:pPr>
        <w:spacing w:after="40"/>
      </w:pPr>
    </w:p>
    <w:p>
      <w:pPr>
        <w:pStyle w:val="Heading2"/>
        <w:keepNext/>
        <w:spacing w:before="180" w:after="100"/>
      </w:pPr>
      <w:r>
        <w:rPr>
          <w:rFonts w:ascii="Aptos" w:hAnsi="Aptos"/>
          <w:b/>
          <w:color w:val="000000"/>
          <w:sz w:val="26"/>
        </w:rPr>
        <w:t>13.1 Suggested proof of concept process layout</w:t>
      </w:r>
    </w:p>
    <w:p>
      <w:pPr>
        <w:pStyle w:val="ListBullet"/>
        <w:spacing w:after="60" w:line="259" w:lineRule="auto"/>
      </w:pPr>
      <w:r>
        <w:rPr>
          <w:rFonts w:ascii="Aptos" w:hAnsi="Aptos"/>
          <w:color w:val="000000"/>
        </w:rPr>
        <w:t>market-data service and normalized event publisher</w:t>
      </w:r>
    </w:p>
    <w:p>
      <w:pPr>
        <w:pStyle w:val="ListBullet"/>
        <w:spacing w:after="60" w:line="259" w:lineRule="auto"/>
      </w:pPr>
      <w:r>
        <w:rPr>
          <w:rFonts w:ascii="Aptos" w:hAnsi="Aptos"/>
          <w:color w:val="000000"/>
        </w:rPr>
        <w:t>feature and options-analytics worker</w:t>
      </w:r>
    </w:p>
    <w:p>
      <w:pPr>
        <w:pStyle w:val="ListBullet"/>
        <w:spacing w:after="60" w:line="259" w:lineRule="auto"/>
      </w:pPr>
      <w:r>
        <w:rPr>
          <w:rFonts w:ascii="Aptos" w:hAnsi="Aptos"/>
          <w:color w:val="000000"/>
        </w:rPr>
        <w:t>strategy worker group</w:t>
      </w:r>
    </w:p>
    <w:p>
      <w:pPr>
        <w:pStyle w:val="ListBullet"/>
        <w:spacing w:after="60" w:line="259" w:lineRule="auto"/>
      </w:pPr>
      <w:r>
        <w:rPr>
          <w:rFonts w:ascii="Aptos" w:hAnsi="Aptos"/>
          <w:color w:val="000000"/>
        </w:rPr>
        <w:t>risk, portfolio and trade-lifecycle service</w:t>
      </w:r>
    </w:p>
    <w:p>
      <w:pPr>
        <w:pStyle w:val="ListBullet"/>
        <w:spacing w:after="60" w:line="259" w:lineRule="auto"/>
      </w:pPr>
      <w:r>
        <w:rPr>
          <w:rFonts w:ascii="Aptos" w:hAnsi="Aptos"/>
          <w:color w:val="000000"/>
        </w:rPr>
        <w:t>OMS and broker adapter</w:t>
      </w:r>
    </w:p>
    <w:p>
      <w:pPr>
        <w:pStyle w:val="ListBullet"/>
        <w:spacing w:after="60" w:line="259" w:lineRule="auto"/>
      </w:pPr>
      <w:r>
        <w:rPr>
          <w:rFonts w:ascii="Aptos" w:hAnsi="Aptos"/>
          <w:color w:val="000000"/>
        </w:rPr>
        <w:t>reconciliation and deterministic supervision service</w:t>
      </w:r>
    </w:p>
    <w:p>
      <w:pPr>
        <w:pStyle w:val="ListBullet"/>
        <w:spacing w:after="60" w:line="259" w:lineRule="auto"/>
      </w:pPr>
      <w:r>
        <w:rPr>
          <w:rFonts w:ascii="Aptos" w:hAnsi="Aptos"/>
          <w:color w:val="000000"/>
        </w:rPr>
        <w:t>local durable database plus append-only audit files</w:t>
      </w:r>
    </w:p>
    <w:p>
      <w:pPr>
        <w:pStyle w:val="ListBullet"/>
        <w:spacing w:after="60" w:line="259" w:lineRule="auto"/>
      </w:pPr>
      <w:r>
        <w:rPr>
          <w:rFonts w:ascii="Aptos" w:hAnsi="Aptos"/>
          <w:color w:val="000000"/>
        </w:rPr>
        <w:t>separate scheduled analytics worker for macro and evaluation tasks</w:t>
      </w:r>
    </w:p>
    <w:p>
      <w:pPr>
        <w:pStyle w:val="ListBullet"/>
        <w:spacing w:after="60" w:line="259" w:lineRule="auto"/>
      </w:pPr>
      <w:r>
        <w:rPr>
          <w:rFonts w:ascii="Aptos" w:hAnsi="Aptos"/>
          <w:color w:val="000000"/>
        </w:rPr>
        <w:t>read-only monitoring dashboard and alert dispatcher</w:t>
      </w:r>
    </w:p>
    <w:p>
      <w:pPr>
        <w:pStyle w:val="Heading2"/>
        <w:keepNext/>
        <w:spacing w:before="180" w:after="100"/>
      </w:pPr>
      <w:r>
        <w:rPr>
          <w:rFonts w:ascii="Aptos" w:hAnsi="Aptos"/>
          <w:b/>
          <w:color w:val="000000"/>
          <w:sz w:val="26"/>
        </w:rPr>
        <w:t>13.2 Storage choices</w:t>
      </w:r>
    </w:p>
    <w:p>
      <w:pPr>
        <w:keepLines w:val="0"/>
        <w:spacing w:after="120" w:line="269" w:lineRule="auto"/>
      </w:pPr>
      <w:r>
        <w:rPr>
          <w:rFonts w:ascii="Aptos" w:hAnsi="Aptos"/>
          <w:color w:val="000000"/>
        </w:rPr>
        <w:t>DuckDB and Parquet are well suited to local analytical history and replay. Transactional order, trade and configuration state benefits from a transactional database with constraints and durable commits. A small deployment can use SQLite in WAL mode if carefully serialized, but PostgreSQL is the safer step when multiple services write concurrently. JSONL remains useful as an append-only audit export, not as the only authoritative transactional store.</w:t>
      </w:r>
    </w:p>
    <w:p>
      <w:pPr>
        <w:pStyle w:val="Heading2"/>
        <w:keepNext/>
        <w:spacing w:before="180" w:after="100"/>
      </w:pPr>
      <w:r>
        <w:rPr>
          <w:rFonts w:ascii="Aptos" w:hAnsi="Aptos"/>
          <w:b/>
          <w:color w:val="000000"/>
          <w:sz w:val="26"/>
        </w:rPr>
        <w:t>13.3 Time and scheduling</w:t>
      </w:r>
    </w:p>
    <w:p>
      <w:pPr>
        <w:keepLines w:val="0"/>
        <w:spacing w:after="120" w:line="269" w:lineRule="auto"/>
      </w:pPr>
      <w:r>
        <w:rPr>
          <w:rFonts w:ascii="Aptos" w:hAnsi="Aptos"/>
          <w:color w:val="000000"/>
        </w:rPr>
        <w:t>All internal timestamps should use UTC while retaining exchange session metadata. Hosts must monitor clock drift. Schedulers should use exchange calendars rather than weekday assumptions and explicitly represent holidays, special sessions, contract expiry, daylight-saving effects in international reference markets and end-of-session cutoffs.</w:t>
      </w:r>
    </w:p>
    <w:p>
      <w:pPr>
        <w:spacing w:after="80"/>
      </w:pPr>
    </w:p>
    <w:p>
      <w:pPr>
        <w:pStyle w:val="Heading1"/>
        <w:keepNext/>
        <w:spacing w:before="240" w:after="100"/>
      </w:pPr>
      <w:r>
        <w:rPr>
          <w:rFonts w:ascii="Aptos" w:hAnsi="Aptos"/>
          <w:b/>
          <w:color w:val="000000"/>
          <w:sz w:val="32"/>
        </w:rPr>
        <w:t>14 Testing and release assurance</w:t>
      </w:r>
    </w:p>
    <w:p>
      <w:pPr>
        <w:pStyle w:val="Heading2"/>
        <w:keepNext/>
        <w:spacing w:before="180" w:after="100"/>
      </w:pPr>
      <w:r>
        <w:rPr>
          <w:rFonts w:ascii="Aptos" w:hAnsi="Aptos"/>
          <w:b/>
          <w:color w:val="000000"/>
          <w:sz w:val="26"/>
        </w:rPr>
        <w:t>14.1 Test layers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Test type</w:t>
            </w:r>
          </w:p>
        </w:tc>
        <w:tc>
          <w:tcPr>
            <w:tcW w:type="dxa" w:w="7992"/>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Coverage</w:t>
            </w:r>
          </w:p>
        </w:tc>
      </w:tr>
      <w:tr>
        <w:trPr>
          <w:cantSplit/>
        </w:trPr>
        <w:tc>
          <w:tcPr>
            <w:tcW w:type="dxa" w:w="180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Unit</w:t>
            </w:r>
          </w:p>
        </w:tc>
        <w:tc>
          <w:tcPr>
            <w:tcW w:type="dxa" w:w="799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Indicators, IV and Greeks, sizing, stop movement, limits, state transitions and schema validators.</w:t>
            </w:r>
          </w:p>
        </w:tc>
      </w:tr>
      <w:tr>
        <w:trPr>
          <w:cantSplit/>
        </w:trPr>
        <w:tc>
          <w:tcPr>
            <w:tcW w:type="dxa" w:w="180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Contract</w:t>
            </w:r>
          </w:p>
        </w:tc>
        <w:tc>
          <w:tcPr>
            <w:tcW w:type="dxa" w:w="799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Feed, snapshot, Trade Intent, risk response, order request, broker event and evaluator proposal versions.</w:t>
            </w:r>
          </w:p>
        </w:tc>
      </w:tr>
      <w:tr>
        <w:trPr>
          <w:cantSplit/>
        </w:trPr>
        <w:tc>
          <w:tcPr>
            <w:tcW w:type="dxa" w:w="180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Parity</w:t>
            </w:r>
          </w:p>
        </w:tc>
        <w:tc>
          <w:tcPr>
            <w:tcW w:type="dxa" w:w="799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Research and live calculations produce the same values for the same inputs and warm-up period.</w:t>
            </w:r>
          </w:p>
        </w:tc>
      </w:tr>
      <w:tr>
        <w:trPr>
          <w:cantSplit/>
        </w:trPr>
        <w:tc>
          <w:tcPr>
            <w:tcW w:type="dxa" w:w="180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Replay</w:t>
            </w:r>
          </w:p>
        </w:tc>
        <w:tc>
          <w:tcPr>
            <w:tcW w:type="dxa" w:w="799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Recorded live episodes reproduce decisions and state transitions without external timing dependencies.</w:t>
            </w:r>
          </w:p>
        </w:tc>
      </w:tr>
      <w:tr>
        <w:trPr>
          <w:cantSplit/>
        </w:trPr>
        <w:tc>
          <w:tcPr>
            <w:tcW w:type="dxa" w:w="180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Simulation</w:t>
            </w:r>
          </w:p>
        </w:tc>
        <w:tc>
          <w:tcPr>
            <w:tcW w:type="dxa" w:w="799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Partial fills, reject sequences, disconnects, stale data, rate limits, price gaps, duplicate events and restart recovery.</w:t>
            </w:r>
          </w:p>
        </w:tc>
      </w:tr>
      <w:tr>
        <w:trPr>
          <w:cantSplit/>
        </w:trPr>
        <w:tc>
          <w:tcPr>
            <w:tcW w:type="dxa" w:w="180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Backtest</w:t>
            </w:r>
          </w:p>
        </w:tc>
        <w:tc>
          <w:tcPr>
            <w:tcW w:type="dxa" w:w="799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No lookahead, survivorship or leakage; realistic fees, spread, slippage, liquidity and execution timing.</w:t>
            </w:r>
          </w:p>
        </w:tc>
      </w:tr>
      <w:tr>
        <w:trPr>
          <w:cantSplit/>
        </w:trPr>
        <w:tc>
          <w:tcPr>
            <w:tcW w:type="dxa" w:w="180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Walk-forward</w:t>
            </w:r>
          </w:p>
        </w:tc>
        <w:tc>
          <w:tcPr>
            <w:tcW w:type="dxa" w:w="799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Candidate parameters evaluated on unseen periods and multiple regimes.</w:t>
            </w:r>
          </w:p>
        </w:tc>
      </w:tr>
      <w:tr>
        <w:trPr>
          <w:cantSplit/>
        </w:trPr>
        <w:tc>
          <w:tcPr>
            <w:tcW w:type="dxa" w:w="180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Shadow</w:t>
            </w:r>
          </w:p>
        </w:tc>
        <w:tc>
          <w:tcPr>
            <w:tcW w:type="dxa" w:w="799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Production and candidate versions evaluated simultaneously without candidate execution.</w:t>
            </w:r>
          </w:p>
        </w:tc>
      </w:tr>
      <w:tr>
        <w:trPr>
          <w:cantSplit/>
        </w:trPr>
        <w:tc>
          <w:tcPr>
            <w:tcW w:type="dxa" w:w="180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Operational drill</w:t>
            </w:r>
          </w:p>
        </w:tc>
        <w:tc>
          <w:tcPr>
            <w:tcW w:type="dxa" w:w="7992"/>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Kill switch, token expiry, storage pressure, broker outage, reconciliation break and backup restoration.</w:t>
            </w:r>
          </w:p>
        </w:tc>
      </w:tr>
      <w:tr>
        <w:trPr>
          <w:cantSplit/>
        </w:trPr>
        <w:tc>
          <w:tcPr>
            <w:tcW w:type="dxa" w:w="180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AI regression</w:t>
            </w:r>
          </w:p>
        </w:tc>
        <w:tc>
          <w:tcPr>
            <w:tcW w:type="dxa" w:w="7992"/>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Schema adherence, evidence coverage, time-bound retrieval, prompt injection, contradictions, calibration and abstention.</w:t>
            </w:r>
          </w:p>
        </w:tc>
      </w:tr>
    </w:tbl>
    <w:p>
      <w:pPr>
        <w:spacing w:after="40"/>
      </w:pPr>
    </w:p>
    <w:p>
      <w:pPr>
        <w:pStyle w:val="Heading2"/>
        <w:keepNext/>
        <w:spacing w:before="180" w:after="100"/>
      </w:pPr>
      <w:r>
        <w:rPr>
          <w:rFonts w:ascii="Aptos" w:hAnsi="Aptos"/>
          <w:b/>
          <w:color w:val="000000"/>
          <w:sz w:val="26"/>
        </w:rPr>
        <w:t>14.2 Release gates</w:t>
      </w:r>
    </w:p>
    <w:p>
      <w:pPr>
        <w:spacing w:after="80" w:line="259" w:lineRule="auto"/>
        <w:ind w:left="317" w:hanging="317"/>
      </w:pPr>
      <w:r>
        <w:rPr>
          <w:rFonts w:ascii="Aptos" w:hAnsi="Aptos"/>
          <w:color w:val="000000"/>
        </w:rPr>
        <w:t>1.  Code review and deterministic unit and contract tests pass.</w:t>
      </w:r>
    </w:p>
    <w:p>
      <w:pPr>
        <w:spacing w:after="80" w:line="259" w:lineRule="auto"/>
        <w:ind w:left="317" w:hanging="317"/>
      </w:pPr>
      <w:r>
        <w:rPr>
          <w:rFonts w:ascii="Aptos" w:hAnsi="Aptos"/>
          <w:color w:val="000000"/>
        </w:rPr>
        <w:t>2.  Historical replay and backtest produce reproducible artifacts with declared assumptions.</w:t>
      </w:r>
    </w:p>
    <w:p>
      <w:pPr>
        <w:spacing w:after="80" w:line="259" w:lineRule="auto"/>
        <w:ind w:left="317" w:hanging="317"/>
      </w:pPr>
      <w:r>
        <w:rPr>
          <w:rFonts w:ascii="Aptos" w:hAnsi="Aptos"/>
          <w:color w:val="000000"/>
        </w:rPr>
        <w:t>3.  Risk stress tests and failure simulations pass without unauthorized order paths.</w:t>
      </w:r>
    </w:p>
    <w:p>
      <w:pPr>
        <w:spacing w:after="80" w:line="259" w:lineRule="auto"/>
        <w:ind w:left="317" w:hanging="317"/>
      </w:pPr>
      <w:r>
        <w:rPr>
          <w:rFonts w:ascii="Aptos" w:hAnsi="Aptos"/>
          <w:color w:val="000000"/>
        </w:rPr>
        <w:t>4.  The candidate completes the configured shadow period and meets performance and stability thresholds.</w:t>
      </w:r>
    </w:p>
    <w:p>
      <w:pPr>
        <w:spacing w:after="80" w:line="259" w:lineRule="auto"/>
        <w:ind w:left="317" w:hanging="317"/>
      </w:pPr>
      <w:r>
        <w:rPr>
          <w:rFonts w:ascii="Aptos" w:hAnsi="Aptos"/>
          <w:color w:val="000000"/>
        </w:rPr>
        <w:t>5.  Configuration and artifacts are versioned, signed and linked to rollback instructions.</w:t>
      </w:r>
    </w:p>
    <w:p>
      <w:pPr>
        <w:spacing w:after="80" w:line="259" w:lineRule="auto"/>
        <w:ind w:left="317" w:hanging="317"/>
      </w:pPr>
      <w:r>
        <w:rPr>
          <w:rFonts w:ascii="Aptos" w:hAnsi="Aptos"/>
          <w:color w:val="000000"/>
        </w:rPr>
        <w:t>6.  Canary capital remains within a small explicit cap until sufficient live evidence accumulates.</w:t>
      </w:r>
    </w:p>
    <w:p>
      <w:pPr>
        <w:pStyle w:val="Heading2"/>
        <w:keepNext/>
        <w:spacing w:before="180" w:after="100"/>
      </w:pPr>
      <w:r>
        <w:rPr>
          <w:rFonts w:ascii="Aptos" w:hAnsi="Aptos"/>
          <w:b/>
          <w:color w:val="000000"/>
          <w:sz w:val="26"/>
        </w:rPr>
        <w:t>14.3 Backtest questions that remain mandatory</w:t>
      </w:r>
    </w:p>
    <w:p>
      <w:pPr>
        <w:pStyle w:val="ListBullet"/>
        <w:spacing w:after="60" w:line="259" w:lineRule="auto"/>
      </w:pPr>
      <w:r>
        <w:rPr>
          <w:rFonts w:ascii="Aptos" w:hAnsi="Aptos"/>
          <w:color w:val="000000"/>
        </w:rPr>
        <w:t>Does the strategy survive parameter perturbation, different market regimes and realistic delays?</w:t>
      </w:r>
    </w:p>
    <w:p>
      <w:pPr>
        <w:pStyle w:val="ListBullet"/>
        <w:spacing w:after="60" w:line="259" w:lineRule="auto"/>
      </w:pPr>
      <w:r>
        <w:rPr>
          <w:rFonts w:ascii="Aptos" w:hAnsi="Aptos"/>
          <w:color w:val="000000"/>
        </w:rPr>
        <w:t>Are option prices and chains point-in-time correct, including liquidity and unavailable strikes?</w:t>
      </w:r>
    </w:p>
    <w:p>
      <w:pPr>
        <w:pStyle w:val="ListBullet"/>
        <w:spacing w:after="60" w:line="259" w:lineRule="auto"/>
      </w:pPr>
      <w:r>
        <w:rPr>
          <w:rFonts w:ascii="Aptos" w:hAnsi="Aptos"/>
          <w:color w:val="000000"/>
        </w:rPr>
        <w:t>Are entry and exit decisions based only on information available at that exact timestamp?</w:t>
      </w:r>
    </w:p>
    <w:p>
      <w:pPr>
        <w:pStyle w:val="ListBullet"/>
        <w:spacing w:after="60" w:line="259" w:lineRule="auto"/>
      </w:pPr>
      <w:r>
        <w:rPr>
          <w:rFonts w:ascii="Aptos" w:hAnsi="Aptos"/>
          <w:color w:val="000000"/>
        </w:rPr>
        <w:t>Does the result depend on a small number of trades, instruments or expiry cycles?</w:t>
      </w:r>
    </w:p>
    <w:p>
      <w:pPr>
        <w:pStyle w:val="ListBullet"/>
        <w:spacing w:after="60" w:line="259" w:lineRule="auto"/>
      </w:pPr>
      <w:r>
        <w:rPr>
          <w:rFonts w:ascii="Aptos" w:hAnsi="Aptos"/>
          <w:color w:val="000000"/>
        </w:rPr>
        <w:t>How do slippage, spread, fees, missed fills, partial fills and gap exits change the distribution?</w:t>
      </w:r>
    </w:p>
    <w:p>
      <w:pPr>
        <w:pStyle w:val="ListBullet"/>
        <w:spacing w:after="60" w:line="259" w:lineRule="auto"/>
      </w:pPr>
      <w:r>
        <w:rPr>
          <w:rFonts w:ascii="Aptos" w:hAnsi="Aptos"/>
          <w:color w:val="000000"/>
        </w:rPr>
        <w:t>What is the worst observed and stress-tested portfolio loss when multiple strategies become correlated?</w:t>
      </w:r>
    </w:p>
    <w:p>
      <w:pPr>
        <w:spacing w:after="80"/>
      </w:pPr>
    </w:p>
    <w:p>
      <w:pPr>
        <w:pStyle w:val="Heading1"/>
        <w:keepNext/>
        <w:spacing w:before="240" w:after="100"/>
      </w:pPr>
      <w:r>
        <w:rPr>
          <w:rFonts w:ascii="Aptos" w:hAnsi="Aptos"/>
          <w:b/>
          <w:color w:val="000000"/>
          <w:sz w:val="32"/>
        </w:rPr>
        <w:t>15 Implementation roadmap</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936"/>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Phase</w:t>
            </w:r>
          </w:p>
        </w:tc>
        <w:tc>
          <w:tcPr>
            <w:tcW w:type="dxa" w:w="172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Focus</w:t>
            </w:r>
          </w:p>
        </w:tc>
        <w:tc>
          <w:tcPr>
            <w:tcW w:type="dxa" w:w="460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Main delivery</w:t>
            </w:r>
          </w:p>
        </w:tc>
        <w:tc>
          <w:tcPr>
            <w:tcW w:type="dxa" w:w="252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6"/>
              </w:rPr>
              <w:t>Exit criterion</w:t>
            </w:r>
          </w:p>
        </w:tc>
      </w:tr>
      <w:tr>
        <w:trPr>
          <w:cantSplit/>
        </w:trPr>
        <w:tc>
          <w:tcPr>
            <w:tcW w:type="dxa" w:w="9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Phase 0</w:t>
            </w:r>
          </w:p>
        </w:tc>
        <w:tc>
          <w:tcPr>
            <w:tcW w:type="dxa" w:w="172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Safety skeleton</w:t>
            </w:r>
          </w:p>
        </w:tc>
        <w:tc>
          <w:tcPr>
            <w:tcW w:type="dxa" w:w="460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Configuration, instrument master, event identifiers, audit log, broker adapter sandbox, kill switch and reconciliation model.</w:t>
            </w:r>
          </w:p>
        </w:tc>
        <w:tc>
          <w:tcPr>
            <w:tcW w:type="dxa" w:w="252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A restart produces the same broker-aligned state without duplicate orders.</w:t>
            </w:r>
          </w:p>
        </w:tc>
      </w:tr>
      <w:tr>
        <w:trPr>
          <w:cantSplit/>
        </w:trPr>
        <w:tc>
          <w:tcPr>
            <w:tcW w:type="dxa" w:w="9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Phase 1</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Trusted data</w:t>
            </w:r>
          </w:p>
        </w:tc>
        <w:tc>
          <w:tcPr>
            <w:tcW w:type="dxa" w:w="460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Market ingestion, quality gate, bars, features, options analytics, scheduler and durable snapshots.</w:t>
            </w:r>
          </w:p>
        </w:tc>
        <w:tc>
          <w:tcPr>
            <w:tcW w:type="dxa" w:w="252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Strategies receive reproducible healthy or non-tradable snapshots.</w:t>
            </w:r>
          </w:p>
        </w:tc>
      </w:tr>
      <w:tr>
        <w:trPr>
          <w:cantSplit/>
        </w:trPr>
        <w:tc>
          <w:tcPr>
            <w:tcW w:type="dxa" w:w="9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Phase 2</w:t>
            </w:r>
          </w:p>
        </w:tc>
        <w:tc>
          <w:tcPr>
            <w:tcW w:type="dxa" w:w="172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Risk and execution</w:t>
            </w:r>
          </w:p>
        </w:tc>
        <w:tc>
          <w:tcPr>
            <w:tcW w:type="dxa" w:w="460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Portfolio state, sizing, capital allocation, pre-trade risk, order state machine, OMS and trade lifecycle.</w:t>
            </w:r>
          </w:p>
        </w:tc>
        <w:tc>
          <w:tcPr>
            <w:tcW w:type="dxa" w:w="252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Paper trading survives partial fills, disconnects and restarts.</w:t>
            </w:r>
          </w:p>
        </w:tc>
      </w:tr>
      <w:tr>
        <w:trPr>
          <w:cantSplit/>
        </w:trPr>
        <w:tc>
          <w:tcPr>
            <w:tcW w:type="dxa" w:w="9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Phase 3</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First strategies</w:t>
            </w:r>
          </w:p>
        </w:tc>
        <w:tc>
          <w:tcPr>
            <w:tcW w:type="dxa" w:w="460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One positional options strategy and one commodity futures strategy using the common Trade Intent.</w:t>
            </w:r>
          </w:p>
        </w:tc>
        <w:tc>
          <w:tcPr>
            <w:tcW w:type="dxa" w:w="252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Shadow and paper results match backtest assumptions within defined tolerances.</w:t>
            </w:r>
          </w:p>
        </w:tc>
      </w:tr>
      <w:tr>
        <w:trPr>
          <w:cantSplit/>
        </w:trPr>
        <w:tc>
          <w:tcPr>
            <w:tcW w:type="dxa" w:w="9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Phase 4</w:t>
            </w:r>
          </w:p>
        </w:tc>
        <w:tc>
          <w:tcPr>
            <w:tcW w:type="dxa" w:w="172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Operational autonomy</w:t>
            </w:r>
          </w:p>
        </w:tc>
        <w:tc>
          <w:tcPr>
            <w:tcW w:type="dxa" w:w="460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Observability, alerts, deterministic remediation, runbooks, backup and recovery drills.</w:t>
            </w:r>
          </w:p>
        </w:tc>
        <w:tc>
          <w:tcPr>
            <w:tcW w:type="dxa" w:w="252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System can operate unattended while failing closed and escalating correctly.</w:t>
            </w:r>
          </w:p>
        </w:tc>
      </w:tr>
      <w:tr>
        <w:trPr>
          <w:cantSplit/>
        </w:trPr>
        <w:tc>
          <w:tcPr>
            <w:tcW w:type="dxa" w:w="936"/>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Phase 5</w:t>
            </w:r>
          </w:p>
        </w:tc>
        <w:tc>
          <w:tcPr>
            <w:tcW w:type="dxa" w:w="172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Bounded AI</w:t>
            </w:r>
          </w:p>
        </w:tc>
        <w:tc>
          <w:tcPr>
            <w:tcW w:type="dxa" w:w="460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Macro agent, evidence store, strict validator and read-only diagnostic summaries.</w:t>
            </w:r>
          </w:p>
        </w:tc>
        <w:tc>
          <w:tcPr>
            <w:tcW w:type="dxa" w:w="252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AI failure cannot affect open-position management or create an order.</w:t>
            </w:r>
          </w:p>
        </w:tc>
      </w:tr>
      <w:tr>
        <w:trPr>
          <w:cantSplit/>
        </w:trPr>
        <w:tc>
          <w:tcPr>
            <w:tcW w:type="dxa" w:w="936"/>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6"/>
              </w:rPr>
              <w:t>Phase 6</w:t>
            </w:r>
          </w:p>
        </w:tc>
        <w:tc>
          <w:tcPr>
            <w:tcW w:type="dxa" w:w="172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Improvement loop</w:t>
            </w:r>
          </w:p>
        </w:tc>
        <w:tc>
          <w:tcPr>
            <w:tcW w:type="dxa" w:w="460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Episode store, evaluator, replay, parameter proposals, registry, shadow comparison and promotion workflow.</w:t>
            </w:r>
          </w:p>
        </w:tc>
        <w:tc>
          <w:tcPr>
            <w:tcW w:type="dxa" w:w="252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6"/>
              </w:rPr>
              <w:t>No candidate reaches production without a complete reproducible evidence chain.</w:t>
            </w:r>
          </w:p>
        </w:tc>
      </w:tr>
    </w:tbl>
    <w:p>
      <w:pPr>
        <w:spacing w:after="40"/>
      </w:pPr>
    </w:p>
    <w:p>
      <w:pPr>
        <w:pStyle w:val="Heading2"/>
        <w:keepNext/>
        <w:spacing w:before="180" w:after="100"/>
      </w:pPr>
      <w:r>
        <w:rPr>
          <w:rFonts w:ascii="Aptos" w:hAnsi="Aptos"/>
          <w:b/>
          <w:color w:val="000000"/>
          <w:sz w:val="26"/>
        </w:rPr>
        <w:t>15.1 Build order inside each phase</w:t>
      </w:r>
    </w:p>
    <w:p>
      <w:pPr>
        <w:keepLines w:val="0"/>
        <w:spacing w:after="120" w:line="269" w:lineRule="auto"/>
      </w:pPr>
      <w:r>
        <w:rPr>
          <w:rFonts w:ascii="Aptos" w:hAnsi="Aptos"/>
          <w:color w:val="000000"/>
        </w:rPr>
        <w:t>Build a vertical slice rather than disconnected placeholders. For example, the first positional options slice should ingest one underlying, calculate its chain and features, emit one intent, receive a risk response, simulate or place a paper order, reconcile the result and write the full episode. The same contracts can then support additional strategies without recreating risk and execution logic.</w:t>
      </w:r>
    </w:p>
    <w:p>
      <w:pPr>
        <w:spacing w:after="80"/>
      </w:pPr>
    </w:p>
    <w:p>
      <w:pPr>
        <w:pStyle w:val="Heading1"/>
        <w:keepNext/>
        <w:spacing w:before="240" w:after="100"/>
      </w:pPr>
      <w:r>
        <w:rPr>
          <w:rFonts w:ascii="Aptos" w:hAnsi="Aptos"/>
          <w:b/>
          <w:color w:val="000000"/>
          <w:sz w:val="32"/>
        </w:rPr>
        <w:t>16 Recommended proof of concept</w:t>
      </w:r>
    </w:p>
    <w:p>
      <w:pPr>
        <w:keepLines w:val="0"/>
        <w:spacing w:after="120" w:line="269" w:lineRule="auto"/>
      </w:pPr>
      <w:r>
        <w:rPr>
          <w:rFonts w:ascii="Aptos" w:hAnsi="Aptos"/>
          <w:color w:val="000000"/>
        </w:rPr>
        <w:t>For a proof of concept around INR 5 to 7 lakh, begin with limited instruments and defined-risk structures. The purpose of the first live stage is to validate operational correctness, execution assumptions and recovery behavior, not to maximize strategy count or capital utilization.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Decision</w:t>
            </w:r>
          </w:p>
        </w:tc>
        <w:tc>
          <w:tcPr>
            <w:tcW w:type="dxa" w:w="784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Recommended starting point</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Universe</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NIFTY plus a small approved set of highly liquid contracts; one or two MCX products such as Gold Mini or Crude Oil Mini where broker support and liquidity are confirmed.</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Options</w:t>
            </w:r>
          </w:p>
        </w:tc>
        <w:tc>
          <w:tcPr>
            <w:tcW w:type="dxa" w:w="78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Long options and defined-risk spreads with sufficient time to expiry; no uncovered short options.</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Commodity futures</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One tested directional system with explicit intraday or positional mode and deterministic two-leg exits.</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AI cadence</w:t>
            </w:r>
          </w:p>
        </w:tc>
        <w:tc>
          <w:tcPr>
            <w:tcW w:type="dxa" w:w="78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Weekly macro and regime proposal plus post-market evaluation; no per-tick LLM calls.</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Capital</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Small per-strategy caps, significant unallocated buffer and an account-level daily loss lock.</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Rollout</w:t>
            </w:r>
          </w:p>
        </w:tc>
        <w:tc>
          <w:tcPr>
            <w:tcW w:type="dxa" w:w="78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Historical replay, live shadow, paper execution, smallest feasible live allocation, then gradual increase.</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Operations</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Broker reconciliation on boot and reconnect, mobile alerts, remote kill switch and daily automated report.</w:t>
            </w:r>
          </w:p>
        </w:tc>
      </w:tr>
    </w:tbl>
    <w:p>
      <w:pPr>
        <w:spacing w:after="40"/>
      </w:pPr>
    </w:p>
    <w:p>
      <w:pPr>
        <w:pStyle w:val="Heading2"/>
        <w:keepNext/>
        <w:spacing w:before="180" w:after="100"/>
      </w:pPr>
      <w:r>
        <w:rPr>
          <w:rFonts w:ascii="Aptos" w:hAnsi="Aptos"/>
          <w:b/>
          <w:color w:val="000000"/>
          <w:sz w:val="26"/>
        </w:rPr>
        <w:t>16.1 Decisions to resolve before implementation</w:t>
      </w:r>
    </w:p>
    <w:p>
      <w:pPr>
        <w:pStyle w:val="ListBullet"/>
        <w:spacing w:after="60" w:line="259" w:lineRule="auto"/>
      </w:pPr>
      <w:r>
        <w:rPr>
          <w:rFonts w:ascii="Aptos" w:hAnsi="Aptos"/>
          <w:color w:val="000000"/>
        </w:rPr>
        <w:t>Exact broker capabilities for multi-leg orders, protective orders, order tags and rate limits.</w:t>
      </w:r>
    </w:p>
    <w:p>
      <w:pPr>
        <w:pStyle w:val="ListBullet"/>
        <w:spacing w:after="60" w:line="259" w:lineRule="auto"/>
      </w:pPr>
      <w:r>
        <w:rPr>
          <w:rFonts w:ascii="Aptos" w:hAnsi="Aptos"/>
          <w:color w:val="000000"/>
        </w:rPr>
        <w:t>Authoritative market-data sources for live trading and historical point-in-time option chains.</w:t>
      </w:r>
    </w:p>
    <w:p>
      <w:pPr>
        <w:pStyle w:val="ListBullet"/>
        <w:spacing w:after="60" w:line="259" w:lineRule="auto"/>
      </w:pPr>
      <w:r>
        <w:rPr>
          <w:rFonts w:ascii="Aptos" w:hAnsi="Aptos"/>
          <w:color w:val="000000"/>
        </w:rPr>
        <w:t>Initial expiry and liquidity rules for each options strategy family.</w:t>
      </w:r>
    </w:p>
    <w:p>
      <w:pPr>
        <w:pStyle w:val="ListBullet"/>
        <w:spacing w:after="60" w:line="259" w:lineRule="auto"/>
      </w:pPr>
      <w:r>
        <w:rPr>
          <w:rFonts w:ascii="Aptos" w:hAnsi="Aptos"/>
          <w:color w:val="000000"/>
        </w:rPr>
        <w:t>Portfolio risk limits, daily loss policy, overnight exposure limits and emergency flatten behavior.</w:t>
      </w:r>
    </w:p>
    <w:p>
      <w:pPr>
        <w:pStyle w:val="ListBullet"/>
        <w:spacing w:after="60" w:line="259" w:lineRule="auto"/>
      </w:pPr>
      <w:r>
        <w:rPr>
          <w:rFonts w:ascii="Aptos" w:hAnsi="Aptos"/>
          <w:color w:val="000000"/>
        </w:rPr>
        <w:t>Whether PostgreSQL is available from the first release or introduced after the single-writer proof of concept.</w:t>
      </w:r>
    </w:p>
    <w:p>
      <w:pPr>
        <w:pStyle w:val="ListBullet"/>
        <w:spacing w:after="60" w:line="259" w:lineRule="auto"/>
      </w:pPr>
      <w:r>
        <w:rPr>
          <w:rFonts w:ascii="Aptos" w:hAnsi="Aptos"/>
          <w:color w:val="000000"/>
        </w:rPr>
        <w:t>Required operator approval for production configuration changes and capital-cap increases.</w:t>
      </w:r>
    </w:p>
    <w:p>
      <w:pPr>
        <w:pStyle w:val="ListBullet"/>
        <w:spacing w:after="60" w:line="259" w:lineRule="auto"/>
      </w:pPr>
      <w:r>
        <w:rPr>
          <w:rFonts w:ascii="Aptos" w:hAnsi="Aptos"/>
          <w:color w:val="000000"/>
        </w:rPr>
        <w:t>Retention periods for raw ticks, order books, decision episodes, audit logs and AI evidence.</w:t>
      </w:r>
    </w:p>
    <w:p>
      <w:pPr>
        <w:pStyle w:val="Heading2"/>
        <w:keepNext/>
        <w:spacing w:before="180" w:after="100"/>
      </w:pPr>
      <w:r>
        <w:rPr>
          <w:rFonts w:ascii="Aptos" w:hAnsi="Aptos"/>
          <w:b/>
          <w:color w:val="000000"/>
          <w:sz w:val="26"/>
        </w:rPr>
        <w:t>16.2 Definition of ready for unattended trading</w:t>
      </w:r>
    </w:p>
    <w:p>
      <w:pPr>
        <w:keepLines w:val="0"/>
        <w:spacing w:after="120" w:line="269" w:lineRule="auto"/>
      </w:pPr>
      <w:r>
        <w:rPr>
          <w:rFonts w:ascii="Aptos" w:hAnsi="Aptos"/>
          <w:color w:val="000000"/>
        </w:rPr>
        <w:t>The system is not ready merely because a strategy backtest is profitable or paper orders execute. It is ready for limited unattended operation only after restart recovery, duplicate prevention, partial-fill handling, stale-data blocking, broker reconciliation, deterministic protective exits, account-level risk limits, observability and emergency controls have all passed repeatable drills.</w:t>
      </w:r>
    </w:p>
    <w:p>
      <w:pPr>
        <w:spacing w:after="80"/>
      </w:pPr>
    </w:p>
    <w:p>
      <w:pPr>
        <w:pStyle w:val="Heading1"/>
        <w:keepNext/>
        <w:spacing w:before="240" w:after="100"/>
      </w:pPr>
      <w:r>
        <w:rPr>
          <w:rFonts w:ascii="Aptos" w:hAnsi="Aptos"/>
          <w:b/>
          <w:color w:val="000000"/>
          <w:sz w:val="32"/>
        </w:rPr>
        <w:t>Appendix A Core data contracts</w:t>
      </w:r>
    </w:p>
    <w:p>
      <w:pPr>
        <w:pStyle w:val="Heading2"/>
        <w:keepNext/>
        <w:spacing w:before="180" w:after="100"/>
      </w:pPr>
      <w:r>
        <w:rPr>
          <w:rFonts w:ascii="Aptos" w:hAnsi="Aptos"/>
          <w:b/>
          <w:color w:val="000000"/>
          <w:sz w:val="26"/>
        </w:rPr>
        <w:t>A.1 Market Snapshot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Field group</w:t>
            </w:r>
          </w:p>
        </w:tc>
        <w:tc>
          <w:tcPr>
            <w:tcW w:type="dxa" w:w="784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Contents</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Identity</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snapshot_id, instrument_id, event_time, source_time, calculation_time</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Market</w:t>
            </w:r>
          </w:p>
        </w:tc>
        <w:tc>
          <w:tcPr>
            <w:tcW w:type="dxa" w:w="78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bid, ask, last, OHLCV, depth summary, session state</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Derivatives</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expiry, strike, option type, IV, Greeks, skew, open interest and liquidity</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Features</w:t>
            </w:r>
          </w:p>
        </w:tc>
        <w:tc>
          <w:tcPr>
            <w:tcW w:type="dxa" w:w="78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versioned indicators, regime features and warm-up status</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Quality</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health state, age, gaps, source status and rejection reasons</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Lineage</w:t>
            </w:r>
          </w:p>
        </w:tc>
        <w:tc>
          <w:tcPr>
            <w:tcW w:type="dxa" w:w="78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source identifiers, raw offsets and feature-set version</w:t>
            </w:r>
          </w:p>
        </w:tc>
      </w:tr>
    </w:tbl>
    <w:p>
      <w:pPr>
        <w:spacing w:after="40"/>
      </w:pPr>
    </w:p>
    <w:p>
      <w:pPr>
        <w:pStyle w:val="Heading2"/>
        <w:keepNext/>
        <w:spacing w:before="180" w:after="100"/>
      </w:pPr>
      <w:r>
        <w:rPr>
          <w:rFonts w:ascii="Aptos" w:hAnsi="Aptos"/>
          <w:b/>
          <w:color w:val="000000"/>
          <w:sz w:val="26"/>
        </w:rPr>
        <w:t>A.2 Trade Intent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Field group</w:t>
            </w:r>
          </w:p>
        </w:tc>
        <w:tc>
          <w:tcPr>
            <w:tcW w:type="dxa" w:w="784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Contents</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Identity</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intent_id, strategy_id, strategy_version, created_at, expires_at</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Evidence</w:t>
            </w:r>
          </w:p>
        </w:tc>
        <w:tc>
          <w:tcPr>
            <w:tcW w:type="dxa" w:w="78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snapshot_id, regime, setup code, evidence references and confidence components</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Instrument</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underlying, product, expiry, legs, direction and structure template</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Entry</w:t>
            </w:r>
          </w:p>
        </w:tc>
        <w:tc>
          <w:tcPr>
            <w:tcW w:type="dxa" w:w="78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trigger, limit policy, acceptable spread, maximum slippage and timeout</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Risk</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maximum loss, requested risk units, invalidation level and stress assumptions</w:t>
            </w:r>
          </w:p>
        </w:tc>
      </w:tr>
      <w:tr>
        <w:trPr>
          <w:cantSplit/>
        </w:trPr>
        <w:tc>
          <w:tcPr>
            <w:tcW w:type="dxa" w:w="194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Exit</w:t>
            </w:r>
          </w:p>
        </w:tc>
        <w:tc>
          <w:tcPr>
            <w:tcW w:type="dxa" w:w="784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initial stop, target, break-even rule, trailing template, time exit and expiry rule</w:t>
            </w:r>
          </w:p>
        </w:tc>
      </w:tr>
      <w:tr>
        <w:trPr>
          <w:cantSplit/>
        </w:trPr>
        <w:tc>
          <w:tcPr>
            <w:tcW w:type="dxa" w:w="194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Constraints</w:t>
            </w:r>
          </w:p>
        </w:tc>
        <w:tc>
          <w:tcPr>
            <w:tcW w:type="dxa" w:w="784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session, liquidity, event blackout and maximum holding period</w:t>
            </w:r>
          </w:p>
        </w:tc>
      </w:tr>
    </w:tbl>
    <w:p>
      <w:pPr>
        <w:spacing w:after="40"/>
      </w:pPr>
    </w:p>
    <w:p>
      <w:pPr>
        <w:pStyle w:val="Heading2"/>
        <w:keepNext/>
        <w:spacing w:before="180" w:after="100"/>
      </w:pPr>
      <w:r>
        <w:rPr>
          <w:rFonts w:ascii="Aptos" w:hAnsi="Aptos"/>
          <w:b/>
          <w:color w:val="000000"/>
          <w:sz w:val="26"/>
        </w:rPr>
        <w:t>A.3 Risk Decision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Field</w:t>
            </w:r>
          </w:p>
        </w:tc>
        <w:tc>
          <w:tcPr>
            <w:tcW w:type="dxa" w:w="748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Meaning</w:t>
            </w:r>
          </w:p>
        </w:tc>
      </w:tr>
      <w:tr>
        <w:trPr>
          <w:cantSplit/>
        </w:trPr>
        <w:tc>
          <w:tcPr>
            <w:tcW w:type="dxa" w:w="23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decision</w:t>
            </w:r>
          </w:p>
        </w:tc>
        <w:tc>
          <w:tcPr>
            <w:tcW w:type="dxa" w:w="74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APPROVE, RESIZE, DEFER or REJECT</w:t>
            </w:r>
          </w:p>
        </w:tc>
      </w:tr>
      <w:tr>
        <w:trPr>
          <w:cantSplit/>
        </w:trPr>
        <w:tc>
          <w:tcPr>
            <w:tcW w:type="dxa" w:w="23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approved_quantity</w:t>
            </w:r>
          </w:p>
        </w:tc>
        <w:tc>
          <w:tcPr>
            <w:tcW w:type="dxa" w:w="74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Final quantity after lot, capital, margin and liquidity constraints</w:t>
            </w:r>
          </w:p>
        </w:tc>
      </w:tr>
      <w:tr>
        <w:trPr>
          <w:cantSplit/>
        </w:trPr>
        <w:tc>
          <w:tcPr>
            <w:tcW w:type="dxa" w:w="23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capital_reservation</w:t>
            </w:r>
          </w:p>
        </w:tc>
        <w:tc>
          <w:tcPr>
            <w:tcW w:type="dxa" w:w="74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Amount reserved while execution is pending</w:t>
            </w:r>
          </w:p>
        </w:tc>
      </w:tr>
      <w:tr>
        <w:trPr>
          <w:cantSplit/>
        </w:trPr>
        <w:tc>
          <w:tcPr>
            <w:tcW w:type="dxa" w:w="23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pre_trade_exposure</w:t>
            </w:r>
          </w:p>
        </w:tc>
        <w:tc>
          <w:tcPr>
            <w:tcW w:type="dxa" w:w="74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Portfolio state before the intent</w:t>
            </w:r>
          </w:p>
        </w:tc>
      </w:tr>
      <w:tr>
        <w:trPr>
          <w:cantSplit/>
        </w:trPr>
        <w:tc>
          <w:tcPr>
            <w:tcW w:type="dxa" w:w="23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post_trade_projection</w:t>
            </w:r>
          </w:p>
        </w:tc>
        <w:tc>
          <w:tcPr>
            <w:tcW w:type="dxa" w:w="74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Expected portfolio state after fill</w:t>
            </w:r>
          </w:p>
        </w:tc>
      </w:tr>
      <w:tr>
        <w:trPr>
          <w:cantSplit/>
        </w:trPr>
        <w:tc>
          <w:tcPr>
            <w:tcW w:type="dxa" w:w="23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reason_codes</w:t>
            </w:r>
          </w:p>
        </w:tc>
        <w:tc>
          <w:tcPr>
            <w:tcW w:type="dxa" w:w="74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Machine-readable gates and limits that affected the decision</w:t>
            </w:r>
          </w:p>
        </w:tc>
      </w:tr>
      <w:tr>
        <w:trPr>
          <w:cantSplit/>
        </w:trPr>
        <w:tc>
          <w:tcPr>
            <w:tcW w:type="dxa" w:w="23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risk_version</w:t>
            </w:r>
          </w:p>
        </w:tc>
        <w:tc>
          <w:tcPr>
            <w:tcW w:type="dxa" w:w="74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Exact policy and calculation version</w:t>
            </w:r>
          </w:p>
        </w:tc>
      </w:tr>
      <w:tr>
        <w:trPr>
          <w:cantSplit/>
        </w:trPr>
        <w:tc>
          <w:tcPr>
            <w:tcW w:type="dxa" w:w="23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expires_at</w:t>
            </w:r>
          </w:p>
        </w:tc>
        <w:tc>
          <w:tcPr>
            <w:tcW w:type="dxa" w:w="74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Deadline after which the decision must be recalculated</w:t>
            </w:r>
          </w:p>
        </w:tc>
      </w:tr>
    </w:tbl>
    <w:p>
      <w:pPr>
        <w:spacing w:after="40"/>
      </w:pPr>
    </w:p>
    <w:p>
      <w:pPr>
        <w:pStyle w:val="Heading2"/>
        <w:keepNext/>
        <w:spacing w:before="180" w:after="100"/>
      </w:pPr>
      <w:r>
        <w:rPr>
          <w:rFonts w:ascii="Aptos" w:hAnsi="Aptos"/>
          <w:b/>
          <w:color w:val="000000"/>
          <w:sz w:val="26"/>
        </w:rPr>
        <w:t>A.4 Order and reconciliation events</w:t>
      </w:r>
    </w:p>
    <w:p>
      <w:pPr>
        <w:keepLines w:val="0"/>
        <w:spacing w:after="120" w:line="269" w:lineRule="auto"/>
      </w:pPr>
      <w:r>
        <w:rPr>
          <w:rFonts w:ascii="Aptos" w:hAnsi="Aptos"/>
          <w:color w:val="000000"/>
        </w:rPr>
        <w:t>Every order event should include the internal order identifier, broker order identifier when known, intent and trade identifiers, attempt number, idempotency key, requested and filled quantities, prices, state, broker timestamp, local receipt timestamp and raw broker status. Reconciliation records additionally contain the expected state, observed broker state, classification, repair action and resolution time.</w:t>
      </w:r>
    </w:p>
    <w:p>
      <w:pPr>
        <w:spacing w:after="80"/>
      </w:pPr>
    </w:p>
    <w:p>
      <w:pPr>
        <w:pStyle w:val="Heading1"/>
        <w:keepNext/>
        <w:spacing w:before="240" w:after="100"/>
      </w:pPr>
      <w:r>
        <w:rPr>
          <w:rFonts w:ascii="Aptos" w:hAnsi="Aptos"/>
          <w:b/>
          <w:color w:val="000000"/>
          <w:sz w:val="32"/>
        </w:rPr>
        <w:t>Appendix B Initial service objectives</w:t>
      </w:r>
    </w:p>
    <w:p>
      <w:pPr>
        <w:keepLines w:val="0"/>
        <w:spacing w:after="120" w:line="269" w:lineRule="auto"/>
      </w:pPr>
      <w:r>
        <w:rPr>
          <w:rFonts w:ascii="Aptos" w:hAnsi="Aptos"/>
          <w:color w:val="000000"/>
        </w:rPr>
        <w:t>The following objectives are starting engineering targets for the proof of concept. They should be adjusted after observing broker behavior, data characteristics and strategy time horizons. Breaching an objective triggers investigation; it does not automatically imply that every open position should be flattened.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Capability</w:t>
            </w:r>
          </w:p>
        </w:tc>
        <w:tc>
          <w:tcPr>
            <w:tcW w:type="dxa" w:w="482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Initial objective</w:t>
            </w:r>
          </w:p>
        </w:tc>
        <w:tc>
          <w:tcPr>
            <w:tcW w:type="dxa" w:w="2880"/>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7"/>
              </w:rPr>
              <w:t>Fail-safe response</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Broker reconciliation</w:t>
            </w:r>
          </w:p>
        </w:tc>
        <w:tc>
          <w:tcPr>
            <w:tcW w:type="dxa" w:w="482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Complete after startup and reconnect before enabling entries.</w:t>
            </w:r>
          </w:p>
        </w:tc>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Remain in recovery mode.</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Duplicate prevention</w:t>
            </w:r>
          </w:p>
        </w:tc>
        <w:tc>
          <w:tcPr>
            <w:tcW w:type="dxa" w:w="482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No duplicate broker order for a single idempotency key.</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Freeze affected execution path and reconcile.</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Market freshness</w:t>
            </w:r>
          </w:p>
        </w:tc>
        <w:tc>
          <w:tcPr>
            <w:tcW w:type="dxa" w:w="482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Strategy-specific maximum age defined and monitored for every required field.</w:t>
            </w:r>
          </w:p>
        </w:tc>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Block affected entries.</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Audit durability</w:t>
            </w:r>
          </w:p>
        </w:tc>
        <w:tc>
          <w:tcPr>
            <w:tcW w:type="dxa" w:w="482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Every risk and order state transition persisted before dependent action proceeds.</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Block new exposure if durability is uncertain.</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Protective coverage</w:t>
            </w:r>
          </w:p>
        </w:tc>
        <w:tc>
          <w:tcPr>
            <w:tcW w:type="dxa" w:w="482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Every open position mapped to an active deterministic exit policy.</w:t>
            </w:r>
          </w:p>
        </w:tc>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Raise critical alert and execute predefined recovery.</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AI isolation</w:t>
            </w:r>
          </w:p>
        </w:tc>
        <w:tc>
          <w:tcPr>
            <w:tcW w:type="dxa" w:w="482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Loss or corruption of AI service cannot prevent deterministic position management.</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Discard AI output and continue baseline controls.</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Clock health</w:t>
            </w:r>
          </w:p>
        </w:tc>
        <w:tc>
          <w:tcPr>
            <w:tcW w:type="dxa" w:w="482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Drift remains below configured threshold and all timestamps are monotonic per source.</w:t>
            </w:r>
          </w:p>
        </w:tc>
        <w:tc>
          <w:tcPr>
            <w:tcW w:type="dxa" w:w="2880"/>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Block time-sensitive entries.</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7"/>
              </w:rPr>
              <w:t>Recovery drill</w:t>
            </w:r>
          </w:p>
        </w:tc>
        <w:tc>
          <w:tcPr>
            <w:tcW w:type="dxa" w:w="482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Routine test proves restart, broker outage and state mismatch procedures.</w:t>
            </w:r>
          </w:p>
        </w:tc>
        <w:tc>
          <w:tcPr>
            <w:tcW w:type="dxa" w:w="2880"/>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7"/>
              </w:rPr>
              <w:t>Do not increase capital until successful.</w:t>
            </w:r>
          </w:p>
        </w:tc>
      </w:tr>
    </w:tbl>
    <w:p>
      <w:pPr>
        <w:spacing w:after="40"/>
      </w:pPr>
    </w:p>
    <w:p>
      <w:pPr>
        <w:pStyle w:val="Heading1"/>
        <w:keepNext/>
        <w:spacing w:before="240" w:after="100"/>
      </w:pPr>
      <w:r>
        <w:rPr>
          <w:rFonts w:ascii="Aptos" w:hAnsi="Aptos"/>
          <w:b/>
          <w:color w:val="000000"/>
          <w:sz w:val="32"/>
        </w:rPr>
        <w:t>Appendix C Glossary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Term</w:t>
            </w:r>
          </w:p>
        </w:tc>
        <w:tc>
          <w:tcPr>
            <w:tcW w:type="dxa" w:w="7704"/>
            <w:shd w:fill="17365D"/>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jc w:val="center"/>
            </w:pPr>
            <w:r>
              <w:rPr>
                <w:rFonts w:ascii="Aptos" w:hAnsi="Aptos"/>
                <w:b/>
                <w:color w:val="FFFFFF"/>
                <w:sz w:val="18"/>
              </w:rPr>
              <w:t>Definition</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CAS</w:t>
            </w:r>
          </w:p>
        </w:tc>
        <w:tc>
          <w:tcPr>
            <w:tcW w:type="dxa" w:w="77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The proposed microstructure and order-flow strategy subsystem. Its precise expansion and model should be fixed in the strategy specification.</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Feature Snapshot</w:t>
            </w:r>
          </w:p>
        </w:tc>
        <w:tc>
          <w:tcPr>
            <w:tcW w:type="dxa" w:w="77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Immutable set of normalized market data, calculations and quality metadata used for one decision.</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Fail closed</w:t>
            </w:r>
          </w:p>
        </w:tc>
        <w:tc>
          <w:tcPr>
            <w:tcW w:type="dxa" w:w="77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Block new exposure when required information or system state is uncertain.</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Idempotency key</w:t>
            </w:r>
          </w:p>
        </w:tc>
        <w:tc>
          <w:tcPr>
            <w:tcW w:type="dxa" w:w="77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Stable identifier that makes repeated processing safe and prevents duplicate transactional effects.</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OMS</w:t>
            </w:r>
          </w:p>
        </w:tc>
        <w:tc>
          <w:tcPr>
            <w:tcW w:type="dxa" w:w="77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Order Management System responsible for order submission, tracking, retry policy and broker correlation.</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Promotion gate</w:t>
            </w:r>
          </w:p>
        </w:tc>
        <w:tc>
          <w:tcPr>
            <w:tcW w:type="dxa" w:w="77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Deterministic evidence and approval workflow that moves a candidate configuration toward production.</w:t>
            </w:r>
          </w:p>
        </w:tc>
      </w:tr>
      <w:tr>
        <w:trPr>
          <w:cantSplit/>
        </w:trPr>
        <w:tc>
          <w:tcPr>
            <w:tcW w:type="dxa" w:w="2088"/>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Shadow execution</w:t>
            </w:r>
          </w:p>
        </w:tc>
        <w:tc>
          <w:tcPr>
            <w:tcW w:type="dxa" w:w="7704"/>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Evaluation of live decisions without transmitting candidate orders to the broker.</w:t>
            </w:r>
          </w:p>
        </w:tc>
      </w:tr>
      <w:tr>
        <w:trPr>
          <w:cantSplit/>
        </w:trPr>
        <w:tc>
          <w:tcPr>
            <w:tcW w:type="dxa" w:w="2088"/>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jc w:val="left"/>
            </w:pPr>
            <w:r>
              <w:rPr>
                <w:rFonts w:ascii="Aptos" w:hAnsi="Aptos"/>
                <w:color w:val="000000"/>
                <w:sz w:val="18"/>
              </w:rPr>
              <w:t>Trade Intent</w:t>
            </w:r>
          </w:p>
        </w:tc>
        <w:tc>
          <w:tcPr>
            <w:tcW w:type="dxa" w:w="7704"/>
            <w:shd w:fill="F4F7FA"/>
            <w:tcBorders>
              <w:top w:val="single" w:sz="6" w:color="D9E1E8"/>
              <w:left w:val="single" w:sz="6" w:color="D9E1E8"/>
              <w:bottom w:val="single" w:sz="6" w:color="D9E1E8"/>
              <w:right w:val="single" w:sz="6" w:color="D9E1E8"/>
              <w:insideH w:val="single" w:sz="6" w:color="D9E1E8"/>
              <w:insideV w:val="single" w:sz="6" w:color="D9E1E8"/>
            </w:tcBorders>
            <w:tcMar>
              <w:top w:w="100" w:type="dxa"/>
              <w:start w:w="110" w:type="dxa"/>
              <w:bottom w:w="100" w:type="dxa"/>
              <w:end w:w="110" w:type="dxa"/>
            </w:tcMar>
            <w:vAlign w:val="center"/>
          </w:tcPr>
          <w:p>
            <w:pPr>
              <w:spacing w:after="0" w:line="252" w:lineRule="auto"/>
            </w:pPr>
            <w:r>
              <w:rPr>
                <w:rFonts w:ascii="Aptos" w:hAnsi="Aptos"/>
                <w:color w:val="000000"/>
                <w:sz w:val="18"/>
              </w:rPr>
              <w:t>Immutable strategy proposal that expresses desired exposure and constraints without containing executable broker commands.</w:t>
            </w:r>
          </w:p>
        </w:tc>
      </w:tr>
    </w:tbl>
    <w:p>
      <w:pPr>
        <w:spacing w:after="40"/>
      </w:pPr>
    </w:p>
    <w:p>
      <w:pPr>
        <w:pStyle w:val="Heading1"/>
        <w:keepNext/>
        <w:spacing w:before="240" w:after="100"/>
      </w:pPr>
      <w:r>
        <w:rPr>
          <w:rFonts w:ascii="Aptos" w:hAnsi="Aptos"/>
          <w:b/>
          <w:color w:val="000000"/>
          <w:sz w:val="32"/>
        </w:rPr>
        <w:t>Closing architecture decision</w:t>
      </w:r>
    </w:p>
    <w:p>
      <w:pPr>
        <w:keepLines w:val="0"/>
        <w:spacing w:after="120" w:line="269" w:lineRule="auto"/>
      </w:pPr>
      <w:r>
        <w:rPr>
          <w:rFonts w:ascii="Aptos" w:hAnsi="Aptos"/>
          <w:color w:val="000000"/>
        </w:rPr>
        <w:t>The platform should be judged by whether every live position remains understandable and controllable when feeds, processes, brokers or AI services behave unexpectedly. The four-layer model meets that goal when calculation ownership is explicit, strategies communicate only through Trade Intents, Layer 2 is the exclusive execution authority, the broker is reconciled as the source of truth and all AI changes pass through an evidence-based promotion process.</w:t>
      </w:r>
    </w:p>
    <w:sectPr w:rsidR="00FC693F" w:rsidRPr="0006063C" w:rsidSect="00034616">
      <w:footerReference w:type="default" r:id="rId9"/>
      <w:pgSz w:w="12240" w:h="15840"/>
      <w:pgMar w:top="1037" w:right="1123" w:bottom="1512" w:left="1123"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Layered Automated Trading System Architecture</dc:title>
  <dc:subject>Deterministic trading architecture with bounded AI support</dc:subject>
  <dc:creator/>
  <cp:keywords>automated trading, architecture, risk, AI governance, OMS, reconciliation</cp:keywords>
  <dc:description>generated by python-docx</dc:description>
  <cp:lastModifiedBy/>
  <cp:revision>1</cp:revision>
  <dcterms:created xsi:type="dcterms:W3CDTF">2013-12-23T23:15:00Z</dcterms:created>
  <dcterms:modified xsi:type="dcterms:W3CDTF">2013-12-23T23:15:00Z</dcterms:modified>
  <cp:category/>
</cp:coreProperties>
</file>