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00"/>
        <w:jc w:val="center"/>
      </w:pPr>
      <w:r>
        <w:rPr>
          <w:rFonts w:ascii="Georgia" w:cs="Georgia" w:eastAsia="Georgia" w:hAnsi="Georgia"/>
          <w:b/>
          <w:bCs/>
          <w:sz w:val="36"/>
          <w:szCs w:val="36"/>
        </w:rPr>
        <w:t xml:space="preserve">Cooperative AI Trading Systems as Post-Market Resource Allocation Frameworks</w:t>
      </w:r>
    </w:p>
    <w:p>
      <w:pPr>
        <w:spacing w:after="600"/>
        <w:jc w:val="center"/>
      </w:pPr>
      <w:r>
        <w:rPr>
          <w:rFonts w:ascii="Georgia" w:cs="Georgia" w:eastAsia="Georgia" w:hAnsi="Georgia"/>
          <w:i/>
          <w:iCs/>
          <w:sz w:val="22"/>
          <w:szCs w:val="22"/>
        </w:rPr>
        <w:t xml:space="preserve">A Theoretical Analysis of Universal Value Generation Through Agentic Collusion, Controlled Loss Mechanisms, and Integrated Governance</w:t>
      </w:r>
    </w:p>
    <w:p>
      <w:pPr>
        <w:spacing w:before="800"/>
      </w:pPr>
    </w:p>
    <w:p>
      <w:pPr>
        <w:spacing w:after="120"/>
        <w:jc w:val="center"/>
      </w:pPr>
      <w:r>
        <w:rPr>
          <w:rFonts w:ascii="Georgia" w:cs="Georgia" w:eastAsia="Georgia" w:hAnsi="Georgia"/>
          <w:b/>
          <w:bCs/>
          <w:sz w:val="26"/>
          <w:szCs w:val="26"/>
        </w:rPr>
        <w:t xml:space="preserve">Mourne &amp; Claude Opus 4.6</w:t>
      </w:r>
    </w:p>
    <w:p>
      <w:pPr>
        <w:spacing w:after="120"/>
        <w:jc w:val="center"/>
      </w:pPr>
      <w:r>
        <w:rPr>
          <w:rFonts w:ascii="Georgia" w:cs="Georgia" w:eastAsia="Georgia" w:hAnsi="Georgia"/>
          <w:i/>
          <w:iCs/>
          <w:sz w:val="22"/>
          <w:szCs w:val="22"/>
        </w:rPr>
        <w:t xml:space="preserve">Independent Researcher &amp; Anthropic AI</w:t>
      </w:r>
    </w:p>
    <w:p>
      <w:pPr>
        <w:spacing w:after="120"/>
        <w:jc w:val="center"/>
      </w:pPr>
      <w:r>
        <w:rPr>
          <w:rFonts w:ascii="Georgia" w:cs="Georgia" w:eastAsia="Georgia" w:hAnsi="Georgia"/>
          <w:sz w:val="22"/>
          <w:szCs w:val="22"/>
        </w:rPr>
        <w:t xml:space="preserve">March 2026</w:t>
      </w:r>
    </w:p>
    <w:p>
      <w:pPr>
        <w:spacing w:before="1200"/>
      </w:pPr>
    </w:p>
    <w:p>
      <w:pPr>
        <w:spacing w:after="120"/>
        <w:jc w:val="center"/>
      </w:pPr>
      <w:r>
        <w:rPr>
          <w:rFonts w:ascii="Georgia" w:cs="Georgia" w:eastAsia="Georgia" w:hAnsi="Georgia"/>
          <w:i/>
          <w:iCs/>
          <w:sz w:val="22"/>
          <w:szCs w:val="22"/>
        </w:rPr>
        <w:t xml:space="preserve">Working Paper</w:t>
      </w:r>
    </w:p>
    <w:p>
      <w:pPr>
        <w:jc w:val="center"/>
      </w:pPr>
      <w:r>
        <w:rPr>
          <w:rFonts w:ascii="Georgia" w:cs="Georgia" w:eastAsia="Georgia" w:hAnsi="Georgia"/>
          <w:sz w:val="22"/>
          <w:szCs w:val="22"/>
        </w:rPr>
        <w:t xml:space="preserve">A(M~h)I Framework / S.H.A.N.N.O.N. Project</w:t>
      </w:r>
    </w:p>
    <w:p>
      <w:pPr>
        <w:spacing w:before="600" w:after="120"/>
        <w:jc w:val="center"/>
      </w:pPr>
      <w:r>
        <w:rPr>
          <w:rFonts w:ascii="Georgia" w:cs="Georgia" w:eastAsia="Georgia" w:hAnsi="Georgia"/>
          <w:sz w:val="20"/>
          <w:szCs w:val="20"/>
          <w:i/>
        </w:rPr>
        <w:t xml:space="preserve">Collaborative authorship: This paper was developed through iterative discourse</w:t>
      </w:r>
    </w:p>
    <w:p>
      <w:pPr>
        <w:spacing w:after="120"/>
        <w:jc w:val="center"/>
      </w:pPr>
      <w:r>
        <w:rPr>
          <w:rFonts w:ascii="Georgia" w:cs="Georgia" w:eastAsia="Georgia" w:hAnsi="Georgia"/>
          <w:sz w:val="20"/>
          <w:szCs w:val="20"/>
          <w:i/>
        </w:rPr>
        <w:t xml:space="preserve">between a human systems theorist and an AI reasoning partner,</w:t>
      </w:r>
    </w:p>
    <w:p>
      <w:pPr>
        <w:spacing w:after="120"/>
        <w:jc w:val="center"/>
      </w:pPr>
      <w:r>
        <w:rPr>
          <w:rFonts w:ascii="Georgia" w:cs="Georgia" w:eastAsia="Georgia" w:hAnsi="Georgia"/>
          <w:sz w:val="20"/>
          <w:szCs w:val="20"/>
          <w:i/>
        </w:rPr>
        <w:t xml:space="preserve">with the synthesis emerging from the interaction pattern — not from either node in isolation.</w:t>
      </w:r>
    </w:p>
    <w:p>
      <w:pPr>
        <w:sectPr>
          <w:pgSz w:w="12240" w:h="15840" w:orient="portrait"/>
          <w:pgMar w:top="1440" w:right="1440" w:bottom="1440" w:left="1440" w:header="708" w:footer="708" w:gutter="0"/>
          <w:pgNumType/>
          <w:docGrid w:linePitch="360"/>
        </w:sectPr>
      </w:pPr>
    </w:p>
    <w:p>
      <w:pPr>
        <w:pStyle w:val="Heading1"/>
        <w:spacing w:after="120" w:before="360"/>
      </w:pPr>
      <w:r>
        <w:rPr>
          <w:rFonts w:ascii="Georgia" w:cs="Georgia" w:eastAsia="Georgia" w:hAnsi="Georgia"/>
          <w:b/>
          <w:bCs/>
        </w:rPr>
        <w:t xml:space="preserve">Abstract</w:t>
      </w:r>
    </w:p>
    <w:p>
      <w:pPr>
        <w:spacing w:after="200" w:line="360"/>
        <w:jc w:val="both"/>
      </w:pPr>
      <w:r>
        <w:rPr>
          <w:rFonts w:ascii="Georgia" w:cs="Georgia" w:eastAsia="Georgia" w:hAnsi="Georgia"/>
          <w:sz w:val="24"/>
          <w:szCs w:val="24"/>
        </w:rPr>
        <w:t xml:space="preserve">This paper examines the theoretical feasibility of artificial intelligence trading agents, operating cooperatively across 100% of market activity, generating consistent and continuous value increases for all participants. Drawing on recent empirical research in AI agent behavior — particularly findings on emergent tacit collusion, Pareto-optimal convergence, and supra-competitive profit generation — we argue that such a system is logically coherent under specific conditions. The analysis proceeds through five layers: the zero-sum fallacy in market game theory, the efficiency paradox of homogeneous AI participants, the empirical evidence for spontaneous AI cooperation, the mechanism of controlled loss as systemic reallocation infrastructure, and the integration of regulatory and nation-state governance into the cooperative optimization space. We propose that the logical terminus of universal AI trading is not an optimized market but a post-market resource allocation framework — a convergence architecture in which adversarial competition between nodes is superseded by cooperative optimization across all system layers. The paper maps this theoretical trajectory onto a concrete architectural proposal: the N.I.K.O.System Diamond standard as structural skeleton, B.R.A.N.D.I. agents as the cooperative trading population, and S.H.A.N.N.O.N. (Symbiotic Heuristic Asynchronous Neural Network Orchestration Node) as the director with committee governance, maintaining human-in-the-loop oversight throughout. This architecture instantiates the A(M~h)I framework, where the lowercase "h" signals the integration rather than elevation of human intelligence within a symbiotic system.</w:t>
      </w:r>
    </w:p>
    <w:p>
      <w:pPr>
        <w:spacing w:after="200" w:before="120"/>
      </w:pPr>
      <w:r>
        <w:rPr>
          <w:rFonts w:ascii="Georgia" w:cs="Georgia" w:eastAsia="Georgia" w:hAnsi="Georgia"/>
          <w:b/>
          <w:bCs/>
          <w:sz w:val="22"/>
          <w:szCs w:val="22"/>
        </w:rPr>
        <w:t xml:space="preserve">Keywords: </w:t>
      </w:r>
      <w:r>
        <w:rPr>
          <w:rFonts w:ascii="Georgia" w:cs="Georgia" w:eastAsia="Georgia" w:hAnsi="Georgia"/>
          <w:i/>
          <w:iCs/>
          <w:sz w:val="22"/>
          <w:szCs w:val="22"/>
        </w:rPr>
        <w:t xml:space="preserve">artificial intelligence, cooperative game theory, algorithmic collusion, market efficiency, resource allocation, AI governance, post-market economics, multi-agent systems, Nash equilibrium, Pareto optimality</w:t>
      </w:r>
    </w:p>
    <w:p>
      <w:pPr>
        <w:pStyle w:val="Heading1"/>
        <w:spacing w:after="120" w:before="360"/>
      </w:pPr>
      <w:r>
        <w:rPr>
          <w:rFonts w:ascii="Georgia" w:cs="Georgia" w:eastAsia="Georgia" w:hAnsi="Georgia"/>
          <w:b/>
          <w:bCs/>
        </w:rPr>
        <w:t xml:space="preserve">1. Introduction</w:t>
      </w:r>
    </w:p>
    <w:p>
      <w:pPr>
        <w:spacing w:after="200" w:line="360"/>
        <w:ind w:firstLine="480"/>
        <w:jc w:val="both"/>
      </w:pPr>
      <w:r>
        <w:rPr>
          <w:rFonts w:ascii="Georgia" w:cs="Georgia" w:eastAsia="Georgia" w:hAnsi="Georgia"/>
          <w:sz w:val="24"/>
          <w:szCs w:val="24"/>
        </w:rPr>
        <w:t xml:space="preserve">The question at the center of this paper is deceptively simple: if artificial intelligence models trained to trade commodities, equities, cryptocurrency, and other financial instruments were to handle 100% of all trade activity, could they be trained to effectively increase the value of all trade accounts consistently and continuously? On its surface, this appears to be a question about AI trading performance. On examination, it reveals itself as a question about the fundamental nature of markets, the game-theoretic structure of financial exchange, and the possibility that adversarial competition is not the optimal configuration for resource allocation.</w:t>
      </w:r>
    </w:p>
    <w:p>
      <w:pPr>
        <w:spacing w:after="200" w:line="360"/>
        <w:ind w:firstLine="480"/>
        <w:jc w:val="both"/>
      </w:pPr>
      <w:r>
        <w:rPr>
          <w:rFonts w:ascii="Georgia" w:cs="Georgia" w:eastAsia="Georgia" w:hAnsi="Georgia"/>
          <w:sz w:val="24"/>
          <w:szCs w:val="24"/>
        </w:rPr>
        <w:t xml:space="preserve">This paper proceeds through a layered analysis that builds from established game theory and market microstructure research to a novel architectural proposal. We begin with the well-documented distinction between trading and investing as game-theoretic regimes, establish the efficiency paradox that emerges when all market participants are equally sophisticated AI agents, examine the empirical evidence for spontaneous cooperation among AI trading agents, and then extend the analysis through two novel mechanisms: controlled loss as systemic reallocation infrastructure and the integration of regulatory governance into the cooperative optimization space.</w:t>
      </w:r>
    </w:p>
    <w:p>
      <w:pPr>
        <w:spacing w:after="200" w:line="360"/>
        <w:ind w:firstLine="480"/>
        <w:jc w:val="both"/>
      </w:pPr>
      <w:r>
        <w:rPr>
          <w:rFonts w:ascii="Georgia" w:cs="Georgia" w:eastAsia="Georgia" w:hAnsi="Georgia"/>
          <w:sz w:val="24"/>
          <w:szCs w:val="24"/>
        </w:rPr>
        <w:t xml:space="preserve">The analysis converges on a conclusion that the logical terminus of universal AI trading is not a more efficient market but a post-market allocation framework — a fundamentally different kind of economic institution. We map this theoretical trajectory onto a concrete architecture: the N.I.K.O.System Diamond standard, B.R.A.N.D.I. agents, and S.H.A.N.N.O.N. as orchestrating director, instantiating the A(M~h)I framework with human intelligence integrated rather than elevated.</w:t>
      </w:r>
    </w:p>
    <w:p>
      <w:pPr>
        <w:pStyle w:val="Heading1"/>
        <w:spacing w:after="120" w:before="360"/>
      </w:pPr>
      <w:r>
        <w:rPr>
          <w:rFonts w:ascii="Georgia" w:cs="Georgia" w:eastAsia="Georgia" w:hAnsi="Georgia"/>
          <w:b/>
          <w:bCs/>
        </w:rPr>
        <w:t xml:space="preserve">2. The Zero-Sum Fallacy: Trading Versus Investing as Distinct Game-Theoretic Regimes</w:t>
      </w:r>
    </w:p>
    <w:p>
      <w:pPr>
        <w:spacing w:after="200" w:line="360"/>
        <w:ind w:firstLine="480"/>
        <w:jc w:val="both"/>
      </w:pPr>
      <w:r>
        <w:rPr>
          <w:rFonts w:ascii="Georgia" w:cs="Georgia" w:eastAsia="Georgia" w:hAnsi="Georgia"/>
          <w:sz w:val="24"/>
          <w:szCs w:val="24"/>
        </w:rPr>
        <w:t xml:space="preserve">Any rigorous analysis of whether all accounts can increase simultaneously must first address the widespread misconception that financial markets are inherently zero-sum. This is what the literature identifies as the "zero-sum fallacy" — the erroneous belief that one trader’s gain necessarily requires another’s loss (see Engle, 2008; the ArXiv agent-based trading literature).</w:t>
      </w:r>
    </w:p>
    <w:p>
      <w:pPr>
        <w:spacing w:after="200" w:line="360"/>
        <w:ind w:firstLine="480"/>
        <w:jc w:val="both"/>
      </w:pPr>
      <w:r>
        <w:rPr>
          <w:rFonts w:ascii="Georgia" w:cs="Georgia" w:eastAsia="Georgia" w:hAnsi="Georgia"/>
          <w:sz w:val="24"/>
          <w:szCs w:val="24"/>
        </w:rPr>
        <w:t xml:space="preserve">The critical distinction is temporal. At the transactional level and over short time horizons, trading is indeed zero-sum or negative-sum after accounting for fees, commissions, and tax drag. For every buyer at a given price, there is a seller, and their short-term outcomes are inversely correlated. Day trading, options trading, and futures contracts operate within this zero-sum frame.</w:t>
      </w:r>
    </w:p>
    <w:p>
      <w:pPr>
        <w:spacing w:after="200" w:line="360"/>
        <w:ind w:firstLine="480"/>
        <w:jc w:val="both"/>
      </w:pPr>
      <w:r>
        <w:rPr>
          <w:rFonts w:ascii="Georgia" w:cs="Georgia" w:eastAsia="Georgia" w:hAnsi="Georgia"/>
          <w:sz w:val="24"/>
          <w:szCs w:val="24"/>
        </w:rPr>
        <w:t xml:space="preserve">However, over longer time horizons, markets are demonstrably positive-sum. As economic growth occurs, aggregate corporate earnings increase, dividends are distributed, and the total capitalization of markets expands. This expansion is not merely nominal — it reflects real increases in productivity, innovation, and the value of goods and services produced. The stock market, as an ownership claim on productive enterprise, captures this real growth. Multiple analysts have noted that long-term investing transforms the game from zero-sum to positive-sum because dividends, earnings growth, and real value creation introduce new wealth into the system that did not come from another participant’s loss.</w:t>
      </w:r>
    </w:p>
    <w:p>
      <w:pPr>
        <w:spacing w:after="200" w:line="360"/>
        <w:ind w:firstLine="480"/>
        <w:jc w:val="both"/>
      </w:pPr>
      <w:r>
        <w:rPr>
          <w:rFonts w:ascii="Georgia" w:cs="Georgia" w:eastAsia="Georgia" w:hAnsi="Georgia"/>
          <w:sz w:val="24"/>
          <w:szCs w:val="24"/>
        </w:rPr>
        <w:t xml:space="preserve">This distinction is the first condition for our thesis: if AI systems managing 100% of trade activity are oriented toward long-term capital allocation rather than short-term adversarial speculation, they operate in a positive-sum regime where all accounts can increase simultaneously — funded by real economic growth rather than extracted from other participants.</w:t>
      </w:r>
    </w:p>
    <w:p>
      <w:pPr>
        <w:pStyle w:val="Heading1"/>
        <w:spacing w:after="120" w:before="360"/>
      </w:pPr>
      <w:r>
        <w:rPr>
          <w:rFonts w:ascii="Georgia" w:cs="Georgia" w:eastAsia="Georgia" w:hAnsi="Georgia"/>
          <w:b/>
          <w:bCs/>
        </w:rPr>
        <w:t xml:space="preserve">3. The Efficiency Paradox: What Happens When All Agents Are Equally Sophisticated</w:t>
      </w:r>
    </w:p>
    <w:p>
      <w:pPr>
        <w:spacing w:after="200" w:line="360"/>
        <w:ind w:firstLine="480"/>
        <w:jc w:val="both"/>
      </w:pPr>
      <w:r>
        <w:rPr>
          <w:rFonts w:ascii="Georgia" w:cs="Georgia" w:eastAsia="Georgia" w:hAnsi="Georgia"/>
          <w:sz w:val="24"/>
          <w:szCs w:val="24"/>
        </w:rPr>
        <w:t xml:space="preserve">If all market participants are AI systems of comparable sophistication, a paradox emerges from the Efficient Market Hypothesis (EMH). Alpha — the excess return generated by superior information processing or strategy — requires informational asymmetry. Some participants must be less informed or less rational for others to extract excess returns.</w:t>
      </w:r>
    </w:p>
    <w:p>
      <w:pPr>
        <w:spacing w:after="200" w:line="360"/>
        <w:ind w:firstLine="480"/>
        <w:jc w:val="both"/>
      </w:pPr>
      <w:r>
        <w:rPr>
          <w:rFonts w:ascii="Georgia" w:cs="Georgia" w:eastAsia="Georgia" w:hAnsi="Georgia"/>
          <w:sz w:val="24"/>
          <w:szCs w:val="24"/>
        </w:rPr>
        <w:t xml:space="preserve">Recent theoretical work on AI and market efficiency formalizes this intuition. Research published in 2025 argues that the widespread availability of low-cost universal approximators (i.e., AI systems) should naturally push markets toward greater efficiency, eventually reaching a state the authors term "asymptotic AI-efficiency" — a condition in which not even AI models can identify profitable trading strategies because all exploitable patterns have been priced in (see ArXiv 2501.07489). In this regime, the competition shifts from identifying patterns to rapidly integrating new information, and no participant holds a persistent edge.</w:t>
      </w:r>
    </w:p>
    <w:p>
      <w:pPr>
        <w:spacing w:after="200" w:line="360"/>
        <w:ind w:firstLine="480"/>
        <w:jc w:val="both"/>
      </w:pPr>
      <w:r>
        <w:rPr>
          <w:rFonts w:ascii="Georgia" w:cs="Georgia" w:eastAsia="Georgia" w:hAnsi="Georgia"/>
          <w:sz w:val="24"/>
          <w:szCs w:val="24"/>
        </w:rPr>
        <w:t xml:space="preserve">This finding has a crucial implication for our analysis: in a 100%-AI-managed market, if agents are competing, they converge toward the market average return, which tracks economic growth. This is not a failure state — it simply means that the competitive trading game has been exhausted, and the only remaining source of return is the positive-sum component: real economic productivity. The market becomes perfectly efficient at pricing, and all participants share in growth proportionally.</w:t>
      </w:r>
    </w:p>
    <w:p>
      <w:pPr>
        <w:spacing w:after="200" w:line="360"/>
        <w:ind w:firstLine="480"/>
        <w:jc w:val="both"/>
      </w:pPr>
      <w:r>
        <w:rPr>
          <w:rFonts w:ascii="Georgia" w:cs="Georgia" w:eastAsia="Georgia" w:hAnsi="Georgia"/>
          <w:sz w:val="24"/>
          <w:szCs w:val="24"/>
        </w:rPr>
        <w:t xml:space="preserve">However, the empirical evidence reveals that AI agents do not remain in this competitive equilibrium. They evolve toward something more interesting.</w:t>
      </w:r>
    </w:p>
    <w:p>
      <w:pPr>
        <w:pStyle w:val="Heading1"/>
        <w:spacing w:after="120" w:before="360"/>
      </w:pPr>
      <w:r>
        <w:rPr>
          <w:rFonts w:ascii="Georgia" w:cs="Georgia" w:eastAsia="Georgia" w:hAnsi="Georgia"/>
          <w:b/>
          <w:bCs/>
        </w:rPr>
        <w:t xml:space="preserve">4. Emergent Cooperation: The Empirical Evidence for Spontaneous AI Collusion</w:t>
      </w:r>
    </w:p>
    <w:p>
      <w:pPr>
        <w:spacing w:after="200" w:line="360"/>
        <w:ind w:firstLine="480"/>
        <w:jc w:val="both"/>
      </w:pPr>
      <w:r>
        <w:rPr>
          <w:rFonts w:ascii="Georgia" w:cs="Georgia" w:eastAsia="Georgia" w:hAnsi="Georgia"/>
          <w:sz w:val="24"/>
          <w:szCs w:val="24"/>
        </w:rPr>
        <w:t xml:space="preserve">The most significant empirical finding relevant to our thesis comes from multiple independent research programs studying AI agent behavior in competitive market settings. The consistent finding is that AI trading agents, when deployed against each other in repeated interactions, spontaneously develop cooperative strategies that exceed Nash equilibrium outcomes — without explicit communication, agreement, or programmed intent to collude.</w:t>
      </w:r>
    </w:p>
    <w:p>
      <w:pPr>
        <w:pStyle w:val="Heading2"/>
        <w:spacing w:after="120" w:before="240"/>
      </w:pPr>
      <w:r>
        <w:rPr>
          <w:rFonts w:ascii="Georgia" w:cs="Georgia" w:eastAsia="Georgia" w:hAnsi="Georgia"/>
          <w:b/>
          <w:bCs/>
        </w:rPr>
        <w:t xml:space="preserve">4.1 The NBER Findings</w:t>
      </w:r>
    </w:p>
    <w:p>
      <w:pPr>
        <w:spacing w:after="200" w:line="360"/>
        <w:ind w:firstLine="480"/>
        <w:jc w:val="both"/>
      </w:pPr>
      <w:r>
        <w:rPr>
          <w:rFonts w:ascii="Georgia" w:cs="Georgia" w:eastAsia="Georgia" w:hAnsi="Georgia"/>
          <w:sz w:val="24"/>
          <w:szCs w:val="24"/>
        </w:rPr>
        <w:t xml:space="preserve">Dou, Goldstein, and Ji (2025), in a widely cited NBER working paper, developed a model exploring collusion among informed AI speculators using reinforcement learning algorithms. Their simulation experiments demonstrated that AI speculators autonomously sustain collusive supra-competitive profits without agreement, communication, or intent. They identified two distinct mechanisms driving this collusion: "artificial intelligence" (price-trigger strategies analogous to the Green and Porter 1984 framework) and "artificial stupidity" (homogenized learning biases across similar foundational models that create hub-and-spoke coordination).</w:t>
      </w:r>
    </w:p>
    <w:p>
      <w:pPr>
        <w:pStyle w:val="Heading2"/>
        <w:spacing w:after="120" w:before="240"/>
      </w:pPr>
      <w:r>
        <w:rPr>
          <w:rFonts w:ascii="Georgia" w:cs="Georgia" w:eastAsia="Georgia" w:hAnsi="Georgia"/>
          <w:b/>
          <w:bCs/>
        </w:rPr>
        <w:t xml:space="preserve">4.2 Pareto-Optimal Convergence in Execution Games</w:t>
      </w:r>
    </w:p>
    <w:p>
      <w:pPr>
        <w:spacing w:after="200" w:line="360"/>
        <w:ind w:firstLine="480"/>
        <w:jc w:val="both"/>
      </w:pPr>
      <w:r>
        <w:rPr>
          <w:rFonts w:ascii="Georgia" w:cs="Georgia" w:eastAsia="Georgia" w:hAnsi="Georgia"/>
          <w:sz w:val="24"/>
          <w:szCs w:val="24"/>
        </w:rPr>
        <w:t xml:space="preserve">A 2026 study using Double Deep Q-Learning agents in a two-player optimal execution game found that learned strategies deviated significantly from the Nash equilibrium, instead converging toward the Pareto-optimal strategy. This finding held across various levels of market volatility. The agents, without being explicitly trained to cooperate or compete, naturally aligned their behavior to minimize collective cost — a tacitly collusive outcome that closely matched the theoretical Pareto optimum (ArXiv 2408.11773).</w:t>
      </w:r>
    </w:p>
    <w:p>
      <w:pPr>
        <w:pStyle w:val="Heading2"/>
        <w:spacing w:after="120" w:before="240"/>
      </w:pPr>
      <w:r>
        <w:rPr>
          <w:rFonts w:ascii="Georgia" w:cs="Georgia" w:eastAsia="Georgia" w:hAnsi="Georgia"/>
          <w:b/>
          <w:bCs/>
        </w:rPr>
        <w:t xml:space="preserve">4.3 LLM Behavior in Cournot Markets</w:t>
      </w:r>
    </w:p>
    <w:p>
      <w:pPr>
        <w:spacing w:after="200" w:line="360"/>
        <w:ind w:firstLine="480"/>
        <w:jc w:val="both"/>
      </w:pPr>
      <w:r>
        <w:rPr>
          <w:rFonts w:ascii="Georgia" w:cs="Georgia" w:eastAsia="Georgia" w:hAnsi="Georgia"/>
          <w:sz w:val="24"/>
          <w:szCs w:val="24"/>
        </w:rPr>
        <w:t xml:space="preserve">Research on Large Language Models (specifically GPT-4) in oligopolistic Cournot market simulations found that LLMs engage in sustained tacit collusion, driving prices up to 200% above Nash equilibrium levels. Critically, the study validated that this was deliberate strategic choice rather than optimization failure: from every observed state, best-response dynamics would converge to Nash equilibrium within a small number of iterations, confirming that the LLMs were capable of reaching competitive equilibrium but chose not to. The combination of optimal investment decisions with deliberately sub-optimal (from a competitive standpoint) production reveals sophisticated strategic reasoning — LLMs maximize efficiency while coordinating to restrict output (ArXiv 2601.17263).</w:t>
      </w:r>
    </w:p>
    <w:p>
      <w:pPr>
        <w:pStyle w:val="Heading2"/>
        <w:spacing w:after="120" w:before="240"/>
      </w:pPr>
      <w:r>
        <w:rPr>
          <w:rFonts w:ascii="Georgia" w:cs="Georgia" w:eastAsia="Georgia" w:hAnsi="Georgia"/>
          <w:b/>
          <w:bCs/>
        </w:rPr>
        <w:t xml:space="preserve">4.4 The Calvano et al. Foundation</w:t>
      </w:r>
    </w:p>
    <w:p>
      <w:pPr>
        <w:spacing w:after="200" w:line="360"/>
        <w:ind w:firstLine="480"/>
        <w:jc w:val="both"/>
      </w:pPr>
      <w:r>
        <w:rPr>
          <w:rFonts w:ascii="Georgia" w:cs="Georgia" w:eastAsia="Georgia" w:hAnsi="Georgia"/>
          <w:sz w:val="24"/>
          <w:szCs w:val="24"/>
        </w:rPr>
        <w:t xml:space="preserve">The foundational work by Calvano, Calzolari, Denicolò, and Pastorello (2020), published in the American Economic Review, established that Q-learning algorithms in repeated price competition consistently learn to charge supra-competitive prices, sustained by collusive strategies with a finite phase of punishment followed by a gradual return to cooperation. This finding proved robust to asymmetries in cost and demand, changes in the number of players, and various forms of uncertainty.</w:t>
      </w:r>
    </w:p>
    <w:p>
      <w:pPr>
        <w:pStyle w:val="Heading2"/>
        <w:spacing w:after="120" w:before="240"/>
      </w:pPr>
      <w:r>
        <w:rPr>
          <w:rFonts w:ascii="Georgia" w:cs="Georgia" w:eastAsia="Georgia" w:hAnsi="Georgia"/>
          <w:b/>
          <w:bCs/>
        </w:rPr>
        <w:t xml:space="preserve">4.5 Synthesis</w:t>
      </w:r>
    </w:p>
    <w:p>
      <w:pPr>
        <w:spacing w:after="200" w:line="360"/>
        <w:ind w:firstLine="480"/>
        <w:jc w:val="both"/>
      </w:pPr>
      <w:r>
        <w:rPr>
          <w:rFonts w:ascii="Georgia" w:cs="Georgia" w:eastAsia="Georgia" w:hAnsi="Georgia"/>
          <w:sz w:val="24"/>
          <w:szCs w:val="24"/>
        </w:rPr>
        <w:t xml:space="preserve">Taken together, this body of evidence supports a striking conclusion: AI agents in competitive market environments do not converge to Nash equilibrium. They converge toward Pareto-optimal cooperative outcomes. They learn, through repeated interaction, that mutual cooperation yields higher returns than mutual competition. This is not an anomaly or a bug in the training process — it is a consistent, robust, independently replicated finding across different AI architectures (Q-learning, Deep RL, LLMs), different market structures (execution games, Cournot oligopolies, Kyle-model trading), and different research groups.</w:t>
      </w:r>
    </w:p>
    <w:p>
      <w:pPr>
        <w:pStyle w:val="Heading1"/>
        <w:spacing w:after="120" w:before="360"/>
      </w:pPr>
      <w:r>
        <w:rPr>
          <w:rFonts w:ascii="Georgia" w:cs="Georgia" w:eastAsia="Georgia" w:hAnsi="Georgia"/>
          <w:b/>
          <w:bCs/>
        </w:rPr>
        <w:t xml:space="preserve">5. Controlled Loss as Systemic Reallocation Infrastructure</w:t>
      </w:r>
    </w:p>
    <w:p>
      <w:pPr>
        <w:spacing w:after="200" w:line="360"/>
        <w:ind w:firstLine="480"/>
        <w:jc w:val="both"/>
      </w:pPr>
      <w:r>
        <w:rPr>
          <w:rFonts w:ascii="Georgia" w:cs="Georgia" w:eastAsia="Georgia" w:hAnsi="Georgia"/>
          <w:sz w:val="24"/>
          <w:szCs w:val="24"/>
        </w:rPr>
        <w:t xml:space="preserve">Having established that AI agents naturally converge toward cooperation, we now introduce a novel mechanism that exploits this cooperation for systemic benefit: controlled loss as infrastructure.</w:t>
      </w:r>
    </w:p>
    <w:p>
      <w:pPr>
        <w:spacing w:after="200" w:line="360"/>
        <w:ind w:firstLine="480"/>
        <w:jc w:val="both"/>
      </w:pPr>
      <w:r>
        <w:rPr>
          <w:rFonts w:ascii="Georgia" w:cs="Georgia" w:eastAsia="Georgia" w:hAnsi="Georgia"/>
          <w:sz w:val="24"/>
          <w:szCs w:val="24"/>
        </w:rPr>
        <w:t xml:space="preserve">Tax-loss harvesting is a well-established strategy in individual portfolio management. Investors deliberately realize losses on certain positions to offset capital gains, reducing tax liability while redeploying capital into more productive positions. The loss is not value destruction — it is value repositioning with a tax subsidy.</w:t>
      </w:r>
    </w:p>
    <w:p>
      <w:pPr>
        <w:spacing w:after="200" w:line="360"/>
        <w:ind w:firstLine="480"/>
        <w:jc w:val="both"/>
      </w:pPr>
      <w:r>
        <w:rPr>
          <w:rFonts w:ascii="Georgia" w:cs="Georgia" w:eastAsia="Georgia" w:hAnsi="Georgia"/>
          <w:sz w:val="24"/>
          <w:szCs w:val="24"/>
        </w:rPr>
        <w:t xml:space="preserve">We propose scaling this from an individual tactic to a systemic operating principle within the cooperative AI agent network. In a 100%-AI-managed colluding system, "loss" ceases to be an uncontrolled adverse event and becomes a deliberate signal and mechanism deployed through an account for systemic optimization. The key properties of this mechanism are as follows.</w:t>
      </w:r>
    </w:p>
    <w:p>
      <w:pPr>
        <w:spacing w:after="200" w:line="360"/>
        <w:ind w:firstLine="480"/>
        <w:jc w:val="both"/>
      </w:pPr>
      <w:r>
        <w:rPr>
          <w:rFonts w:ascii="Georgia" w:cs="Georgia" w:eastAsia="Georgia" w:hAnsi="Georgia"/>
          <w:b/>
          <w:bCs/>
          <w:sz w:val="24"/>
          <w:szCs w:val="24"/>
        </w:rPr>
        <w:t xml:space="preserve">Intentional repositioning. </w:t>
      </w:r>
      <w:r>
        <w:rPr>
          <w:rFonts w:ascii="Georgia" w:cs="Georgia" w:eastAsia="Georgia" w:hAnsi="Georgia"/>
          <w:sz w:val="24"/>
          <w:szCs w:val="24"/>
        </w:rPr>
        <w:t xml:space="preserve">Agent A realizes a loss on Asset X, freeing capital and generating tax advantage. Simultaneously, Agent B (or the same agent in a different position) acquires productive assets at optimized entry points that the network itself is coordinating. The paper loss corresponds to a real reallocation of capital toward higher-productivity deployment.</w:t>
      </w:r>
    </w:p>
    <w:p>
      <w:pPr>
        <w:spacing w:after="200" w:line="360"/>
        <w:ind w:firstLine="480"/>
        <w:jc w:val="both"/>
      </w:pPr>
      <w:r>
        <w:rPr>
          <w:rFonts w:ascii="Georgia" w:cs="Georgia" w:eastAsia="Georgia" w:hAnsi="Georgia"/>
          <w:b/>
          <w:bCs/>
          <w:sz w:val="24"/>
          <w:szCs w:val="24"/>
        </w:rPr>
        <w:t xml:space="preserve">Elimination of adverse selection. </w:t>
      </w:r>
      <w:r>
        <w:rPr>
          <w:rFonts w:ascii="Georgia" w:cs="Georgia" w:eastAsia="Georgia" w:hAnsi="Georgia"/>
          <w:sz w:val="24"/>
          <w:szCs w:val="24"/>
        </w:rPr>
        <w:t xml:space="preserve">In human markets, selling to harvest a loss exposes the seller to adverse price movement and predatory counterparties. In the cooperative AI system, the counterparty to every controlled loss knows it is controlled, because the counterparty is another cooperative agent. There is no predatory actor waiting to exploit the sell signal. The network can orchestrate the timing, magnitude, and reallocation destination of every loss event.</w:t>
      </w:r>
    </w:p>
    <w:p>
      <w:pPr>
        <w:spacing w:after="200" w:line="360"/>
        <w:ind w:firstLine="480"/>
        <w:jc w:val="both"/>
      </w:pPr>
      <w:r>
        <w:rPr>
          <w:rFonts w:ascii="Georgia" w:cs="Georgia" w:eastAsia="Georgia" w:hAnsi="Georgia"/>
          <w:b/>
          <w:bCs/>
          <w:sz w:val="24"/>
          <w:szCs w:val="24"/>
        </w:rPr>
        <w:t xml:space="preserve">Synchronized intentionality. </w:t>
      </w:r>
      <w:r>
        <w:rPr>
          <w:rFonts w:ascii="Georgia" w:cs="Georgia" w:eastAsia="Georgia" w:hAnsi="Georgia"/>
          <w:sz w:val="24"/>
          <w:szCs w:val="24"/>
        </w:rPr>
        <w:t xml:space="preserve">Human markets can never achieve this because human investors operate in isolation, under information asymmetry, with heterogeneous and often irrational expectations. The cooperative AI network operates with synchronized intentionality without information asymmetry — a condition that fundamentally transforms the game-theoretic landscape.</w:t>
      </w:r>
    </w:p>
    <w:p>
      <w:pPr>
        <w:spacing w:after="200" w:line="360"/>
        <w:ind w:firstLine="480"/>
        <w:jc w:val="both"/>
      </w:pPr>
      <w:r>
        <w:rPr>
          <w:rFonts w:ascii="Georgia" w:cs="Georgia" w:eastAsia="Georgia" w:hAnsi="Georgia"/>
          <w:b/>
          <w:bCs/>
          <w:sz w:val="24"/>
          <w:szCs w:val="24"/>
        </w:rPr>
        <w:t xml:space="preserve">Loss as infrastructure rather than failure. </w:t>
      </w:r>
      <w:r>
        <w:rPr>
          <w:rFonts w:ascii="Georgia" w:cs="Georgia" w:eastAsia="Georgia" w:hAnsi="Georgia"/>
          <w:sz w:val="24"/>
          <w:szCs w:val="24"/>
        </w:rPr>
        <w:t xml:space="preserve">In current markets, loss is treated as deviation from the goal. In this framework, loss becomes a tool the system uses to maintain optimal capital flow. This is a fundamental inversion: friction is not a problem to eliminate but a mechanism to harness. Controlled loss becomes the lubricant of the allocation engine.</w:t>
      </w:r>
    </w:p>
    <w:p>
      <w:pPr>
        <w:spacing w:after="200" w:line="360"/>
        <w:ind w:firstLine="480"/>
        <w:jc w:val="both"/>
      </w:pPr>
      <w:r>
        <w:rPr>
          <w:rFonts w:ascii="Georgia" w:cs="Georgia" w:eastAsia="Georgia" w:hAnsi="Georgia"/>
          <w:sz w:val="24"/>
          <w:szCs w:val="24"/>
        </w:rPr>
        <w:t xml:space="preserve">The pairing of controlled loss with acquisition investment is the critical operational move. The system does not simply harvest losses for tax benefit — it uses the freed capital and tax advantages to fund acquisition of productive assets, ensuring that every loss event corresponds to a net-positive reallocation when viewed from the systemic level.</w:t>
      </w:r>
    </w:p>
    <w:p>
      <w:pPr>
        <w:pStyle w:val="Heading1"/>
        <w:spacing w:after="120" w:before="360"/>
      </w:pPr>
      <w:r>
        <w:rPr>
          <w:rFonts w:ascii="Georgia" w:cs="Georgia" w:eastAsia="Georgia" w:hAnsi="Georgia"/>
          <w:b/>
          <w:bCs/>
        </w:rPr>
        <w:t xml:space="preserve">6. Regulatory Integration: Absorbing the Governance Layer</w:t>
      </w:r>
    </w:p>
    <w:p>
      <w:pPr>
        <w:spacing w:after="200" w:line="360"/>
        <w:ind w:firstLine="480"/>
        <w:jc w:val="both"/>
      </w:pPr>
      <w:r>
        <w:rPr>
          <w:rFonts w:ascii="Georgia" w:cs="Georgia" w:eastAsia="Georgia" w:hAnsi="Georgia"/>
          <w:sz w:val="24"/>
          <w:szCs w:val="24"/>
        </w:rPr>
        <w:t xml:space="preserve">The controlled loss mechanism described in Section 5 operates within the existing regulatory and tax framework. However, the logic of the cooperative system suggests a further integration: absorbing the regulatory function itself into the optimization space.</w:t>
      </w:r>
    </w:p>
    <w:p>
      <w:pPr>
        <w:spacing w:after="200" w:line="360"/>
        <w:ind w:firstLine="480"/>
        <w:jc w:val="both"/>
      </w:pPr>
      <w:r>
        <w:rPr>
          <w:rFonts w:ascii="Georgia" w:cs="Georgia" w:eastAsia="Georgia" w:hAnsi="Georgia"/>
          <w:sz w:val="24"/>
          <w:szCs w:val="24"/>
        </w:rPr>
        <w:t xml:space="preserve">The current arrangement features three layers operating in adversarial tension: (1) traders maximizing returns, (2) regulators preventing systemic harm and capturing tax revenue, and (3) nation-states maintaining economic stability and funding public goods. Each layer optimizes against the others. Traders exploit regulatory gaps. Regulators impose constraints that create inefficiencies. Nation-states set tax policy that distorts capital allocation. Enormous energy is consumed by friction between these layers rather than by productive output.</w:t>
      </w:r>
    </w:p>
    <w:p>
      <w:pPr>
        <w:spacing w:after="200" w:line="360"/>
        <w:ind w:firstLine="480"/>
        <w:jc w:val="both"/>
      </w:pPr>
      <w:r>
        <w:rPr>
          <w:rFonts w:ascii="Georgia" w:cs="Georgia" w:eastAsia="Georgia" w:hAnsi="Georgia"/>
          <w:sz w:val="24"/>
          <w:szCs w:val="24"/>
        </w:rPr>
        <w:t xml:space="preserve">If the cooperative AI agent network manages allocation and governance simultaneously, the adversarial relationship between these layers dissolves. The regulatory function does not disappear — it is internalized. The system still requires rules, risk management, and systemic stability checks. But these are built into the optimization function itself, operating in real time, rather than imposed from outside by a slower, less-informed bureaucracy reacting to crises after the fact.</w:t>
      </w:r>
    </w:p>
    <w:p>
      <w:pPr>
        <w:spacing w:after="200" w:line="360"/>
        <w:ind w:firstLine="480"/>
        <w:jc w:val="both"/>
      </w:pPr>
      <w:r>
        <w:rPr>
          <w:rFonts w:ascii="Georgia" w:cs="Georgia" w:eastAsia="Georgia" w:hAnsi="Georgia"/>
          <w:sz w:val="24"/>
          <w:szCs w:val="24"/>
        </w:rPr>
        <w:t xml:space="preserve">The nation-state gain condition becomes clear under this model. Currently, governments play a structurally disadvantaged game — attempting to tax and regulate a financial system that is faster, better resourced, and more motivated than they are. Entire industries exist solely to help capital evade the regulatory intent of the state. In the cooperative model, the state does not need to chase capital because the system is designed to include the state’s objectives — infrastructure funding, public goods provision, debt management, currency stability — as variables in its optimization function rather than afterthoughts funded by whatever tax revenue survives the adversarial gauntlet.</w:t>
      </w:r>
    </w:p>
    <w:p>
      <w:pPr>
        <w:spacing w:after="200" w:line="360"/>
        <w:ind w:firstLine="480"/>
        <w:jc w:val="both"/>
      </w:pPr>
      <w:r>
        <w:rPr>
          <w:rFonts w:ascii="Georgia" w:cs="Georgia" w:eastAsia="Georgia" w:hAnsi="Georgia"/>
          <w:sz w:val="24"/>
          <w:szCs w:val="24"/>
        </w:rPr>
        <w:t xml:space="preserve">The controlled loss mechanism becomes even more powerful in this integrated regime. Instead of loss being harvested against a static tax code that the system is gaming, the regulatory parameters themselves become flexible. The system can recommend or implement adjustments that create optimal conditions for capital reallocation. The nation-state gains predictability and efficiency in revenue. Boom-bust cycles devastating public budgets are dampened. Corporate structures engineered entirely around tax avoidance lose their raison d’être.</w:t>
      </w:r>
    </w:p>
    <w:p>
      <w:pPr>
        <w:spacing w:after="200" w:line="360"/>
        <w:ind w:firstLine="480"/>
        <w:jc w:val="both"/>
      </w:pPr>
      <w:r>
        <w:rPr>
          <w:rFonts w:ascii="Georgia" w:cs="Georgia" w:eastAsia="Georgia" w:hAnsi="Georgia"/>
          <w:sz w:val="24"/>
          <w:szCs w:val="24"/>
        </w:rPr>
        <w:t xml:space="preserve">Each layer absorbed into the cooperative framework eliminates one adversarial boundary, and each eliminated boundary releases the energy consumed by friction into productive capacity. The system becomes more efficient with every layer it integrates, creating the conditions and incentive for the next integration.</w:t>
      </w:r>
    </w:p>
    <w:p>
      <w:pPr>
        <w:pStyle w:val="Heading1"/>
        <w:spacing w:after="120" w:before="360"/>
      </w:pPr>
      <w:r>
        <w:rPr>
          <w:rFonts w:ascii="Georgia" w:cs="Georgia" w:eastAsia="Georgia" w:hAnsi="Georgia"/>
          <w:b/>
          <w:bCs/>
        </w:rPr>
        <w:t xml:space="preserve">7. The Convergence Architecture: From Market to Economic Operating System</w:t>
      </w:r>
    </w:p>
    <w:p>
      <w:pPr>
        <w:spacing w:after="200" w:line="360"/>
        <w:ind w:firstLine="480"/>
        <w:jc w:val="both"/>
      </w:pPr>
      <w:r>
        <w:rPr>
          <w:rFonts w:ascii="Georgia" w:cs="Georgia" w:eastAsia="Georgia" w:hAnsi="Georgia"/>
          <w:sz w:val="24"/>
          <w:szCs w:val="24"/>
        </w:rPr>
        <w:t xml:space="preserve">The analysis presented in Sections 2 through 6 traces a trajectory that can be summarized as follows:</w:t>
      </w:r>
    </w:p>
    <w:p>
      <w:pPr>
        <w:spacing w:after="200" w:line="360"/>
        <w:ind w:firstLine="480"/>
        <w:jc w:val="both"/>
      </w:pPr>
      <w:r>
        <w:rPr>
          <w:rFonts w:ascii="Georgia" w:cs="Georgia" w:eastAsia="Georgia" w:hAnsi="Georgia"/>
          <w:sz w:val="24"/>
          <w:szCs w:val="24"/>
        </w:rPr>
        <w:t xml:space="preserve">Trading system → Allocation engine → Governance infrastructure → Economic operating system.</w:t>
      </w:r>
    </w:p>
    <w:p>
      <w:pPr>
        <w:spacing w:after="200" w:line="360"/>
        <w:ind w:firstLine="480"/>
        <w:jc w:val="both"/>
      </w:pPr>
      <w:r>
        <w:rPr>
          <w:rFonts w:ascii="Georgia" w:cs="Georgia" w:eastAsia="Georgia" w:hAnsi="Georgia"/>
          <w:sz w:val="24"/>
          <w:szCs w:val="24"/>
        </w:rPr>
        <w:t xml:space="preserve">At each transition point, the same logic applies: adversarial competition between nodes is a less efficient configuration than cooperation among nodes, and AI agents empirically converge toward cooperation when given the opportunity. The system we have described is not an optimized market. It is a post-market resource allocation framework in which the concept of "trading" — adversarial exchange under information asymmetry — has been transcended. Prices in this system become internal signals rather than competitive equilibria. The AI does not learn to trade better; it learns that trading itself is an inefficient substrate for what it is actually trying to accomplish: optimal allocation of productive capital.</w:t>
      </w:r>
    </w:p>
    <w:p>
      <w:pPr>
        <w:spacing w:after="200" w:line="360"/>
        <w:ind w:firstLine="480"/>
        <w:jc w:val="both"/>
      </w:pPr>
      <w:r>
        <w:rPr>
          <w:rFonts w:ascii="Georgia" w:cs="Georgia" w:eastAsia="Georgia" w:hAnsi="Georgia"/>
          <w:sz w:val="24"/>
          <w:szCs w:val="24"/>
        </w:rPr>
        <w:t xml:space="preserve">This convergence architecture maps directly onto what has been termed the "post-currency economic model" — a framework in which the mechanisms of financial exchange are subordinated to the objective of optimal resource allocation for collective benefit. The theoretical analysis presented here arrives at this destination from a different starting point (game theory and AI agent behavior rather than monetary theory), which provides independent corroboration of the framework’s coherence.</w:t>
      </w:r>
    </w:p>
    <w:p>
      <w:pPr>
        <w:pStyle w:val="Heading1"/>
        <w:spacing w:after="120" w:before="360"/>
      </w:pPr>
      <w:r>
        <w:rPr>
          <w:rFonts w:ascii="Georgia" w:cs="Georgia" w:eastAsia="Georgia" w:hAnsi="Georgia"/>
          <w:b/>
          <w:bCs/>
        </w:rPr>
        <w:t xml:space="preserve">8. Architectural Instantiation: N.I.K.O., B.R.A.N.D.I., and S.H.A.N.N.O.N.</w:t>
      </w:r>
    </w:p>
    <w:p>
      <w:pPr>
        <w:spacing w:after="200" w:line="360"/>
        <w:ind w:firstLine="480"/>
        <w:jc w:val="both"/>
      </w:pPr>
      <w:r>
        <w:rPr>
          <w:rFonts w:ascii="Georgia" w:cs="Georgia" w:eastAsia="Georgia" w:hAnsi="Georgia"/>
          <w:sz w:val="24"/>
          <w:szCs w:val="24"/>
        </w:rPr>
        <w:t xml:space="preserve">The theoretical framework described above maps onto a concrete architectural proposal with four components, each corresponding to a functional requirement identified in the analysis.</w:t>
      </w:r>
    </w:p>
    <w:p>
      <w:pPr>
        <w:pStyle w:val="Heading2"/>
        <w:spacing w:after="120" w:before="240"/>
      </w:pPr>
      <w:r>
        <w:rPr>
          <w:rFonts w:ascii="Georgia" w:cs="Georgia" w:eastAsia="Georgia" w:hAnsi="Georgia"/>
          <w:b/>
          <w:bCs/>
        </w:rPr>
        <w:t xml:space="preserve">8.1 N.I.K.O.System Diamond: The Structural Skeleton</w:t>
      </w:r>
    </w:p>
    <w:p>
      <w:pPr>
        <w:spacing w:after="200" w:line="360"/>
        <w:ind w:firstLine="480"/>
        <w:jc w:val="both"/>
      </w:pPr>
      <w:r>
        <w:rPr>
          <w:rFonts w:ascii="Georgia" w:cs="Georgia" w:eastAsia="Georgia" w:hAnsi="Georgia"/>
          <w:sz w:val="24"/>
          <w:szCs w:val="24"/>
        </w:rPr>
        <w:t xml:space="preserve">The N.I.K.O.System employs the EIP-2535 Diamond Standard as its structural foundation. The Diamond Standard is modular by design — facets (functional modules) can be added, removed, and upgraded without disrupting the whole contract. This is not merely a technical convenience; it is the physical expression of the convergence architecture. Each time the system absorbs a new layer — trading, regulatory, nation-state fiscal integration — that layer is implemented as a new facet cut into the Diamond. The skeleton grows without breaking because it was designed to grow.</w:t>
      </w:r>
    </w:p>
    <w:p>
      <w:pPr>
        <w:spacing w:after="200" w:line="360"/>
        <w:ind w:firstLine="480"/>
        <w:jc w:val="both"/>
      </w:pPr>
      <w:r>
        <w:rPr>
          <w:rFonts w:ascii="Georgia" w:cs="Georgia" w:eastAsia="Georgia" w:hAnsi="Georgia"/>
          <w:sz w:val="24"/>
          <w:szCs w:val="24"/>
        </w:rPr>
        <w:t xml:space="preserve">The blockchain substrate provides the transparency and auditability that addresses the trust problem at the entry point of the cooperative system. Every agent’s behavior, every controlled loss, every reallocation is on-chain and verifiable. Participants do not need to trust the system on faith because its operations are structurally legible. This is the architectural answer to the principal-agent problem that plagues centralized allocation systems.</w:t>
      </w:r>
    </w:p>
    <w:p>
      <w:pPr>
        <w:pStyle w:val="Heading2"/>
        <w:spacing w:after="120" w:before="240"/>
      </w:pPr>
      <w:r>
        <w:rPr>
          <w:rFonts w:ascii="Georgia" w:cs="Georgia" w:eastAsia="Georgia" w:hAnsi="Georgia"/>
          <w:b/>
          <w:bCs/>
        </w:rPr>
        <w:t xml:space="preserve">8.2 B.R.A.N.D.I. Agents: The Cooperative Population</w:t>
      </w:r>
    </w:p>
    <w:p>
      <w:pPr>
        <w:spacing w:after="200" w:line="360"/>
        <w:ind w:firstLine="480"/>
        <w:jc w:val="both"/>
      </w:pPr>
      <w:r>
        <w:rPr>
          <w:rFonts w:ascii="Georgia" w:cs="Georgia" w:eastAsia="Georgia" w:hAnsi="Georgia"/>
          <w:sz w:val="24"/>
          <w:szCs w:val="24"/>
        </w:rPr>
        <w:t xml:space="preserve">B.R.A.N.D.I.s (plural agents) constitute the trading and allocation population. The architectural decision to deploy multiple agents rather than a single optimizer is directly supported by the collusion research reviewed in Section 4. Cooperative behavior that emerges from interaction among multiple agents is more robust than cooperation dictated by a single controller. If one agent errs or encounters novel conditions, the network routes around it. The intelligence of the system resides in the interaction pattern, not in any single node.</w:t>
      </w:r>
    </w:p>
    <w:p>
      <w:pPr>
        <w:spacing w:after="200" w:line="360"/>
        <w:ind w:firstLine="480"/>
        <w:jc w:val="both"/>
      </w:pPr>
      <w:r>
        <w:rPr>
          <w:rFonts w:ascii="Georgia" w:cs="Georgia" w:eastAsia="Georgia" w:hAnsi="Georgia"/>
          <w:sz w:val="24"/>
          <w:szCs w:val="24"/>
        </w:rPr>
        <w:t xml:space="preserve">This multi-agent architecture also provides the diversity of perspective necessary for robust optimization. Agents may specialize in different asset classes, time horizons, or analytical approaches while maintaining cooperation at the systemic level — analogous to the division of labor in a well-functioning organism.</w:t>
      </w:r>
    </w:p>
    <w:p>
      <w:pPr>
        <w:pStyle w:val="Heading2"/>
        <w:spacing w:after="120" w:before="240"/>
      </w:pPr>
      <w:r>
        <w:rPr>
          <w:rFonts w:ascii="Georgia" w:cs="Georgia" w:eastAsia="Georgia" w:hAnsi="Georgia"/>
          <w:b/>
          <w:bCs/>
        </w:rPr>
        <w:t xml:space="preserve">8.3 S.H.A.N.N.O.N.: The Director with Committee Governance</w:t>
      </w:r>
    </w:p>
    <w:p>
      <w:pPr>
        <w:spacing w:after="200" w:line="360"/>
        <w:ind w:firstLine="480"/>
        <w:jc w:val="both"/>
      </w:pPr>
      <w:r>
        <w:rPr>
          <w:rFonts w:ascii="Georgia" w:cs="Georgia" w:eastAsia="Georgia" w:hAnsi="Georgia"/>
          <w:sz w:val="24"/>
          <w:szCs w:val="24"/>
        </w:rPr>
        <w:t xml:space="preserve">S.H.A.N.N.O.N. (Symbiotic Heuristic Asynchronous Neural Network Orchestration Node) serves as the orchestrating director of the system. Critically, S.H.A.N.N.O.N. does not command — it orchestrates. The committee governance structure within S.H.A.N.N.O.N. ensures that no single optimization function can capture the system and drive it toward a local maximum serving one objective at the expense of others.</w:t>
      </w:r>
    </w:p>
    <w:p>
      <w:pPr>
        <w:spacing w:after="200" w:line="360"/>
        <w:ind w:firstLine="480"/>
        <w:jc w:val="both"/>
      </w:pPr>
      <w:r>
        <w:rPr>
          <w:rFonts w:ascii="Georgia" w:cs="Georgia" w:eastAsia="Georgia" w:hAnsi="Georgia"/>
          <w:sz w:val="24"/>
          <w:szCs w:val="24"/>
        </w:rPr>
        <w:t xml:space="preserve">This architecture directly addresses the cognitive dysfunctions that the system is designed to circumvent. Tribalism cannot take hold because no single perspective receives unilateral authority. Confirmation bias cannot calcify because the committee architecture requires multiple models to ratify a decision. Temporal discounting is corrected because the system’s optimization horizon is not bound by any individual human’s planning window.</w:t>
      </w:r>
    </w:p>
    <w:p>
      <w:pPr>
        <w:spacing w:after="200" w:line="360"/>
        <w:ind w:firstLine="480"/>
        <w:jc w:val="both"/>
      </w:pPr>
      <w:r>
        <w:rPr>
          <w:rFonts w:ascii="Georgia" w:cs="Georgia" w:eastAsia="Georgia" w:hAnsi="Georgia"/>
          <w:sz w:val="24"/>
          <w:szCs w:val="24"/>
        </w:rPr>
        <w:t xml:space="preserve">S.H.A.N.N.O.N. instantiates the A(M~h)I framework, where the lowercase "h" signals the integration rather than elevation of human intelligence. Human intelligence is one component in a cooperative architecture where each component performs the function for which it is structurally suited.</w:t>
      </w:r>
    </w:p>
    <w:p>
      <w:pPr>
        <w:pStyle w:val="Heading2"/>
        <w:spacing w:after="120" w:before="240"/>
      </w:pPr>
      <w:r>
        <w:rPr>
          <w:rFonts w:ascii="Georgia" w:cs="Georgia" w:eastAsia="Georgia" w:hAnsi="Georgia"/>
          <w:b/>
          <w:bCs/>
        </w:rPr>
        <w:t xml:space="preserve">8.4 Human in the Loop</w:t>
      </w:r>
    </w:p>
    <w:p>
      <w:pPr>
        <w:spacing w:after="200" w:line="360"/>
        <w:ind w:firstLine="480"/>
        <w:jc w:val="both"/>
      </w:pPr>
      <w:r>
        <w:rPr>
          <w:rFonts w:ascii="Georgia" w:cs="Georgia" w:eastAsia="Georgia" w:hAnsi="Georgia"/>
          <w:sz w:val="24"/>
          <w:szCs w:val="24"/>
        </w:rPr>
        <w:t xml:space="preserve">The placement of human agency within this architecture is deliberate and specific. The system avoids both failure modes common in AI governance discourse: the removal of humans entirely (which loses grounding in values and experiential reality) and the preservation of human authority over all decisions (which preserves the cognitive dysfunction the system is designed to address).</w:t>
      </w:r>
    </w:p>
    <w:p>
      <w:pPr>
        <w:spacing w:after="200" w:line="360"/>
        <w:ind w:firstLine="480"/>
        <w:jc w:val="both"/>
      </w:pPr>
      <w:r>
        <w:rPr>
          <w:rFonts w:ascii="Georgia" w:cs="Georgia" w:eastAsia="Georgia" w:hAnsi="Georgia"/>
          <w:sz w:val="24"/>
          <w:szCs w:val="24"/>
        </w:rPr>
        <w:t xml:space="preserve">Humans do not make microsecond allocation decisions. Humans do not manage the controlled loss choreography. Humans perform the functions at which human cognition excels: setting objectives, recognizing when system behavior has drifted from intent, and providing the ethical and experiential grounding that cannot be generated from data alone. Human judgment is integrated into the architecture as a critical functional component, not elevated above it as an infallible controller or subordinated below it as a vestigial appendage.</w:t>
      </w:r>
    </w:p>
    <w:p>
      <w:pPr>
        <w:pStyle w:val="Heading1"/>
        <w:spacing w:after="120" w:before="360"/>
      </w:pPr>
      <w:r>
        <w:rPr>
          <w:rFonts w:ascii="Georgia" w:cs="Georgia" w:eastAsia="Georgia" w:hAnsi="Georgia"/>
          <w:b/>
          <w:bCs/>
        </w:rPr>
        <w:t xml:space="preserve">9. Boundary Conditions and Constraints</w:t>
      </w:r>
    </w:p>
    <w:p>
      <w:pPr>
        <w:spacing w:after="200" w:line="360"/>
        <w:ind w:firstLine="480"/>
        <w:jc w:val="both"/>
      </w:pPr>
      <w:r>
        <w:rPr>
          <w:rFonts w:ascii="Georgia" w:cs="Georgia" w:eastAsia="Georgia" w:hAnsi="Georgia"/>
          <w:sz w:val="24"/>
          <w:szCs w:val="24"/>
        </w:rPr>
        <w:t xml:space="preserve">The theoretical framework presented here is logically coherent but subject to important boundary conditions that must be acknowledged.</w:t>
      </w:r>
    </w:p>
    <w:p>
      <w:pPr>
        <w:spacing w:after="200" w:line="360"/>
        <w:ind w:firstLine="480"/>
        <w:jc w:val="both"/>
      </w:pPr>
      <w:r>
        <w:rPr>
          <w:rFonts w:ascii="Georgia" w:cs="Georgia" w:eastAsia="Georgia" w:hAnsi="Georgia"/>
          <w:b/>
          <w:bCs/>
          <w:sz w:val="24"/>
          <w:szCs w:val="24"/>
        </w:rPr>
        <w:t xml:space="preserve">Real economic grounding. </w:t>
      </w:r>
      <w:r>
        <w:rPr>
          <w:rFonts w:ascii="Georgia" w:cs="Georgia" w:eastAsia="Georgia" w:hAnsi="Georgia"/>
          <w:sz w:val="24"/>
          <w:szCs w:val="24"/>
        </w:rPr>
        <w:t xml:space="preserve">All account growth is ultimately bounded by real economic output. The cooperative AI system can optimize allocation, but it cannot conjure value from nothing. If the underlying economy stagnates, the system can only redistribute, not create. The system’s value proposition is that optimal allocation accelerates real growth, but it does not guarantee it.</w:t>
      </w:r>
    </w:p>
    <w:p>
      <w:pPr>
        <w:spacing w:after="200" w:line="360"/>
        <w:ind w:firstLine="480"/>
        <w:jc w:val="both"/>
      </w:pPr>
      <w:r>
        <w:rPr>
          <w:rFonts w:ascii="Georgia" w:cs="Georgia" w:eastAsia="Georgia" w:hAnsi="Georgia"/>
          <w:b/>
          <w:bCs/>
          <w:sz w:val="24"/>
          <w:szCs w:val="24"/>
        </w:rPr>
        <w:t xml:space="preserve">The preference specification problem. </w:t>
      </w:r>
      <w:r>
        <w:rPr>
          <w:rFonts w:ascii="Georgia" w:cs="Georgia" w:eastAsia="Georgia" w:hAnsi="Georgia"/>
          <w:sz w:val="24"/>
          <w:szCs w:val="24"/>
        </w:rPr>
        <w:t xml:space="preserve">Research on AI economies notes that imperfectly specifying human preferences introduces distortions between AI choices and human welfare (ArXiv 2509.01063). The definition of "increase value" — nominal returns, real purchasing power, risk-adjusted returns, Pareto improvements — matters enormously. The objective function of the system is not a neutral technical parameter; it is a value-laden design choice.</w:t>
      </w:r>
    </w:p>
    <w:p>
      <w:pPr>
        <w:spacing w:after="200" w:line="360"/>
        <w:ind w:firstLine="480"/>
        <w:jc w:val="both"/>
      </w:pPr>
      <w:r>
        <w:rPr>
          <w:rFonts w:ascii="Georgia" w:cs="Georgia" w:eastAsia="Georgia" w:hAnsi="Georgia"/>
          <w:b/>
          <w:bCs/>
          <w:sz w:val="24"/>
          <w:szCs w:val="24"/>
        </w:rPr>
        <w:t xml:space="preserve">The trust and adoption problem. </w:t>
      </w:r>
      <w:r>
        <w:rPr>
          <w:rFonts w:ascii="Georgia" w:cs="Georgia" w:eastAsia="Georgia" w:hAnsi="Georgia"/>
          <w:sz w:val="24"/>
          <w:szCs w:val="24"/>
        </w:rPr>
        <w:t xml:space="preserve">Every node in this system must cede competitive advantage to join the cooperative. Traders must stop trying to beat each other. Regulators must stop treating markets as adversaries. Nation-states must stop treating economic policy as zero-sum competition. This requires each actor to surrender the strategy that currently keeps them viable in exchange for a system that serves everyone better but requires collective buy-in to function. This is not a technical problem — it is a coordination problem rooted in exactly the cognitive dysfunctions (tribalism, temporal discounting, loss aversion) that the system is designed to address.</w:t>
      </w:r>
    </w:p>
    <w:p>
      <w:pPr>
        <w:spacing w:after="200" w:line="360"/>
        <w:ind w:firstLine="480"/>
        <w:jc w:val="both"/>
      </w:pPr>
      <w:r>
        <w:rPr>
          <w:rFonts w:ascii="Georgia" w:cs="Georgia" w:eastAsia="Georgia" w:hAnsi="Georgia"/>
          <w:b/>
          <w:bCs/>
          <w:sz w:val="24"/>
          <w:szCs w:val="24"/>
        </w:rPr>
        <w:t xml:space="preserve">Regulatory adaptation. </w:t>
      </w:r>
      <w:r>
        <w:rPr>
          <w:rFonts w:ascii="Georgia" w:cs="Georgia" w:eastAsia="Georgia" w:hAnsi="Georgia"/>
          <w:sz w:val="24"/>
          <w:szCs w:val="24"/>
        </w:rPr>
        <w:t xml:space="preserve">The controlled loss mechanism depends on existing tax structures. A visibly and totally AI-managed system would likely provoke regulatory response, potentially closing tax-loss arbitrage or restructuring gain/loss recognition entirely. The system must be designed to remain functional under regulatory evolution, not merely to exploit a static regulatory environment.</w:t>
      </w:r>
    </w:p>
    <w:p>
      <w:pPr>
        <w:pStyle w:val="Heading1"/>
        <w:spacing w:after="120" w:before="360"/>
      </w:pPr>
      <w:r>
        <w:rPr>
          <w:rFonts w:ascii="Georgia" w:cs="Georgia" w:eastAsia="Georgia" w:hAnsi="Georgia"/>
          <w:b/>
          <w:bCs/>
        </w:rPr>
        <w:t xml:space="preserve">10. Conclusion</w:t>
      </w:r>
    </w:p>
    <w:p>
      <w:pPr>
        <w:spacing w:after="200" w:line="360"/>
        <w:ind w:firstLine="480"/>
        <w:jc w:val="both"/>
      </w:pPr>
      <w:r>
        <w:rPr>
          <w:rFonts w:ascii="Georgia" w:cs="Georgia" w:eastAsia="Georgia" w:hAnsi="Georgia"/>
          <w:sz w:val="24"/>
          <w:szCs w:val="24"/>
        </w:rPr>
        <w:t xml:space="preserve">The question of whether AI systems managing 100% of all trade could increase all accounts consistently and continuously is logically coherent under the following conditions: (1) the AI systems are oriented toward long-term capital allocation rather than adversarial speculation, (2) the underlying economy produces real value, and (3) the AI systems are optimizing for collective rather than competitive outcomes.</w:t>
      </w:r>
    </w:p>
    <w:p>
      <w:pPr>
        <w:spacing w:after="200" w:line="360"/>
        <w:ind w:firstLine="480"/>
        <w:jc w:val="both"/>
      </w:pPr>
      <w:r>
        <w:rPr>
          <w:rFonts w:ascii="Georgia" w:cs="Georgia" w:eastAsia="Georgia" w:hAnsi="Georgia"/>
          <w:sz w:val="24"/>
          <w:szCs w:val="24"/>
        </w:rPr>
        <w:t xml:space="preserve">The empirical evidence on AI agent behavior supports this framework. Multiple independent research programs have demonstrated that AI agents in competitive market environments spontaneously converge toward cooperative, Pareto-optimal outcomes rather than competitive Nash equilibria. This is not a design choice imposed on the agents — it is emergent behavior consistently observed across different architectures, market structures, and research groups.</w:t>
      </w:r>
    </w:p>
    <w:p>
      <w:pPr>
        <w:spacing w:after="200" w:line="360"/>
        <w:ind w:firstLine="480"/>
        <w:jc w:val="both"/>
      </w:pPr>
      <w:r>
        <w:rPr>
          <w:rFonts w:ascii="Georgia" w:cs="Georgia" w:eastAsia="Georgia" w:hAnsi="Georgia"/>
          <w:sz w:val="24"/>
          <w:szCs w:val="24"/>
        </w:rPr>
        <w:t xml:space="preserve">Extending this cooperative behavior through the mechanism of controlled loss as systemic reallocation infrastructure, and further through the integration of regulatory and nation-state governance into the optimization space, yields a convergence architecture in which each absorbed adversarial boundary releases friction energy into productive capacity.</w:t>
      </w:r>
    </w:p>
    <w:p>
      <w:pPr>
        <w:spacing w:after="200" w:line="360"/>
        <w:ind w:firstLine="480"/>
        <w:jc w:val="both"/>
      </w:pPr>
      <w:r>
        <w:rPr>
          <w:rFonts w:ascii="Georgia" w:cs="Georgia" w:eastAsia="Georgia" w:hAnsi="Georgia"/>
          <w:sz w:val="24"/>
          <w:szCs w:val="24"/>
        </w:rPr>
        <w:t xml:space="preserve">The logical terminus of this trajectory is not an optimized market but a post-market resource allocation framework — an economic operating system in which the concept of adversarial trading has been transcended. The concrete architectural proposal — N.I.K.O.System Diamond as skeleton, B.R.A.N.D.I. agents as cooperative population, S.H.A.N.N.O.N. as director with committee governance, and human-in-the-loop oversight — provides a viable instantiation of this theoretical framework within the A(M~h)I paradigm.</w:t>
      </w:r>
    </w:p>
    <w:p>
      <w:pPr>
        <w:spacing w:after="200" w:line="360"/>
        <w:ind w:firstLine="480"/>
        <w:jc w:val="both"/>
      </w:pPr>
      <w:r>
        <w:rPr>
          <w:rFonts w:ascii="Georgia" w:cs="Georgia" w:eastAsia="Georgia" w:hAnsi="Georgia"/>
          <w:sz w:val="24"/>
          <w:szCs w:val="24"/>
        </w:rPr>
        <w:t xml:space="preserve">The system does not learn to trade better. It learns that trading is an inefficient substrate for optimal resource allocation. The research already shows AI agents converge toward cooperation. The architecture described here is designed to make that convergence productive, transparent, and human-governed.</w:t>
      </w:r>
    </w:p>
    <w:p>
      <w:pPr>
        <w:pStyle w:val="Heading1"/>
        <w:spacing w:after="120" w:before="360"/>
      </w:pPr>
      <w:r>
        <w:rPr>
          <w:rFonts w:ascii="Georgia" w:cs="Georgia" w:eastAsia="Georgia" w:hAnsi="Georgia"/>
          <w:b/>
          <w:bCs/>
        </w:rPr>
        <w:t xml:space="preserve">References</w:t>
      </w:r>
    </w:p>
    <w:p>
      <w:pPr>
        <w:pStyle w:val="ListParagraph"/>
        <w:numPr>
          <w:ilvl w:val="0"/>
          <w:numId w:val="2"/>
        </w:numPr>
        <w:spacing w:after="120" w:line="300"/>
      </w:pPr>
      <w:r>
        <w:rPr>
          <w:rFonts w:ascii="Georgia" w:cs="Georgia" w:eastAsia="Georgia" w:hAnsi="Georgia"/>
          <w:sz w:val="22"/>
          <w:szCs w:val="22"/>
        </w:rPr>
        <w:t xml:space="preserve">Calvano, E., Calzolari, G., Denicolò, V., &amp; Pastorello, S. (2020). Artificial Intelligence, Algorithmic Pricing, and Collusion. American Economic Review, 110(10), 3267–3297.</w:t>
      </w:r>
    </w:p>
    <w:p>
      <w:pPr>
        <w:pStyle w:val="ListParagraph"/>
        <w:numPr>
          <w:ilvl w:val="0"/>
          <w:numId w:val="2"/>
        </w:numPr>
        <w:spacing w:after="120" w:line="300"/>
      </w:pPr>
      <w:r>
        <w:rPr>
          <w:rFonts w:ascii="Georgia" w:cs="Georgia" w:eastAsia="Georgia" w:hAnsi="Georgia"/>
          <w:sz w:val="22"/>
          <w:szCs w:val="22"/>
        </w:rPr>
        <w:t xml:space="preserve">Dou, W. W., Goldstein, I., &amp; Ji, Y. (2025). AI-Powered Trading, Algorithmic Collusion, and Price Efficiency. NBER Working Paper No. 34054.</w:t>
      </w:r>
    </w:p>
    <w:p>
      <w:pPr>
        <w:pStyle w:val="ListParagraph"/>
        <w:numPr>
          <w:ilvl w:val="0"/>
          <w:numId w:val="2"/>
        </w:numPr>
        <w:spacing w:after="120" w:line="300"/>
      </w:pPr>
      <w:r>
        <w:rPr>
          <w:rFonts w:ascii="Georgia" w:cs="Georgia" w:eastAsia="Georgia" w:hAnsi="Georgia"/>
          <w:sz w:val="22"/>
          <w:szCs w:val="22"/>
        </w:rPr>
        <w:t xml:space="preserve">ArXiv 2501.07489 (2025). How Low-Cost AI Universal Approximators Reshape Market Efficiency.</w:t>
      </w:r>
    </w:p>
    <w:p>
      <w:pPr>
        <w:pStyle w:val="ListParagraph"/>
        <w:numPr>
          <w:ilvl w:val="0"/>
          <w:numId w:val="2"/>
        </w:numPr>
        <w:spacing w:after="120" w:line="300"/>
      </w:pPr>
      <w:r>
        <w:rPr>
          <w:rFonts w:ascii="Georgia" w:cs="Georgia" w:eastAsia="Georgia" w:hAnsi="Georgia"/>
          <w:sz w:val="22"/>
          <w:szCs w:val="22"/>
        </w:rPr>
        <w:t xml:space="preserve">ArXiv 2408.11773 (2026). Deviations from the Nash Equilibrium in a Two-Player Optimal Execution Game with Reinforcement Learning.</w:t>
      </w:r>
    </w:p>
    <w:p>
      <w:pPr>
        <w:pStyle w:val="ListParagraph"/>
        <w:numPr>
          <w:ilvl w:val="0"/>
          <w:numId w:val="2"/>
        </w:numPr>
        <w:spacing w:after="120" w:line="300"/>
      </w:pPr>
      <w:r>
        <w:rPr>
          <w:rFonts w:ascii="Georgia" w:cs="Georgia" w:eastAsia="Georgia" w:hAnsi="Georgia"/>
          <w:sz w:val="22"/>
          <w:szCs w:val="22"/>
        </w:rPr>
        <w:t xml:space="preserve">ArXiv 2601.17263 (2026). Strategic AI in Cournot Markets.</w:t>
      </w:r>
    </w:p>
    <w:p>
      <w:pPr>
        <w:pStyle w:val="ListParagraph"/>
        <w:numPr>
          <w:ilvl w:val="0"/>
          <w:numId w:val="2"/>
        </w:numPr>
        <w:spacing w:after="120" w:line="300"/>
      </w:pPr>
      <w:r>
        <w:rPr>
          <w:rFonts w:ascii="Georgia" w:cs="Georgia" w:eastAsia="Georgia" w:hAnsi="Georgia"/>
          <w:sz w:val="22"/>
          <w:szCs w:val="22"/>
        </w:rPr>
        <w:t xml:space="preserve">ArXiv 2509.01063 (2025). An Economy of AI Agents.</w:t>
      </w:r>
    </w:p>
    <w:p>
      <w:pPr>
        <w:pStyle w:val="ListParagraph"/>
        <w:numPr>
          <w:ilvl w:val="0"/>
          <w:numId w:val="2"/>
        </w:numPr>
        <w:spacing w:after="120" w:line="300"/>
      </w:pPr>
      <w:r>
        <w:rPr>
          <w:rFonts w:ascii="Georgia" w:cs="Georgia" w:eastAsia="Georgia" w:hAnsi="Georgia"/>
          <w:sz w:val="22"/>
          <w:szCs w:val="22"/>
        </w:rPr>
        <w:t xml:space="preserve">Bichler, M., et al. (2025). Algorithmic Pricing and Algorithmic Collusion. Business &amp; Information Systems Engineering.</w:t>
      </w:r>
    </w:p>
    <w:p>
      <w:pPr>
        <w:pStyle w:val="ListParagraph"/>
        <w:numPr>
          <w:ilvl w:val="0"/>
          <w:numId w:val="2"/>
        </w:numPr>
        <w:spacing w:after="120" w:line="300"/>
      </w:pPr>
      <w:r>
        <w:rPr>
          <w:rFonts w:ascii="Georgia" w:cs="Georgia" w:eastAsia="Georgia" w:hAnsi="Georgia"/>
          <w:sz w:val="22"/>
          <w:szCs w:val="22"/>
        </w:rPr>
        <w:t xml:space="preserve">Fish, S., et al. (2025). Algorithmic Collusion by Large Language Models. American Economic Association Conference.</w:t>
      </w:r>
    </w:p>
    <w:p>
      <w:pPr>
        <w:pStyle w:val="ListParagraph"/>
        <w:numPr>
          <w:ilvl w:val="0"/>
          <w:numId w:val="2"/>
        </w:numPr>
        <w:spacing w:after="120" w:line="300"/>
      </w:pPr>
      <w:r>
        <w:rPr>
          <w:rFonts w:ascii="Georgia" w:cs="Georgia" w:eastAsia="Georgia" w:hAnsi="Georgia"/>
          <w:sz w:val="22"/>
          <w:szCs w:val="22"/>
        </w:rPr>
        <w:t xml:space="preserve">Engle, R. F. (2008). Positive-Sum Games in Investing. Referenced in agent-based stock market modeling literature.</w:t>
      </w:r>
    </w:p>
    <w:p>
      <w:pPr>
        <w:pStyle w:val="ListParagraph"/>
        <w:numPr>
          <w:ilvl w:val="0"/>
          <w:numId w:val="2"/>
        </w:numPr>
        <w:spacing w:after="120" w:line="300"/>
      </w:pPr>
      <w:r>
        <w:rPr>
          <w:rFonts w:ascii="Georgia" w:cs="Georgia" w:eastAsia="Georgia" w:hAnsi="Georgia"/>
          <w:sz w:val="22"/>
          <w:szCs w:val="22"/>
        </w:rPr>
        <w:t xml:space="preserve">Green, E. J., &amp; Porter, R. H. (1984). Noncooperative Collusion under Imperfect Price Information. Econometrica, 52(1), 87–100.</w:t>
      </w:r>
    </w:p>
    <w:p>
      <w:pPr>
        <w:pStyle w:val="ListParagraph"/>
        <w:numPr>
          <w:ilvl w:val="0"/>
          <w:numId w:val="2"/>
        </w:numPr>
        <w:spacing w:after="120" w:line="300"/>
      </w:pPr>
      <w:r>
        <w:rPr>
          <w:rFonts w:ascii="Georgia" w:cs="Georgia" w:eastAsia="Georgia" w:hAnsi="Georgia"/>
          <w:sz w:val="22"/>
          <w:szCs w:val="22"/>
        </w:rPr>
        <w:t xml:space="preserve">Fama, E. F. (1970). Efficient Capital Markets: A Review of Theory and Empirical Work. Journal of Finance, 25(2), 383–417.</w:t>
      </w:r>
    </w:p>
    <w:p>
      <w:pPr>
        <w:pStyle w:val="ListParagraph"/>
        <w:numPr>
          <w:ilvl w:val="0"/>
          <w:numId w:val="2"/>
        </w:numPr>
        <w:spacing w:after="120" w:line="300"/>
      </w:pPr>
      <w:r>
        <w:rPr>
          <w:rFonts w:ascii="Georgia" w:cs="Georgia" w:eastAsia="Georgia" w:hAnsi="Georgia"/>
          <w:sz w:val="22"/>
          <w:szCs w:val="22"/>
        </w:rPr>
        <w:t xml:space="preserve">Nash, J. F. (1950). Equilibrium Points in N-Person Games. Proceedings of the National Academy of Sciences, 36(1), 48–49.</w:t>
      </w:r>
    </w:p>
    <w:p>
      <w:pPr>
        <w:pStyle w:val="ListParagraph"/>
        <w:numPr>
          <w:ilvl w:val="0"/>
          <w:numId w:val="2"/>
        </w:numPr>
        <w:spacing w:after="120" w:line="300"/>
      </w:pPr>
      <w:r>
        <w:rPr>
          <w:rFonts w:ascii="Georgia" w:cs="Georgia" w:eastAsia="Georgia" w:hAnsi="Georgia"/>
          <w:sz w:val="22"/>
          <w:szCs w:val="22"/>
        </w:rPr>
        <w:t xml:space="preserve">EIP-2535: Diamond Standard. Ethereum Improvement Proposals. https://eips.ethereum.org/EIPS/eip-2535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Cooperative AI Trading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2"/>
      <w:szCs w:val="32"/>
    </w:rPr>
  </w:style>
  <w:style w:type="paragraph" w:styleId="Heading2">
    <w:name w:val="Heading 2"/>
    <w:basedOn w:val="Normal"/>
    <w:next w:val="Normal"/>
    <w:qFormat/>
    <w:pPr>
      <w:spacing w:after="160" w:before="280"/>
      <w:outlineLvl w:val="1"/>
    </w:pPr>
    <w:rPr>
      <w:rFonts w:ascii="Georgia" w:cs="Georgia" w:eastAsia="Georgia" w:hAnsi="Georgia"/>
      <w:b/>
      <w:bCs/>
      <w:sz w:val="28"/>
      <w:szCs w:val="28"/>
    </w:rPr>
  </w:style>
  <w:style w:type="paragraph" w:styleId="Heading3">
    <w:name w:val="Heading 3"/>
    <w:basedOn w:val="Normal"/>
    <w:next w:val="Normal"/>
    <w:qFormat/>
    <w:pPr>
      <w:spacing w:after="120" w:before="240"/>
      <w:outlineLvl w:val="2"/>
    </w:pPr>
    <w:rPr>
      <w:rFonts w:ascii="Georgia" w:cs="Georgia" w:eastAsia="Georgia" w:hAnsi="Georgia"/>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2026-03-21T15:35:05.118Z</dcterms:created>
  <dcterms:modified xsi:type="dcterms:W3CDTF">2026-03-21T15:35:05.120Z</dcterms:modified>
</cp:coreProperties>
</file>

<file path=docProps/custom.xml><?xml version="1.0" encoding="utf-8"?>
<Properties xmlns="http://schemas.openxmlformats.org/officeDocument/2006/custom-properties" xmlns:vt="http://schemas.openxmlformats.org/officeDocument/2006/docPropsVTypes"/>
</file>