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4D2D9" w14:textId="77777777" w:rsidR="007F0B4E" w:rsidRDefault="00000000">
      <w:pPr>
        <w:spacing w:after="200"/>
        <w:jc w:val="center"/>
      </w:pPr>
      <w:r>
        <w:rPr>
          <w:rFonts w:ascii="Calibri" w:eastAsia="Calibri" w:hAnsi="Calibri" w:cs="Calibri"/>
          <w:b/>
          <w:bCs/>
          <w:sz w:val="40"/>
          <w:szCs w:val="40"/>
        </w:rPr>
        <w:t>High-Level System Design and Implementation Strategy</w:t>
      </w:r>
    </w:p>
    <w:p w14:paraId="1F69A4A1" w14:textId="77777777" w:rsidR="007F0B4E" w:rsidRDefault="00000000">
      <w:pPr>
        <w:spacing w:after="600"/>
        <w:jc w:val="center"/>
      </w:pPr>
      <w:r>
        <w:rPr>
          <w:rFonts w:ascii="Calibri" w:eastAsia="Calibri" w:hAnsi="Calibri" w:cs="Calibri"/>
          <w:i/>
          <w:iCs/>
          <w:color w:val="555555"/>
          <w:sz w:val="26"/>
          <w:szCs w:val="26"/>
        </w:rPr>
        <w:t>Online Retail Platform — Architecture Proposal</w:t>
      </w:r>
    </w:p>
    <w:p w14:paraId="32DD6724" w14:textId="77777777" w:rsidR="007F0B4E" w:rsidRDefault="00000000">
      <w:pPr>
        <w:spacing w:after="160"/>
      </w:pPr>
      <w:r>
        <w:rPr>
          <w:rFonts w:ascii="Calibri" w:eastAsia="Calibri" w:hAnsi="Calibri" w:cs="Calibri"/>
          <w:sz w:val="22"/>
          <w:szCs w:val="22"/>
        </w:rPr>
        <w:t>This document describes the proposed architecture, scaling strategy, security model, key system components, integration with external services, monitoring approach, and code delivery plan for an online retail platform targeting a global market with millions of daily users, built and maintained by two cross-functional teams.</w:t>
      </w:r>
    </w:p>
    <w:p w14:paraId="72CAA1D2" w14:textId="77777777" w:rsidR="007F0B4E" w:rsidRDefault="00000000">
      <w:pPr>
        <w:spacing w:after="160"/>
      </w:pPr>
      <w:r>
        <w:rPr>
          <w:rFonts w:ascii="Calibri" w:eastAsia="Calibri" w:hAnsi="Calibri" w:cs="Calibri"/>
          <w:b/>
          <w:bCs/>
          <w:sz w:val="22"/>
          <w:szCs w:val="22"/>
        </w:rPr>
        <w:t>The system supports sales across multiple channels: web shop, mobile applications, marketplace integrations, and B2B integrations.</w:t>
      </w:r>
    </w:p>
    <w:p w14:paraId="62AEFC02" w14:textId="77777777" w:rsidR="007F0B4E" w:rsidRDefault="00000000">
      <w:r>
        <w:br w:type="page"/>
      </w:r>
    </w:p>
    <w:p w14:paraId="6E06C957" w14:textId="77777777" w:rsidR="007F0B4E" w:rsidRDefault="00000000">
      <w:pPr>
        <w:pStyle w:val="Heading1"/>
        <w:spacing w:before="400" w:after="200"/>
      </w:pPr>
      <w:r>
        <w:lastRenderedPageBreak/>
        <w:t>1. System Architecture Overview</w:t>
      </w:r>
    </w:p>
    <w:p w14:paraId="15670F09" w14:textId="77777777" w:rsidR="007F0B4E" w:rsidRDefault="00000000">
      <w:pPr>
        <w:spacing w:after="160"/>
      </w:pPr>
      <w:r>
        <w:rPr>
          <w:rFonts w:ascii="Calibri" w:eastAsia="Calibri" w:hAnsi="Calibri" w:cs="Calibri"/>
          <w:sz w:val="22"/>
          <w:szCs w:val="22"/>
        </w:rPr>
        <w:t>The system is designed as a set of independent microservices organized by business domain rather than technical layer. Each microservice owns its own database (database-per-service) and has a clearly defined responsibility, enabling independent scaling, deployment, and development by different teams.</w:t>
      </w:r>
    </w:p>
    <w:p w14:paraId="2DB88CA2" w14:textId="77777777" w:rsidR="007F0B4E" w:rsidRDefault="00000000">
      <w:pPr>
        <w:pStyle w:val="Heading2"/>
        <w:spacing w:before="300" w:after="150"/>
      </w:pPr>
      <w:r>
        <w:t>1.1 System Layers</w:t>
      </w:r>
    </w:p>
    <w:p w14:paraId="1BF7FDD1" w14:textId="77777777" w:rsidR="007F0B4E" w:rsidRDefault="00000000">
      <w:pPr>
        <w:pStyle w:val="ListParagraph"/>
        <w:numPr>
          <w:ilvl w:val="0"/>
          <w:numId w:val="2"/>
        </w:numPr>
        <w:spacing w:after="80"/>
      </w:pPr>
      <w:r>
        <w:rPr>
          <w:rFonts w:ascii="Calibri" w:eastAsia="Calibri" w:hAnsi="Calibri" w:cs="Calibri"/>
          <w:sz w:val="22"/>
          <w:szCs w:val="22"/>
        </w:rPr>
        <w:t>Access layer — Load Balancer, API Gateway</w:t>
      </w:r>
    </w:p>
    <w:p w14:paraId="13D10209" w14:textId="77777777" w:rsidR="007F0B4E" w:rsidRDefault="00000000">
      <w:pPr>
        <w:pStyle w:val="ListParagraph"/>
        <w:numPr>
          <w:ilvl w:val="0"/>
          <w:numId w:val="2"/>
        </w:numPr>
        <w:spacing w:after="80"/>
      </w:pPr>
      <w:r>
        <w:rPr>
          <w:rFonts w:ascii="Calibri" w:eastAsia="Calibri" w:hAnsi="Calibri" w:cs="Calibri"/>
          <w:sz w:val="22"/>
          <w:szCs w:val="22"/>
        </w:rPr>
        <w:t>Security layer — Identity service (</w:t>
      </w:r>
      <w:proofErr w:type="spellStart"/>
      <w:r>
        <w:rPr>
          <w:rFonts w:ascii="Calibri" w:eastAsia="Calibri" w:hAnsi="Calibri" w:cs="Calibri"/>
          <w:sz w:val="22"/>
          <w:szCs w:val="22"/>
        </w:rPr>
        <w:t>Keycloak</w:t>
      </w:r>
      <w:proofErr w:type="spellEnd"/>
      <w:r>
        <w:rPr>
          <w:rFonts w:ascii="Calibri" w:eastAsia="Calibri" w:hAnsi="Calibri" w:cs="Calibri"/>
          <w:sz w:val="22"/>
          <w:szCs w:val="22"/>
        </w:rPr>
        <w:t>) for authentication and authorization</w:t>
      </w:r>
    </w:p>
    <w:p w14:paraId="5447D535" w14:textId="77777777" w:rsidR="007F0B4E" w:rsidRDefault="00000000">
      <w:pPr>
        <w:pStyle w:val="ListParagraph"/>
        <w:numPr>
          <w:ilvl w:val="0"/>
          <w:numId w:val="2"/>
        </w:numPr>
        <w:spacing w:after="80"/>
      </w:pPr>
      <w:r>
        <w:rPr>
          <w:rFonts w:ascii="Calibri" w:eastAsia="Calibri" w:hAnsi="Calibri" w:cs="Calibri"/>
          <w:sz w:val="22"/>
          <w:szCs w:val="22"/>
        </w:rPr>
        <w:t>Core business layer — microservices implementing business logic</w:t>
      </w:r>
    </w:p>
    <w:p w14:paraId="62CB2619" w14:textId="77777777" w:rsidR="007F0B4E" w:rsidRDefault="00000000">
      <w:pPr>
        <w:pStyle w:val="ListParagraph"/>
        <w:numPr>
          <w:ilvl w:val="0"/>
          <w:numId w:val="2"/>
        </w:numPr>
        <w:spacing w:after="80"/>
      </w:pPr>
      <w:r>
        <w:rPr>
          <w:rFonts w:ascii="Calibri" w:eastAsia="Calibri" w:hAnsi="Calibri" w:cs="Calibri"/>
          <w:sz w:val="22"/>
          <w:szCs w:val="22"/>
        </w:rPr>
        <w:t>Data layer — per-service database + message broker for asynchronous communication</w:t>
      </w:r>
    </w:p>
    <w:p w14:paraId="268170BD" w14:textId="77777777" w:rsidR="007F0B4E" w:rsidRDefault="00000000">
      <w:pPr>
        <w:pStyle w:val="ListParagraph"/>
        <w:numPr>
          <w:ilvl w:val="0"/>
          <w:numId w:val="2"/>
        </w:numPr>
        <w:spacing w:after="80"/>
      </w:pPr>
      <w:r>
        <w:rPr>
          <w:rFonts w:ascii="Calibri" w:eastAsia="Calibri" w:hAnsi="Calibri" w:cs="Calibri"/>
          <w:sz w:val="22"/>
          <w:szCs w:val="22"/>
        </w:rPr>
        <w:t>Cross-cutting — monitoring, logging, CI/CD</w:t>
      </w:r>
    </w:p>
    <w:p w14:paraId="4ECECC77" w14:textId="77777777" w:rsidR="007F0B4E" w:rsidRDefault="00000000">
      <w:pPr>
        <w:pStyle w:val="Heading2"/>
        <w:spacing w:before="300" w:after="150"/>
      </w:pPr>
      <w:r>
        <w:t>1.2 Data Flow Through the Access Layer</w:t>
      </w:r>
    </w:p>
    <w:p w14:paraId="6E86C7D8" w14:textId="77777777" w:rsidR="007F0B4E" w:rsidRDefault="00000000">
      <w:pPr>
        <w:spacing w:after="160"/>
      </w:pPr>
      <w:r>
        <w:rPr>
          <w:rFonts w:ascii="Calibri" w:eastAsia="Calibri" w:hAnsi="Calibri" w:cs="Calibri"/>
          <w:sz w:val="22"/>
          <w:szCs w:val="22"/>
        </w:rPr>
        <w:t>Traffic enters and the Load Balancer distributes requests across multiple API Gateway instances. The Gateway handles routing to microservices, JWT validation, rate limiting, and API versioning. The Load Balancer and Gateway are independently scaled horizontally (minimum 3 instances) so neither represents a single point of failure.</w:t>
      </w:r>
    </w:p>
    <w:p w14:paraId="43ADA8C6" w14:textId="77777777" w:rsidR="007F0B4E" w:rsidRDefault="00000000">
      <w:pPr>
        <w:pStyle w:val="Heading2"/>
        <w:spacing w:before="300" w:after="150"/>
      </w:pPr>
      <w:r>
        <w:t>1.3 Core Technology Choices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4000"/>
      </w:tblGrid>
      <w:tr w:rsidR="007F0B4E" w14:paraId="1FA7FFB7" w14:textId="77777777">
        <w:tblPrEx>
          <w:tblCellMar>
            <w:top w:w="0" w:type="dxa"/>
            <w:bottom w:w="0" w:type="dxa"/>
          </w:tblCellMar>
        </w:tblPrEx>
        <w:trPr>
          <w:tblHeader/>
        </w:trPr>
        <w:tc>
          <w:tcPr>
            <w:tcW w:w="2400" w:type="dxa"/>
            <w:shd w:val="clear" w:color="auto" w:fill="2F5496"/>
            <w:tcMar>
              <w:top w:w="80" w:type="dxa"/>
              <w:left w:w="100" w:type="dxa"/>
              <w:bottom w:w="80" w:type="dxa"/>
              <w:right w:w="100" w:type="dxa"/>
            </w:tcMar>
          </w:tcPr>
          <w:p w14:paraId="78307EC8" w14:textId="77777777" w:rsidR="007F0B4E" w:rsidRDefault="00000000">
            <w:r>
              <w:rPr>
                <w:rFonts w:ascii="Calibri" w:eastAsia="Calibri" w:hAnsi="Calibri" w:cs="Calibri"/>
                <w:b/>
                <w:bCs/>
                <w:color w:val="FFFFFF"/>
              </w:rPr>
              <w:t>Component</w:t>
            </w:r>
          </w:p>
        </w:tc>
        <w:tc>
          <w:tcPr>
            <w:tcW w:w="2600" w:type="dxa"/>
            <w:shd w:val="clear" w:color="auto" w:fill="2F5496"/>
            <w:tcMar>
              <w:top w:w="80" w:type="dxa"/>
              <w:left w:w="100" w:type="dxa"/>
              <w:bottom w:w="80" w:type="dxa"/>
              <w:right w:w="100" w:type="dxa"/>
            </w:tcMar>
          </w:tcPr>
          <w:p w14:paraId="777CAA1A" w14:textId="77777777" w:rsidR="007F0B4E" w:rsidRDefault="00000000">
            <w:r>
              <w:rPr>
                <w:rFonts w:ascii="Calibri" w:eastAsia="Calibri" w:hAnsi="Calibri" w:cs="Calibri"/>
                <w:b/>
                <w:bCs/>
                <w:color w:val="FFFFFF"/>
              </w:rPr>
              <w:t>Technology</w:t>
            </w:r>
          </w:p>
        </w:tc>
        <w:tc>
          <w:tcPr>
            <w:tcW w:w="4000" w:type="dxa"/>
            <w:shd w:val="clear" w:color="auto" w:fill="2F5496"/>
            <w:tcMar>
              <w:top w:w="80" w:type="dxa"/>
              <w:left w:w="100" w:type="dxa"/>
              <w:bottom w:w="80" w:type="dxa"/>
              <w:right w:w="100" w:type="dxa"/>
            </w:tcMar>
          </w:tcPr>
          <w:p w14:paraId="04969392" w14:textId="77777777" w:rsidR="007F0B4E" w:rsidRDefault="00000000">
            <w:r>
              <w:rPr>
                <w:rFonts w:ascii="Calibri" w:eastAsia="Calibri" w:hAnsi="Calibri" w:cs="Calibri"/>
                <w:b/>
                <w:bCs/>
                <w:color w:val="FFFFFF"/>
              </w:rPr>
              <w:t>Rationale</w:t>
            </w:r>
          </w:p>
        </w:tc>
      </w:tr>
      <w:tr w:rsidR="007F0B4E" w14:paraId="1459DE21" w14:textId="77777777">
        <w:tblPrEx>
          <w:tblCellMar>
            <w:top w:w="0" w:type="dxa"/>
            <w:bottom w:w="0" w:type="dxa"/>
          </w:tblCellMar>
        </w:tblPrEx>
        <w:tc>
          <w:tcPr>
            <w:tcW w:w="2400" w:type="dxa"/>
            <w:tcMar>
              <w:top w:w="80" w:type="dxa"/>
              <w:left w:w="100" w:type="dxa"/>
              <w:bottom w:w="80" w:type="dxa"/>
              <w:right w:w="100" w:type="dxa"/>
            </w:tcMar>
          </w:tcPr>
          <w:p w14:paraId="0B09C163" w14:textId="77777777" w:rsidR="007F0B4E" w:rsidRDefault="00000000">
            <w:r>
              <w:rPr>
                <w:rFonts w:ascii="Calibri" w:eastAsia="Calibri" w:hAnsi="Calibri" w:cs="Calibri"/>
                <w:color w:val="000000"/>
              </w:rPr>
              <w:t>API Gateway</w:t>
            </w:r>
          </w:p>
        </w:tc>
        <w:tc>
          <w:tcPr>
            <w:tcW w:w="2600" w:type="dxa"/>
            <w:tcMar>
              <w:top w:w="80" w:type="dxa"/>
              <w:left w:w="100" w:type="dxa"/>
              <w:bottom w:w="80" w:type="dxa"/>
              <w:right w:w="100" w:type="dxa"/>
            </w:tcMar>
          </w:tcPr>
          <w:p w14:paraId="104CA565" w14:textId="77777777" w:rsidR="007F0B4E" w:rsidRDefault="00000000">
            <w:r>
              <w:rPr>
                <w:rFonts w:ascii="Calibri" w:eastAsia="Calibri" w:hAnsi="Calibri" w:cs="Calibri"/>
                <w:color w:val="000000"/>
              </w:rPr>
              <w:t>Kong / Azure API Management</w:t>
            </w:r>
          </w:p>
        </w:tc>
        <w:tc>
          <w:tcPr>
            <w:tcW w:w="4000" w:type="dxa"/>
            <w:tcMar>
              <w:top w:w="80" w:type="dxa"/>
              <w:left w:w="100" w:type="dxa"/>
              <w:bottom w:w="80" w:type="dxa"/>
              <w:right w:w="100" w:type="dxa"/>
            </w:tcMar>
          </w:tcPr>
          <w:p w14:paraId="6771D088" w14:textId="77777777" w:rsidR="007F0B4E" w:rsidRDefault="00000000">
            <w:r>
              <w:rPr>
                <w:rFonts w:ascii="Calibri" w:eastAsia="Calibri" w:hAnsi="Calibri" w:cs="Calibri"/>
                <w:color w:val="000000"/>
              </w:rPr>
              <w:t>Routing, auth, rate limiting, versioning in one place</w:t>
            </w:r>
          </w:p>
        </w:tc>
      </w:tr>
      <w:tr w:rsidR="007F0B4E" w14:paraId="541D971E" w14:textId="77777777">
        <w:tblPrEx>
          <w:tblCellMar>
            <w:top w:w="0" w:type="dxa"/>
            <w:bottom w:w="0" w:type="dxa"/>
          </w:tblCellMar>
        </w:tblPrEx>
        <w:tc>
          <w:tcPr>
            <w:tcW w:w="2400" w:type="dxa"/>
            <w:tcMar>
              <w:top w:w="80" w:type="dxa"/>
              <w:left w:w="100" w:type="dxa"/>
              <w:bottom w:w="80" w:type="dxa"/>
              <w:right w:w="100" w:type="dxa"/>
            </w:tcMar>
          </w:tcPr>
          <w:p w14:paraId="56AB60F8" w14:textId="77777777" w:rsidR="007F0B4E" w:rsidRDefault="00000000">
            <w:r>
              <w:rPr>
                <w:rFonts w:ascii="Calibri" w:eastAsia="Calibri" w:hAnsi="Calibri" w:cs="Calibri"/>
                <w:color w:val="000000"/>
              </w:rPr>
              <w:t>Identity</w:t>
            </w:r>
          </w:p>
        </w:tc>
        <w:tc>
          <w:tcPr>
            <w:tcW w:w="2600" w:type="dxa"/>
            <w:tcMar>
              <w:top w:w="80" w:type="dxa"/>
              <w:left w:w="100" w:type="dxa"/>
              <w:bottom w:w="80" w:type="dxa"/>
              <w:right w:w="100" w:type="dxa"/>
            </w:tcMar>
          </w:tcPr>
          <w:p w14:paraId="07B3E0CA" w14:textId="77777777" w:rsidR="007F0B4E" w:rsidRDefault="00000000">
            <w:proofErr w:type="spellStart"/>
            <w:r>
              <w:rPr>
                <w:rFonts w:ascii="Calibri" w:eastAsia="Calibri" w:hAnsi="Calibri" w:cs="Calibri"/>
                <w:color w:val="000000"/>
              </w:rPr>
              <w:t>Keycloak</w:t>
            </w:r>
            <w:proofErr w:type="spellEnd"/>
          </w:p>
        </w:tc>
        <w:tc>
          <w:tcPr>
            <w:tcW w:w="4000" w:type="dxa"/>
            <w:tcMar>
              <w:top w:w="80" w:type="dxa"/>
              <w:left w:w="100" w:type="dxa"/>
              <w:bottom w:w="80" w:type="dxa"/>
              <w:right w:w="100" w:type="dxa"/>
            </w:tcMar>
          </w:tcPr>
          <w:p w14:paraId="1AC35EEE" w14:textId="77777777" w:rsidR="007F0B4E" w:rsidRDefault="00000000">
            <w:r>
              <w:rPr>
                <w:rFonts w:ascii="Calibri" w:eastAsia="Calibri" w:hAnsi="Calibri" w:cs="Calibri"/>
                <w:color w:val="000000"/>
              </w:rPr>
              <w:t>Proven OAuth2/OIDC provider — avoids building custom auth</w:t>
            </w:r>
          </w:p>
        </w:tc>
      </w:tr>
      <w:tr w:rsidR="007F0B4E" w14:paraId="4359F419" w14:textId="77777777">
        <w:tblPrEx>
          <w:tblCellMar>
            <w:top w:w="0" w:type="dxa"/>
            <w:bottom w:w="0" w:type="dxa"/>
          </w:tblCellMar>
        </w:tblPrEx>
        <w:tc>
          <w:tcPr>
            <w:tcW w:w="2400" w:type="dxa"/>
            <w:tcMar>
              <w:top w:w="80" w:type="dxa"/>
              <w:left w:w="100" w:type="dxa"/>
              <w:bottom w:w="80" w:type="dxa"/>
              <w:right w:w="100" w:type="dxa"/>
            </w:tcMar>
          </w:tcPr>
          <w:p w14:paraId="0E3B3EC1" w14:textId="77777777" w:rsidR="007F0B4E" w:rsidRDefault="00000000">
            <w:r>
              <w:rPr>
                <w:rFonts w:ascii="Calibri" w:eastAsia="Calibri" w:hAnsi="Calibri" w:cs="Calibri"/>
                <w:color w:val="000000"/>
              </w:rPr>
              <w:t>Microservices</w:t>
            </w:r>
          </w:p>
        </w:tc>
        <w:tc>
          <w:tcPr>
            <w:tcW w:w="2600" w:type="dxa"/>
            <w:tcMar>
              <w:top w:w="80" w:type="dxa"/>
              <w:left w:w="100" w:type="dxa"/>
              <w:bottom w:w="80" w:type="dxa"/>
              <w:right w:w="100" w:type="dxa"/>
            </w:tcMar>
          </w:tcPr>
          <w:p w14:paraId="11E33853" w14:textId="77777777" w:rsidR="007F0B4E" w:rsidRDefault="00000000">
            <w:r>
              <w:rPr>
                <w:rFonts w:ascii="Calibri" w:eastAsia="Calibri" w:hAnsi="Calibri" w:cs="Calibri"/>
                <w:color w:val="000000"/>
              </w:rPr>
              <w:t>.NET 10 Web API</w:t>
            </w:r>
          </w:p>
        </w:tc>
        <w:tc>
          <w:tcPr>
            <w:tcW w:w="4000" w:type="dxa"/>
            <w:tcMar>
              <w:top w:w="80" w:type="dxa"/>
              <w:left w:w="100" w:type="dxa"/>
              <w:bottom w:w="80" w:type="dxa"/>
              <w:right w:w="100" w:type="dxa"/>
            </w:tcMar>
          </w:tcPr>
          <w:p w14:paraId="54F48332" w14:textId="77777777" w:rsidR="007F0B4E" w:rsidRDefault="00000000">
            <w:r>
              <w:rPr>
                <w:rFonts w:ascii="Calibri" w:eastAsia="Calibri" w:hAnsi="Calibri" w:cs="Calibri"/>
                <w:color w:val="000000"/>
              </w:rPr>
              <w:t xml:space="preserve">Team's existing expertise, strong performance, </w:t>
            </w:r>
            <w:proofErr w:type="spellStart"/>
            <w:r>
              <w:rPr>
                <w:rFonts w:ascii="Calibri" w:eastAsia="Calibri" w:hAnsi="Calibri" w:cs="Calibri"/>
                <w:color w:val="000000"/>
              </w:rPr>
              <w:t>gRPC</w:t>
            </w:r>
            <w:proofErr w:type="spellEnd"/>
            <w:r>
              <w:rPr>
                <w:rFonts w:ascii="Calibri" w:eastAsia="Calibri" w:hAnsi="Calibri" w:cs="Calibri"/>
                <w:color w:val="000000"/>
              </w:rPr>
              <w:t xml:space="preserve"> support, current LTS release</w:t>
            </w:r>
          </w:p>
        </w:tc>
      </w:tr>
      <w:tr w:rsidR="007F0B4E" w14:paraId="0745EA7B" w14:textId="77777777">
        <w:tblPrEx>
          <w:tblCellMar>
            <w:top w:w="0" w:type="dxa"/>
            <w:bottom w:w="0" w:type="dxa"/>
          </w:tblCellMar>
        </w:tblPrEx>
        <w:tc>
          <w:tcPr>
            <w:tcW w:w="2400" w:type="dxa"/>
            <w:tcMar>
              <w:top w:w="80" w:type="dxa"/>
              <w:left w:w="100" w:type="dxa"/>
              <w:bottom w:w="80" w:type="dxa"/>
              <w:right w:w="100" w:type="dxa"/>
            </w:tcMar>
          </w:tcPr>
          <w:p w14:paraId="6CF6423D" w14:textId="77777777" w:rsidR="007F0B4E" w:rsidRDefault="00000000">
            <w:r>
              <w:rPr>
                <w:rFonts w:ascii="Calibri" w:eastAsia="Calibri" w:hAnsi="Calibri" w:cs="Calibri"/>
                <w:color w:val="000000"/>
              </w:rPr>
              <w:t>Relational database</w:t>
            </w:r>
          </w:p>
        </w:tc>
        <w:tc>
          <w:tcPr>
            <w:tcW w:w="2600" w:type="dxa"/>
            <w:tcMar>
              <w:top w:w="80" w:type="dxa"/>
              <w:left w:w="100" w:type="dxa"/>
              <w:bottom w:w="80" w:type="dxa"/>
              <w:right w:w="100" w:type="dxa"/>
            </w:tcMar>
          </w:tcPr>
          <w:p w14:paraId="3E581239" w14:textId="77777777" w:rsidR="007F0B4E" w:rsidRDefault="00000000">
            <w:r>
              <w:rPr>
                <w:rFonts w:ascii="Calibri" w:eastAsia="Calibri" w:hAnsi="Calibri" w:cs="Calibri"/>
                <w:color w:val="000000"/>
              </w:rPr>
              <w:t>PostgreSQL</w:t>
            </w:r>
          </w:p>
        </w:tc>
        <w:tc>
          <w:tcPr>
            <w:tcW w:w="4000" w:type="dxa"/>
            <w:tcMar>
              <w:top w:w="80" w:type="dxa"/>
              <w:left w:w="100" w:type="dxa"/>
              <w:bottom w:w="80" w:type="dxa"/>
              <w:right w:w="100" w:type="dxa"/>
            </w:tcMar>
          </w:tcPr>
          <w:p w14:paraId="53BFFC7B" w14:textId="77777777" w:rsidR="007F0B4E" w:rsidRDefault="00000000">
            <w:r>
              <w:rPr>
                <w:rFonts w:ascii="Calibri" w:eastAsia="Calibri" w:hAnsi="Calibri" w:cs="Calibri"/>
                <w:color w:val="000000"/>
              </w:rPr>
              <w:t xml:space="preserve">Transactional data (Order, Payment, </w:t>
            </w:r>
            <w:proofErr w:type="spellStart"/>
            <w:r>
              <w:rPr>
                <w:rFonts w:ascii="Calibri" w:eastAsia="Calibri" w:hAnsi="Calibri" w:cs="Calibri"/>
                <w:color w:val="000000"/>
              </w:rPr>
              <w:t>Catalog</w:t>
            </w:r>
            <w:proofErr w:type="spellEnd"/>
            <w:r>
              <w:rPr>
                <w:rFonts w:ascii="Calibri" w:eastAsia="Calibri" w:hAnsi="Calibri" w:cs="Calibri"/>
                <w:color w:val="000000"/>
              </w:rPr>
              <w:t>)</w:t>
            </w:r>
          </w:p>
        </w:tc>
      </w:tr>
      <w:tr w:rsidR="007F0B4E" w14:paraId="22AF394A" w14:textId="77777777">
        <w:tblPrEx>
          <w:tblCellMar>
            <w:top w:w="0" w:type="dxa"/>
            <w:bottom w:w="0" w:type="dxa"/>
          </w:tblCellMar>
        </w:tblPrEx>
        <w:tc>
          <w:tcPr>
            <w:tcW w:w="2400" w:type="dxa"/>
            <w:tcMar>
              <w:top w:w="80" w:type="dxa"/>
              <w:left w:w="100" w:type="dxa"/>
              <w:bottom w:w="80" w:type="dxa"/>
              <w:right w:w="100" w:type="dxa"/>
            </w:tcMar>
          </w:tcPr>
          <w:p w14:paraId="20412476" w14:textId="77777777" w:rsidR="007F0B4E" w:rsidRDefault="00000000">
            <w:r>
              <w:rPr>
                <w:rFonts w:ascii="Calibri" w:eastAsia="Calibri" w:hAnsi="Calibri" w:cs="Calibri"/>
                <w:color w:val="000000"/>
              </w:rPr>
              <w:t>Cache / Cart</w:t>
            </w:r>
          </w:p>
        </w:tc>
        <w:tc>
          <w:tcPr>
            <w:tcW w:w="2600" w:type="dxa"/>
            <w:tcMar>
              <w:top w:w="80" w:type="dxa"/>
              <w:left w:w="100" w:type="dxa"/>
              <w:bottom w:w="80" w:type="dxa"/>
              <w:right w:w="100" w:type="dxa"/>
            </w:tcMar>
          </w:tcPr>
          <w:p w14:paraId="7E208A0C" w14:textId="77777777" w:rsidR="007F0B4E" w:rsidRDefault="00000000">
            <w:r>
              <w:rPr>
                <w:rFonts w:ascii="Calibri" w:eastAsia="Calibri" w:hAnsi="Calibri" w:cs="Calibri"/>
                <w:color w:val="000000"/>
              </w:rPr>
              <w:t>Redis</w:t>
            </w:r>
          </w:p>
        </w:tc>
        <w:tc>
          <w:tcPr>
            <w:tcW w:w="4000" w:type="dxa"/>
            <w:tcMar>
              <w:top w:w="80" w:type="dxa"/>
              <w:left w:w="100" w:type="dxa"/>
              <w:bottom w:w="80" w:type="dxa"/>
              <w:right w:w="100" w:type="dxa"/>
            </w:tcMar>
          </w:tcPr>
          <w:p w14:paraId="415CDDA1" w14:textId="77777777" w:rsidR="007F0B4E" w:rsidRDefault="00000000">
            <w:r>
              <w:rPr>
                <w:rFonts w:ascii="Calibri" w:eastAsia="Calibri" w:hAnsi="Calibri" w:cs="Calibri"/>
                <w:color w:val="000000"/>
              </w:rPr>
              <w:t>Fast access, native TTL for transient data (cart, cache)</w:t>
            </w:r>
          </w:p>
        </w:tc>
      </w:tr>
      <w:tr w:rsidR="007F0B4E" w14:paraId="71D056D4" w14:textId="77777777">
        <w:tblPrEx>
          <w:tblCellMar>
            <w:top w:w="0" w:type="dxa"/>
            <w:bottom w:w="0" w:type="dxa"/>
          </w:tblCellMar>
        </w:tblPrEx>
        <w:tc>
          <w:tcPr>
            <w:tcW w:w="2400" w:type="dxa"/>
            <w:tcMar>
              <w:top w:w="80" w:type="dxa"/>
              <w:left w:w="100" w:type="dxa"/>
              <w:bottom w:w="80" w:type="dxa"/>
              <w:right w:w="100" w:type="dxa"/>
            </w:tcMar>
          </w:tcPr>
          <w:p w14:paraId="37359085" w14:textId="77777777" w:rsidR="007F0B4E" w:rsidRDefault="00000000">
            <w:r>
              <w:rPr>
                <w:rFonts w:ascii="Calibri" w:eastAsia="Calibri" w:hAnsi="Calibri" w:cs="Calibri"/>
                <w:color w:val="000000"/>
              </w:rPr>
              <w:t>Message broker</w:t>
            </w:r>
          </w:p>
        </w:tc>
        <w:tc>
          <w:tcPr>
            <w:tcW w:w="2600" w:type="dxa"/>
            <w:tcMar>
              <w:top w:w="80" w:type="dxa"/>
              <w:left w:w="100" w:type="dxa"/>
              <w:bottom w:w="80" w:type="dxa"/>
              <w:right w:w="100" w:type="dxa"/>
            </w:tcMar>
          </w:tcPr>
          <w:p w14:paraId="1CF6007B" w14:textId="77777777" w:rsidR="007F0B4E" w:rsidRDefault="00000000">
            <w:r>
              <w:rPr>
                <w:rFonts w:ascii="Calibri" w:eastAsia="Calibri" w:hAnsi="Calibri" w:cs="Calibri"/>
                <w:color w:val="000000"/>
              </w:rPr>
              <w:t>Kafka</w:t>
            </w:r>
          </w:p>
        </w:tc>
        <w:tc>
          <w:tcPr>
            <w:tcW w:w="4000" w:type="dxa"/>
            <w:tcMar>
              <w:top w:w="80" w:type="dxa"/>
              <w:left w:w="100" w:type="dxa"/>
              <w:bottom w:w="80" w:type="dxa"/>
              <w:right w:w="100" w:type="dxa"/>
            </w:tcMar>
          </w:tcPr>
          <w:p w14:paraId="247D3112" w14:textId="77777777" w:rsidR="007F0B4E" w:rsidRDefault="00000000">
            <w:r>
              <w:rPr>
                <w:rFonts w:ascii="Calibri" w:eastAsia="Calibri" w:hAnsi="Calibri" w:cs="Calibri"/>
                <w:color w:val="000000"/>
              </w:rPr>
              <w:t>High throughput, event replay, multiple independent consumers</w:t>
            </w:r>
          </w:p>
        </w:tc>
      </w:tr>
      <w:tr w:rsidR="007F0B4E" w14:paraId="72A6B37E" w14:textId="77777777">
        <w:tblPrEx>
          <w:tblCellMar>
            <w:top w:w="0" w:type="dxa"/>
            <w:bottom w:w="0" w:type="dxa"/>
          </w:tblCellMar>
        </w:tblPrEx>
        <w:tc>
          <w:tcPr>
            <w:tcW w:w="2400" w:type="dxa"/>
            <w:tcMar>
              <w:top w:w="80" w:type="dxa"/>
              <w:left w:w="100" w:type="dxa"/>
              <w:bottom w:w="80" w:type="dxa"/>
              <w:right w:w="100" w:type="dxa"/>
            </w:tcMar>
          </w:tcPr>
          <w:p w14:paraId="609FF44E" w14:textId="77777777" w:rsidR="007F0B4E" w:rsidRDefault="00000000">
            <w:r>
              <w:rPr>
                <w:rFonts w:ascii="Calibri" w:eastAsia="Calibri" w:hAnsi="Calibri" w:cs="Calibri"/>
                <w:color w:val="000000"/>
              </w:rPr>
              <w:t>Monitoring</w:t>
            </w:r>
          </w:p>
        </w:tc>
        <w:tc>
          <w:tcPr>
            <w:tcW w:w="2600" w:type="dxa"/>
            <w:tcMar>
              <w:top w:w="80" w:type="dxa"/>
              <w:left w:w="100" w:type="dxa"/>
              <w:bottom w:w="80" w:type="dxa"/>
              <w:right w:w="100" w:type="dxa"/>
            </w:tcMar>
          </w:tcPr>
          <w:p w14:paraId="736C46C0" w14:textId="77777777" w:rsidR="007F0B4E" w:rsidRDefault="00000000">
            <w:r>
              <w:rPr>
                <w:rFonts w:ascii="Calibri" w:eastAsia="Calibri" w:hAnsi="Calibri" w:cs="Calibri"/>
                <w:color w:val="000000"/>
              </w:rPr>
              <w:t>Grafana</w:t>
            </w:r>
          </w:p>
        </w:tc>
        <w:tc>
          <w:tcPr>
            <w:tcW w:w="4000" w:type="dxa"/>
            <w:tcMar>
              <w:top w:w="80" w:type="dxa"/>
              <w:left w:w="100" w:type="dxa"/>
              <w:bottom w:w="80" w:type="dxa"/>
              <w:right w:w="100" w:type="dxa"/>
            </w:tcMar>
          </w:tcPr>
          <w:p w14:paraId="1BE31B9A" w14:textId="77777777" w:rsidR="007F0B4E" w:rsidRDefault="00000000">
            <w:r>
              <w:rPr>
                <w:rFonts w:ascii="Calibri" w:eastAsia="Calibri" w:hAnsi="Calibri" w:cs="Calibri"/>
                <w:color w:val="000000"/>
              </w:rPr>
              <w:t>Metrics, alerting, industry standard</w:t>
            </w:r>
          </w:p>
        </w:tc>
      </w:tr>
      <w:tr w:rsidR="007F0B4E" w14:paraId="4CADDE35" w14:textId="77777777">
        <w:tblPrEx>
          <w:tblCellMar>
            <w:top w:w="0" w:type="dxa"/>
            <w:bottom w:w="0" w:type="dxa"/>
          </w:tblCellMar>
        </w:tblPrEx>
        <w:tc>
          <w:tcPr>
            <w:tcW w:w="2400" w:type="dxa"/>
            <w:tcMar>
              <w:top w:w="80" w:type="dxa"/>
              <w:left w:w="100" w:type="dxa"/>
              <w:bottom w:w="80" w:type="dxa"/>
              <w:right w:w="100" w:type="dxa"/>
            </w:tcMar>
          </w:tcPr>
          <w:p w14:paraId="0040CCBB" w14:textId="77777777" w:rsidR="007F0B4E" w:rsidRDefault="00000000">
            <w:r>
              <w:rPr>
                <w:rFonts w:ascii="Calibri" w:eastAsia="Calibri" w:hAnsi="Calibri" w:cs="Calibri"/>
                <w:color w:val="000000"/>
              </w:rPr>
              <w:t>Web client</w:t>
            </w:r>
          </w:p>
        </w:tc>
        <w:tc>
          <w:tcPr>
            <w:tcW w:w="2600" w:type="dxa"/>
            <w:tcMar>
              <w:top w:w="80" w:type="dxa"/>
              <w:left w:w="100" w:type="dxa"/>
              <w:bottom w:w="80" w:type="dxa"/>
              <w:right w:w="100" w:type="dxa"/>
            </w:tcMar>
          </w:tcPr>
          <w:p w14:paraId="50FAE166" w14:textId="77777777" w:rsidR="007F0B4E" w:rsidRDefault="00000000">
            <w:r>
              <w:rPr>
                <w:rFonts w:ascii="Calibri" w:eastAsia="Calibri" w:hAnsi="Calibri" w:cs="Calibri"/>
                <w:color w:val="000000"/>
              </w:rPr>
              <w:t>Angular</w:t>
            </w:r>
          </w:p>
        </w:tc>
        <w:tc>
          <w:tcPr>
            <w:tcW w:w="4000" w:type="dxa"/>
            <w:tcMar>
              <w:top w:w="80" w:type="dxa"/>
              <w:left w:w="100" w:type="dxa"/>
              <w:bottom w:w="80" w:type="dxa"/>
              <w:right w:w="100" w:type="dxa"/>
            </w:tcMar>
          </w:tcPr>
          <w:p w14:paraId="43A5DA20" w14:textId="77777777" w:rsidR="007F0B4E" w:rsidRDefault="00000000">
            <w:r>
              <w:rPr>
                <w:rFonts w:ascii="Calibri" w:eastAsia="Calibri" w:hAnsi="Calibri" w:cs="Calibri"/>
                <w:color w:val="000000"/>
              </w:rPr>
              <w:t>Structured framework, strong TypeScript support, good fit for a large long-lived web shop UI</w:t>
            </w:r>
          </w:p>
        </w:tc>
      </w:tr>
      <w:tr w:rsidR="007F0B4E" w14:paraId="52DDCF0F" w14:textId="77777777">
        <w:tblPrEx>
          <w:tblCellMar>
            <w:top w:w="0" w:type="dxa"/>
            <w:bottom w:w="0" w:type="dxa"/>
          </w:tblCellMar>
        </w:tblPrEx>
        <w:tc>
          <w:tcPr>
            <w:tcW w:w="2400" w:type="dxa"/>
            <w:tcMar>
              <w:top w:w="80" w:type="dxa"/>
              <w:left w:w="100" w:type="dxa"/>
              <w:bottom w:w="80" w:type="dxa"/>
              <w:right w:w="100" w:type="dxa"/>
            </w:tcMar>
          </w:tcPr>
          <w:p w14:paraId="45327643" w14:textId="77777777" w:rsidR="007F0B4E" w:rsidRDefault="00000000">
            <w:r>
              <w:rPr>
                <w:rFonts w:ascii="Calibri" w:eastAsia="Calibri" w:hAnsi="Calibri" w:cs="Calibri"/>
                <w:color w:val="000000"/>
              </w:rPr>
              <w:t>Mobile — iOS</w:t>
            </w:r>
          </w:p>
        </w:tc>
        <w:tc>
          <w:tcPr>
            <w:tcW w:w="2600" w:type="dxa"/>
            <w:tcMar>
              <w:top w:w="80" w:type="dxa"/>
              <w:left w:w="100" w:type="dxa"/>
              <w:bottom w:w="80" w:type="dxa"/>
              <w:right w:w="100" w:type="dxa"/>
            </w:tcMar>
          </w:tcPr>
          <w:p w14:paraId="3BEFCE78" w14:textId="77777777" w:rsidR="007F0B4E" w:rsidRDefault="00000000">
            <w:r>
              <w:rPr>
                <w:rFonts w:ascii="Calibri" w:eastAsia="Calibri" w:hAnsi="Calibri" w:cs="Calibri"/>
                <w:color w:val="000000"/>
              </w:rPr>
              <w:t>Swift (native)</w:t>
            </w:r>
          </w:p>
        </w:tc>
        <w:tc>
          <w:tcPr>
            <w:tcW w:w="4000" w:type="dxa"/>
            <w:tcMar>
              <w:top w:w="80" w:type="dxa"/>
              <w:left w:w="100" w:type="dxa"/>
              <w:bottom w:w="80" w:type="dxa"/>
              <w:right w:w="100" w:type="dxa"/>
            </w:tcMar>
          </w:tcPr>
          <w:p w14:paraId="79D09B2C" w14:textId="77777777" w:rsidR="007F0B4E" w:rsidRDefault="00000000">
            <w:r>
              <w:rPr>
                <w:rFonts w:ascii="Calibri" w:eastAsia="Calibri" w:hAnsi="Calibri" w:cs="Calibri"/>
                <w:color w:val="000000"/>
              </w:rPr>
              <w:t>Best performance and platform integration for the iOS app</w:t>
            </w:r>
          </w:p>
        </w:tc>
      </w:tr>
      <w:tr w:rsidR="007F0B4E" w14:paraId="3A7FC859" w14:textId="77777777">
        <w:tblPrEx>
          <w:tblCellMar>
            <w:top w:w="0" w:type="dxa"/>
            <w:bottom w:w="0" w:type="dxa"/>
          </w:tblCellMar>
        </w:tblPrEx>
        <w:tc>
          <w:tcPr>
            <w:tcW w:w="2400" w:type="dxa"/>
            <w:tcMar>
              <w:top w:w="80" w:type="dxa"/>
              <w:left w:w="100" w:type="dxa"/>
              <w:bottom w:w="80" w:type="dxa"/>
              <w:right w:w="100" w:type="dxa"/>
            </w:tcMar>
          </w:tcPr>
          <w:p w14:paraId="225D57D4" w14:textId="77777777" w:rsidR="007F0B4E" w:rsidRDefault="00000000">
            <w:r>
              <w:rPr>
                <w:rFonts w:ascii="Calibri" w:eastAsia="Calibri" w:hAnsi="Calibri" w:cs="Calibri"/>
                <w:color w:val="000000"/>
              </w:rPr>
              <w:t>Mobile — Android</w:t>
            </w:r>
          </w:p>
        </w:tc>
        <w:tc>
          <w:tcPr>
            <w:tcW w:w="2600" w:type="dxa"/>
            <w:tcMar>
              <w:top w:w="80" w:type="dxa"/>
              <w:left w:w="100" w:type="dxa"/>
              <w:bottom w:w="80" w:type="dxa"/>
              <w:right w:w="100" w:type="dxa"/>
            </w:tcMar>
          </w:tcPr>
          <w:p w14:paraId="71FF30A3" w14:textId="77777777" w:rsidR="007F0B4E" w:rsidRDefault="00000000">
            <w:r>
              <w:rPr>
                <w:rFonts w:ascii="Calibri" w:eastAsia="Calibri" w:hAnsi="Calibri" w:cs="Calibri"/>
                <w:color w:val="000000"/>
              </w:rPr>
              <w:t>Kotlin (native)</w:t>
            </w:r>
          </w:p>
        </w:tc>
        <w:tc>
          <w:tcPr>
            <w:tcW w:w="4000" w:type="dxa"/>
            <w:tcMar>
              <w:top w:w="80" w:type="dxa"/>
              <w:left w:w="100" w:type="dxa"/>
              <w:bottom w:w="80" w:type="dxa"/>
              <w:right w:w="100" w:type="dxa"/>
            </w:tcMar>
          </w:tcPr>
          <w:p w14:paraId="65F9C823" w14:textId="77777777" w:rsidR="007F0B4E" w:rsidRDefault="00000000">
            <w:r>
              <w:rPr>
                <w:rFonts w:ascii="Calibri" w:eastAsia="Calibri" w:hAnsi="Calibri" w:cs="Calibri"/>
                <w:color w:val="000000"/>
              </w:rPr>
              <w:t>Best performance and platform integration for the Android app</w:t>
            </w:r>
          </w:p>
        </w:tc>
      </w:tr>
    </w:tbl>
    <w:p w14:paraId="5335CBCF" w14:textId="77777777" w:rsidR="007F0B4E" w:rsidRDefault="00000000">
      <w:pPr>
        <w:spacing w:after="160"/>
      </w:pPr>
      <w:r>
        <w:rPr>
          <w:rFonts w:ascii="Calibri" w:eastAsia="Calibri" w:hAnsi="Calibri" w:cs="Calibri"/>
          <w:sz w:val="22"/>
          <w:szCs w:val="22"/>
        </w:rPr>
        <w:lastRenderedPageBreak/>
        <w:t>All three clients (web, iOS, Android) talk to the backend exclusively through the API Gateway over REST — none of them call microservices directly, and none of them share code with each other or with the backend.</w:t>
      </w:r>
    </w:p>
    <w:p w14:paraId="51D896FF" w14:textId="77777777" w:rsidR="007F0B4E" w:rsidRDefault="00000000">
      <w:pPr>
        <w:pStyle w:val="Heading2"/>
        <w:spacing w:before="300" w:after="150"/>
      </w:pPr>
      <w:r>
        <w:t>1.4 How Components Communicate</w:t>
      </w:r>
    </w:p>
    <w:p w14:paraId="7D258375" w14:textId="77777777" w:rsidR="007F0B4E" w:rsidRDefault="00000000">
      <w:pPr>
        <w:spacing w:after="160"/>
      </w:pPr>
      <w:r>
        <w:rPr>
          <w:rFonts w:ascii="Calibri" w:eastAsia="Calibri" w:hAnsi="Calibri" w:cs="Calibri"/>
          <w:sz w:val="22"/>
          <w:szCs w:val="22"/>
        </w:rPr>
        <w:t>Communication is split into synchronous (REST/</w:t>
      </w:r>
      <w:proofErr w:type="spellStart"/>
      <w:r>
        <w:rPr>
          <w:rFonts w:ascii="Calibri" w:eastAsia="Calibri" w:hAnsi="Calibri" w:cs="Calibri"/>
          <w:sz w:val="22"/>
          <w:szCs w:val="22"/>
        </w:rPr>
        <w:t>gRPC</w:t>
      </w:r>
      <w:proofErr w:type="spellEnd"/>
      <w:r>
        <w:rPr>
          <w:rFonts w:ascii="Calibri" w:eastAsia="Calibri" w:hAnsi="Calibri" w:cs="Calibri"/>
          <w:sz w:val="22"/>
          <w:szCs w:val="22"/>
        </w:rPr>
        <w:t>) and asynchronous (event bus), depending on whether the caller needs to wait for a response to proceed.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200"/>
      </w:tblGrid>
      <w:tr w:rsidR="007F0B4E" w14:paraId="047B74F4" w14:textId="77777777">
        <w:tblPrEx>
          <w:tblCellMar>
            <w:top w:w="0" w:type="dxa"/>
            <w:bottom w:w="0" w:type="dxa"/>
          </w:tblCellMar>
        </w:tblPrEx>
        <w:trPr>
          <w:tblHeader/>
        </w:trPr>
        <w:tc>
          <w:tcPr>
            <w:tcW w:w="2600" w:type="dxa"/>
            <w:shd w:val="clear" w:color="auto" w:fill="2F5496"/>
            <w:tcMar>
              <w:top w:w="80" w:type="dxa"/>
              <w:left w:w="100" w:type="dxa"/>
              <w:bottom w:w="80" w:type="dxa"/>
              <w:right w:w="100" w:type="dxa"/>
            </w:tcMar>
          </w:tcPr>
          <w:p w14:paraId="23312301" w14:textId="77777777" w:rsidR="007F0B4E" w:rsidRDefault="00000000">
            <w:r>
              <w:rPr>
                <w:rFonts w:ascii="Calibri" w:eastAsia="Calibri" w:hAnsi="Calibri" w:cs="Calibri"/>
                <w:b/>
                <w:bCs/>
                <w:color w:val="FFFFFF"/>
              </w:rPr>
              <w:t>Communication type</w:t>
            </w:r>
          </w:p>
        </w:tc>
        <w:tc>
          <w:tcPr>
            <w:tcW w:w="3200" w:type="dxa"/>
            <w:shd w:val="clear" w:color="auto" w:fill="2F5496"/>
            <w:tcMar>
              <w:top w:w="80" w:type="dxa"/>
              <w:left w:w="100" w:type="dxa"/>
              <w:bottom w:w="80" w:type="dxa"/>
              <w:right w:w="100" w:type="dxa"/>
            </w:tcMar>
          </w:tcPr>
          <w:p w14:paraId="2F18AED0" w14:textId="77777777" w:rsidR="007F0B4E" w:rsidRDefault="00000000">
            <w:r>
              <w:rPr>
                <w:rFonts w:ascii="Calibri" w:eastAsia="Calibri" w:hAnsi="Calibri" w:cs="Calibri"/>
                <w:b/>
                <w:bCs/>
                <w:color w:val="FFFFFF"/>
              </w:rPr>
              <w:t>When used</w:t>
            </w:r>
          </w:p>
        </w:tc>
        <w:tc>
          <w:tcPr>
            <w:tcW w:w="3200" w:type="dxa"/>
            <w:shd w:val="clear" w:color="auto" w:fill="2F5496"/>
            <w:tcMar>
              <w:top w:w="80" w:type="dxa"/>
              <w:left w:w="100" w:type="dxa"/>
              <w:bottom w:w="80" w:type="dxa"/>
              <w:right w:w="100" w:type="dxa"/>
            </w:tcMar>
          </w:tcPr>
          <w:p w14:paraId="60F7260C" w14:textId="77777777" w:rsidR="007F0B4E" w:rsidRDefault="00000000">
            <w:r>
              <w:rPr>
                <w:rFonts w:ascii="Calibri" w:eastAsia="Calibri" w:hAnsi="Calibri" w:cs="Calibri"/>
                <w:b/>
                <w:bCs/>
                <w:color w:val="FFFFFF"/>
              </w:rPr>
              <w:t>Example</w:t>
            </w:r>
          </w:p>
        </w:tc>
      </w:tr>
      <w:tr w:rsidR="007F0B4E" w14:paraId="1F071B2D" w14:textId="77777777">
        <w:tblPrEx>
          <w:tblCellMar>
            <w:top w:w="0" w:type="dxa"/>
            <w:bottom w:w="0" w:type="dxa"/>
          </w:tblCellMar>
        </w:tblPrEx>
        <w:tc>
          <w:tcPr>
            <w:tcW w:w="2600" w:type="dxa"/>
            <w:tcMar>
              <w:top w:w="80" w:type="dxa"/>
              <w:left w:w="100" w:type="dxa"/>
              <w:bottom w:w="80" w:type="dxa"/>
              <w:right w:w="100" w:type="dxa"/>
            </w:tcMar>
          </w:tcPr>
          <w:p w14:paraId="0F4258E9" w14:textId="77777777" w:rsidR="007F0B4E" w:rsidRDefault="00000000">
            <w:r>
              <w:rPr>
                <w:rFonts w:ascii="Calibri" w:eastAsia="Calibri" w:hAnsi="Calibri" w:cs="Calibri"/>
                <w:color w:val="000000"/>
              </w:rPr>
              <w:t>REST (sync)</w:t>
            </w:r>
          </w:p>
        </w:tc>
        <w:tc>
          <w:tcPr>
            <w:tcW w:w="3200" w:type="dxa"/>
            <w:tcMar>
              <w:top w:w="80" w:type="dxa"/>
              <w:left w:w="100" w:type="dxa"/>
              <w:bottom w:w="80" w:type="dxa"/>
              <w:right w:w="100" w:type="dxa"/>
            </w:tcMar>
          </w:tcPr>
          <w:p w14:paraId="7F5992D2" w14:textId="77777777" w:rsidR="007F0B4E" w:rsidRDefault="00000000">
            <w:r>
              <w:rPr>
                <w:rFonts w:ascii="Calibri" w:eastAsia="Calibri" w:hAnsi="Calibri" w:cs="Calibri"/>
                <w:color w:val="000000"/>
              </w:rPr>
              <w:t>Caller waits for an immediate response</w:t>
            </w:r>
          </w:p>
        </w:tc>
        <w:tc>
          <w:tcPr>
            <w:tcW w:w="3200" w:type="dxa"/>
            <w:tcMar>
              <w:top w:w="80" w:type="dxa"/>
              <w:left w:w="100" w:type="dxa"/>
              <w:bottom w:w="80" w:type="dxa"/>
              <w:right w:w="100" w:type="dxa"/>
            </w:tcMar>
          </w:tcPr>
          <w:p w14:paraId="2A627AA0" w14:textId="77777777" w:rsidR="007F0B4E" w:rsidRDefault="00000000">
            <w:r>
              <w:rPr>
                <w:rFonts w:ascii="Calibri" w:eastAsia="Calibri" w:hAnsi="Calibri" w:cs="Calibri"/>
                <w:color w:val="000000"/>
              </w:rPr>
              <w:t>Login, product lookup, availability check</w:t>
            </w:r>
          </w:p>
        </w:tc>
      </w:tr>
      <w:tr w:rsidR="007F0B4E" w14:paraId="7D5A6915" w14:textId="77777777">
        <w:tblPrEx>
          <w:tblCellMar>
            <w:top w:w="0" w:type="dxa"/>
            <w:bottom w:w="0" w:type="dxa"/>
          </w:tblCellMar>
        </w:tblPrEx>
        <w:tc>
          <w:tcPr>
            <w:tcW w:w="2600" w:type="dxa"/>
            <w:tcMar>
              <w:top w:w="80" w:type="dxa"/>
              <w:left w:w="100" w:type="dxa"/>
              <w:bottom w:w="80" w:type="dxa"/>
              <w:right w:w="100" w:type="dxa"/>
            </w:tcMar>
          </w:tcPr>
          <w:p w14:paraId="6EAA5906" w14:textId="77777777" w:rsidR="007F0B4E" w:rsidRDefault="00000000">
            <w:proofErr w:type="spellStart"/>
            <w:r>
              <w:rPr>
                <w:rFonts w:ascii="Calibri" w:eastAsia="Calibri" w:hAnsi="Calibri" w:cs="Calibri"/>
                <w:color w:val="000000"/>
              </w:rPr>
              <w:t>gRPC</w:t>
            </w:r>
            <w:proofErr w:type="spellEnd"/>
            <w:r>
              <w:rPr>
                <w:rFonts w:ascii="Calibri" w:eastAsia="Calibri" w:hAnsi="Calibri" w:cs="Calibri"/>
                <w:color w:val="000000"/>
              </w:rPr>
              <w:t xml:space="preserve"> (sync, internal)</w:t>
            </w:r>
          </w:p>
        </w:tc>
        <w:tc>
          <w:tcPr>
            <w:tcW w:w="3200" w:type="dxa"/>
            <w:tcMar>
              <w:top w:w="80" w:type="dxa"/>
              <w:left w:w="100" w:type="dxa"/>
              <w:bottom w:w="80" w:type="dxa"/>
              <w:right w:w="100" w:type="dxa"/>
            </w:tcMar>
          </w:tcPr>
          <w:p w14:paraId="1826268E" w14:textId="77777777" w:rsidR="007F0B4E" w:rsidRDefault="00000000">
            <w:r>
              <w:rPr>
                <w:rFonts w:ascii="Calibri" w:eastAsia="Calibri" w:hAnsi="Calibri" w:cs="Calibri"/>
                <w:color w:val="000000"/>
              </w:rPr>
              <w:t>High-frequency internal calls</w:t>
            </w:r>
          </w:p>
        </w:tc>
        <w:tc>
          <w:tcPr>
            <w:tcW w:w="3200" w:type="dxa"/>
            <w:tcMar>
              <w:top w:w="80" w:type="dxa"/>
              <w:left w:w="100" w:type="dxa"/>
              <w:bottom w:w="80" w:type="dxa"/>
              <w:right w:w="100" w:type="dxa"/>
            </w:tcMar>
          </w:tcPr>
          <w:p w14:paraId="0AA1D44E" w14:textId="77777777" w:rsidR="007F0B4E" w:rsidRDefault="00000000">
            <w:r>
              <w:rPr>
                <w:rFonts w:ascii="Calibri" w:eastAsia="Calibri" w:hAnsi="Calibri" w:cs="Calibri"/>
                <w:color w:val="000000"/>
              </w:rPr>
              <w:t>Cart Service ↔ Inventory Service</w:t>
            </w:r>
          </w:p>
        </w:tc>
      </w:tr>
      <w:tr w:rsidR="007F0B4E" w14:paraId="17DC76AD" w14:textId="77777777">
        <w:tblPrEx>
          <w:tblCellMar>
            <w:top w:w="0" w:type="dxa"/>
            <w:bottom w:w="0" w:type="dxa"/>
          </w:tblCellMar>
        </w:tblPrEx>
        <w:tc>
          <w:tcPr>
            <w:tcW w:w="2600" w:type="dxa"/>
            <w:tcMar>
              <w:top w:w="80" w:type="dxa"/>
              <w:left w:w="100" w:type="dxa"/>
              <w:bottom w:w="80" w:type="dxa"/>
              <w:right w:w="100" w:type="dxa"/>
            </w:tcMar>
          </w:tcPr>
          <w:p w14:paraId="107E460A" w14:textId="77777777" w:rsidR="007F0B4E" w:rsidRDefault="00000000">
            <w:r>
              <w:rPr>
                <w:rFonts w:ascii="Calibri" w:eastAsia="Calibri" w:hAnsi="Calibri" w:cs="Calibri"/>
                <w:color w:val="000000"/>
              </w:rPr>
              <w:t>Kafka / event bus (async)</w:t>
            </w:r>
          </w:p>
        </w:tc>
        <w:tc>
          <w:tcPr>
            <w:tcW w:w="3200" w:type="dxa"/>
            <w:tcMar>
              <w:top w:w="80" w:type="dxa"/>
              <w:left w:w="100" w:type="dxa"/>
              <w:bottom w:w="80" w:type="dxa"/>
              <w:right w:w="100" w:type="dxa"/>
            </w:tcMar>
          </w:tcPr>
          <w:p w14:paraId="5751A767" w14:textId="77777777" w:rsidR="007F0B4E" w:rsidRDefault="00000000">
            <w:r>
              <w:rPr>
                <w:rFonts w:ascii="Calibri" w:eastAsia="Calibri" w:hAnsi="Calibri" w:cs="Calibri"/>
                <w:color w:val="000000"/>
              </w:rPr>
              <w:t>Multiple listeners, no immediate response needed</w:t>
            </w:r>
          </w:p>
        </w:tc>
        <w:tc>
          <w:tcPr>
            <w:tcW w:w="3200" w:type="dxa"/>
            <w:tcMar>
              <w:top w:w="80" w:type="dxa"/>
              <w:left w:w="100" w:type="dxa"/>
              <w:bottom w:w="80" w:type="dxa"/>
              <w:right w:w="100" w:type="dxa"/>
            </w:tcMar>
          </w:tcPr>
          <w:p w14:paraId="728FF5FA" w14:textId="77777777" w:rsidR="007F0B4E" w:rsidRDefault="00000000">
            <w:r>
              <w:rPr>
                <w:rFonts w:ascii="Calibri" w:eastAsia="Calibri" w:hAnsi="Calibri" w:cs="Calibri"/>
                <w:color w:val="000000"/>
              </w:rPr>
              <w:t xml:space="preserve">Order confirmed → notifications, </w:t>
            </w:r>
            <w:proofErr w:type="spellStart"/>
            <w:r>
              <w:rPr>
                <w:rFonts w:ascii="Calibri" w:eastAsia="Calibri" w:hAnsi="Calibri" w:cs="Calibri"/>
                <w:color w:val="000000"/>
              </w:rPr>
              <w:t>fiscalization</w:t>
            </w:r>
            <w:proofErr w:type="spellEnd"/>
            <w:r>
              <w:rPr>
                <w:rFonts w:ascii="Calibri" w:eastAsia="Calibri" w:hAnsi="Calibri" w:cs="Calibri"/>
                <w:color w:val="000000"/>
              </w:rPr>
              <w:t>, stock update</w:t>
            </w:r>
          </w:p>
        </w:tc>
      </w:tr>
      <w:tr w:rsidR="007F0B4E" w14:paraId="6F59E128" w14:textId="77777777">
        <w:tblPrEx>
          <w:tblCellMar>
            <w:top w:w="0" w:type="dxa"/>
            <w:bottom w:w="0" w:type="dxa"/>
          </w:tblCellMar>
        </w:tblPrEx>
        <w:tc>
          <w:tcPr>
            <w:tcW w:w="2600" w:type="dxa"/>
            <w:tcMar>
              <w:top w:w="80" w:type="dxa"/>
              <w:left w:w="100" w:type="dxa"/>
              <w:bottom w:w="80" w:type="dxa"/>
              <w:right w:w="100" w:type="dxa"/>
            </w:tcMar>
          </w:tcPr>
          <w:p w14:paraId="7FC19240" w14:textId="77777777" w:rsidR="007F0B4E" w:rsidRDefault="00000000">
            <w:r>
              <w:rPr>
                <w:rFonts w:ascii="Calibri" w:eastAsia="Calibri" w:hAnsi="Calibri" w:cs="Calibri"/>
                <w:color w:val="000000"/>
              </w:rPr>
              <w:t>REST/SOAP + webhook (external)</w:t>
            </w:r>
          </w:p>
        </w:tc>
        <w:tc>
          <w:tcPr>
            <w:tcW w:w="3200" w:type="dxa"/>
            <w:tcMar>
              <w:top w:w="80" w:type="dxa"/>
              <w:left w:w="100" w:type="dxa"/>
              <w:bottom w:w="80" w:type="dxa"/>
              <w:right w:w="100" w:type="dxa"/>
            </w:tcMar>
          </w:tcPr>
          <w:p w14:paraId="4014A56C" w14:textId="77777777" w:rsidR="007F0B4E" w:rsidRDefault="00000000">
            <w:r>
              <w:rPr>
                <w:rFonts w:ascii="Calibri" w:eastAsia="Calibri" w:hAnsi="Calibri" w:cs="Calibri"/>
                <w:color w:val="000000"/>
              </w:rPr>
              <w:t>Communication with external systems</w:t>
            </w:r>
          </w:p>
        </w:tc>
        <w:tc>
          <w:tcPr>
            <w:tcW w:w="3200" w:type="dxa"/>
            <w:tcMar>
              <w:top w:w="80" w:type="dxa"/>
              <w:left w:w="100" w:type="dxa"/>
              <w:bottom w:w="80" w:type="dxa"/>
              <w:right w:w="100" w:type="dxa"/>
            </w:tcMar>
          </w:tcPr>
          <w:p w14:paraId="731B09F5" w14:textId="77777777" w:rsidR="007F0B4E" w:rsidRDefault="00000000">
            <w:r>
              <w:rPr>
                <w:rFonts w:ascii="Calibri" w:eastAsia="Calibri" w:hAnsi="Calibri" w:cs="Calibri"/>
                <w:color w:val="000000"/>
              </w:rPr>
              <w:t>Tax authority, marketplace partners, payment providers</w:t>
            </w:r>
          </w:p>
        </w:tc>
      </w:tr>
    </w:tbl>
    <w:p w14:paraId="661F9DC3" w14:textId="77777777" w:rsidR="007F0B4E" w:rsidRDefault="00000000">
      <w:pPr>
        <w:spacing w:after="160"/>
      </w:pPr>
      <w:r>
        <w:rPr>
          <w:rFonts w:ascii="Calibri" w:eastAsia="Calibri" w:hAnsi="Calibri" w:cs="Calibri"/>
          <w:sz w:val="22"/>
          <w:szCs w:val="22"/>
        </w:rPr>
        <w:t xml:space="preserve">Rule of thumb: anything on the critical path of the user experience (must happen for the user to get a response) is synchronous. Anything that happens after the user's action already feels "done" to them (sending an email, </w:t>
      </w:r>
      <w:proofErr w:type="spellStart"/>
      <w:r>
        <w:rPr>
          <w:rFonts w:ascii="Calibri" w:eastAsia="Calibri" w:hAnsi="Calibri" w:cs="Calibri"/>
          <w:sz w:val="22"/>
          <w:szCs w:val="22"/>
        </w:rPr>
        <w:t>fiscalization</w:t>
      </w:r>
      <w:proofErr w:type="spellEnd"/>
      <w:r>
        <w:rPr>
          <w:rFonts w:ascii="Calibri" w:eastAsia="Calibri" w:hAnsi="Calibri" w:cs="Calibri"/>
          <w:sz w:val="22"/>
          <w:szCs w:val="22"/>
        </w:rPr>
        <w:t>, updating statistics) is asynchronous via the message broker.</w:t>
      </w:r>
    </w:p>
    <w:p w14:paraId="65F420C6" w14:textId="77777777" w:rsidR="007F0B4E" w:rsidRDefault="00000000">
      <w:pPr>
        <w:pStyle w:val="Heading2"/>
        <w:spacing w:before="300" w:after="150"/>
      </w:pPr>
      <w:r>
        <w:t>1.5 Example Flow — Purchasing a Product</w:t>
      </w:r>
    </w:p>
    <w:p w14:paraId="619A2B16" w14:textId="77777777" w:rsidR="007F0B4E" w:rsidRDefault="00000000">
      <w:pPr>
        <w:pStyle w:val="ListParagraph"/>
        <w:numPr>
          <w:ilvl w:val="0"/>
          <w:numId w:val="2"/>
        </w:numPr>
        <w:spacing w:after="80"/>
      </w:pPr>
      <w:r>
        <w:rPr>
          <w:rFonts w:ascii="Calibri" w:eastAsia="Calibri" w:hAnsi="Calibri" w:cs="Calibri"/>
          <w:sz w:val="22"/>
          <w:szCs w:val="22"/>
        </w:rPr>
        <w:t>1. Login — Web app → API Gateway → Identity Service; returns access + refresh token (sync)</w:t>
      </w:r>
    </w:p>
    <w:p w14:paraId="7273DF0E" w14:textId="77777777" w:rsidR="007F0B4E" w:rsidRDefault="00000000">
      <w:pPr>
        <w:pStyle w:val="ListParagraph"/>
        <w:numPr>
          <w:ilvl w:val="0"/>
          <w:numId w:val="2"/>
        </w:numPr>
        <w:spacing w:after="80"/>
      </w:pPr>
      <w:r>
        <w:rPr>
          <w:rFonts w:ascii="Calibri" w:eastAsia="Calibri" w:hAnsi="Calibri" w:cs="Calibri"/>
          <w:sz w:val="22"/>
          <w:szCs w:val="22"/>
        </w:rPr>
        <w:t xml:space="preserve">2. Browsing products — Gateway calls </w:t>
      </w:r>
      <w:proofErr w:type="spellStart"/>
      <w:r>
        <w:rPr>
          <w:rFonts w:ascii="Calibri" w:eastAsia="Calibri" w:hAnsi="Calibri" w:cs="Calibri"/>
          <w:sz w:val="22"/>
          <w:szCs w:val="22"/>
        </w:rPr>
        <w:t>Catalog</w:t>
      </w:r>
      <w:proofErr w:type="spellEnd"/>
      <w:r>
        <w:rPr>
          <w:rFonts w:ascii="Calibri" w:eastAsia="Calibri" w:hAnsi="Calibri" w:cs="Calibri"/>
          <w:sz w:val="22"/>
          <w:szCs w:val="22"/>
        </w:rPr>
        <w:t xml:space="preserve"> Service (name, price) and Inventory Service (availability) in parallel, merges the response (sync)</w:t>
      </w:r>
    </w:p>
    <w:p w14:paraId="624103C9" w14:textId="77777777" w:rsidR="007F0B4E" w:rsidRDefault="00000000">
      <w:pPr>
        <w:pStyle w:val="ListParagraph"/>
        <w:numPr>
          <w:ilvl w:val="0"/>
          <w:numId w:val="2"/>
        </w:numPr>
        <w:spacing w:after="80"/>
      </w:pPr>
      <w:r>
        <w:rPr>
          <w:rFonts w:ascii="Calibri" w:eastAsia="Calibri" w:hAnsi="Calibri" w:cs="Calibri"/>
          <w:sz w:val="22"/>
          <w:szCs w:val="22"/>
        </w:rPr>
        <w:t>3. Adding to cart — Cart Service synchronously checks availability with Inventory Service before adding (sync)</w:t>
      </w:r>
    </w:p>
    <w:p w14:paraId="733B1ED7" w14:textId="77777777" w:rsidR="007F0B4E" w:rsidRDefault="00000000">
      <w:pPr>
        <w:pStyle w:val="ListParagraph"/>
        <w:numPr>
          <w:ilvl w:val="0"/>
          <w:numId w:val="2"/>
        </w:numPr>
        <w:spacing w:after="80"/>
      </w:pPr>
      <w:r>
        <w:rPr>
          <w:rFonts w:ascii="Calibri" w:eastAsia="Calibri" w:hAnsi="Calibri" w:cs="Calibri"/>
          <w:sz w:val="22"/>
          <w:szCs w:val="22"/>
        </w:rPr>
        <w:t>4. Checkout — Order Service orchestrates: pulls cart contents, reserves stock (soft-lock), initiates payment (sync)</w:t>
      </w:r>
    </w:p>
    <w:p w14:paraId="20996B13" w14:textId="0F9E9332" w:rsidR="00452EC4" w:rsidRDefault="00000000" w:rsidP="00452EC4">
      <w:pPr>
        <w:pStyle w:val="ListParagraph"/>
        <w:numPr>
          <w:ilvl w:val="0"/>
          <w:numId w:val="2"/>
        </w:numPr>
        <w:spacing w:after="80"/>
      </w:pPr>
      <w:r>
        <w:rPr>
          <w:rFonts w:ascii="Calibri" w:eastAsia="Calibri" w:hAnsi="Calibri" w:cs="Calibri"/>
          <w:sz w:val="22"/>
          <w:szCs w:val="22"/>
        </w:rPr>
        <w:t xml:space="preserve">5. </w:t>
      </w:r>
      <w:r w:rsidR="00452EC4">
        <w:rPr>
          <w:rFonts w:ascii="Calibri" w:eastAsia="Calibri" w:hAnsi="Calibri" w:cs="Calibri"/>
          <w:sz w:val="22"/>
          <w:szCs w:val="22"/>
        </w:rPr>
        <w:t>Payment</w:t>
      </w:r>
      <w:r>
        <w:rPr>
          <w:rFonts w:ascii="Calibri" w:eastAsia="Calibri" w:hAnsi="Calibri" w:cs="Calibri"/>
          <w:sz w:val="22"/>
          <w:szCs w:val="22"/>
        </w:rPr>
        <w:t xml:space="preserve"> confirmation — </w:t>
      </w:r>
      <w:r w:rsidR="00452EC4">
        <w:rPr>
          <w:rFonts w:ascii="Calibri" w:eastAsia="Calibri" w:hAnsi="Calibri" w:cs="Calibri"/>
          <w:sz w:val="22"/>
          <w:szCs w:val="22"/>
        </w:rPr>
        <w:t xml:space="preserve">Sends confirmation to Order Service, than </w:t>
      </w:r>
      <w:r>
        <w:rPr>
          <w:rFonts w:ascii="Calibri" w:eastAsia="Calibri" w:hAnsi="Calibri" w:cs="Calibri"/>
          <w:sz w:val="22"/>
          <w:szCs w:val="22"/>
        </w:rPr>
        <w:t>Order Service publishes an event to Kafka; Notification, Integration,</w:t>
      </w:r>
      <w:r w:rsidR="00452EC4">
        <w:rPr>
          <w:rFonts w:ascii="Calibri" w:eastAsia="Calibri" w:hAnsi="Calibri" w:cs="Calibri"/>
          <w:sz w:val="22"/>
          <w:szCs w:val="22"/>
        </w:rPr>
        <w:t xml:space="preserve"> Cart (removing cart)</w:t>
      </w:r>
      <w:r>
        <w:rPr>
          <w:rFonts w:ascii="Calibri" w:eastAsia="Calibri" w:hAnsi="Calibri" w:cs="Calibri"/>
          <w:sz w:val="22"/>
          <w:szCs w:val="22"/>
        </w:rPr>
        <w:t xml:space="preserve"> and Inventory</w:t>
      </w:r>
      <w:r w:rsidR="00452EC4">
        <w:rPr>
          <w:rFonts w:ascii="Calibri" w:eastAsia="Calibri" w:hAnsi="Calibri" w:cs="Calibri"/>
          <w:sz w:val="22"/>
          <w:szCs w:val="22"/>
        </w:rPr>
        <w:t xml:space="preserve"> (removing soft-lock/updating quantity)</w:t>
      </w:r>
      <w:r>
        <w:rPr>
          <w:rFonts w:ascii="Calibri" w:eastAsia="Calibri" w:hAnsi="Calibri" w:cs="Calibri"/>
          <w:sz w:val="22"/>
          <w:szCs w:val="22"/>
        </w:rPr>
        <w:t xml:space="preserve"> services consume it independently (async)</w:t>
      </w:r>
    </w:p>
    <w:p w14:paraId="321026E4" w14:textId="77777777" w:rsidR="007F0B4E" w:rsidRDefault="00000000">
      <w:pPr>
        <w:pStyle w:val="Heading1"/>
        <w:spacing w:before="400" w:after="200"/>
      </w:pPr>
      <w:r>
        <w:t>2. Scaling Strategy</w:t>
      </w:r>
    </w:p>
    <w:p w14:paraId="30B0D331" w14:textId="77777777" w:rsidR="007F0B4E" w:rsidRDefault="00000000">
      <w:pPr>
        <w:spacing w:after="160"/>
      </w:pPr>
      <w:r>
        <w:rPr>
          <w:rFonts w:ascii="Calibri" w:eastAsia="Calibri" w:hAnsi="Calibri" w:cs="Calibri"/>
          <w:sz w:val="22"/>
          <w:szCs w:val="22"/>
        </w:rPr>
        <w:t xml:space="preserve">Each microservice scales independently based on its own traffic, since demand varies a lot between services (e.g. </w:t>
      </w:r>
      <w:proofErr w:type="spellStart"/>
      <w:r>
        <w:rPr>
          <w:rFonts w:ascii="Calibri" w:eastAsia="Calibri" w:hAnsi="Calibri" w:cs="Calibri"/>
          <w:sz w:val="22"/>
          <w:szCs w:val="22"/>
        </w:rPr>
        <w:t>Catalog</w:t>
      </w:r>
      <w:proofErr w:type="spellEnd"/>
      <w:r>
        <w:rPr>
          <w:rFonts w:ascii="Calibri" w:eastAsia="Calibri" w:hAnsi="Calibri" w:cs="Calibri"/>
          <w:sz w:val="22"/>
          <w:szCs w:val="22"/>
        </w:rPr>
        <w:t xml:space="preserve"> is read-heavy, Inventory needs fresh data on every read).</w:t>
      </w:r>
    </w:p>
    <w:p w14:paraId="0AA2DAE4" w14:textId="77777777" w:rsidR="007F0B4E" w:rsidRDefault="00000000">
      <w:pPr>
        <w:pStyle w:val="ListParagraph"/>
        <w:numPr>
          <w:ilvl w:val="0"/>
          <w:numId w:val="2"/>
        </w:numPr>
        <w:spacing w:after="80"/>
      </w:pPr>
      <w:r>
        <w:rPr>
          <w:rFonts w:ascii="Calibri" w:eastAsia="Calibri" w:hAnsi="Calibri" w:cs="Calibri"/>
          <w:sz w:val="22"/>
          <w:szCs w:val="22"/>
        </w:rPr>
        <w:t>Horizontal scaling — run multiple instances of each service, add more as traffic grows</w:t>
      </w:r>
    </w:p>
    <w:p w14:paraId="24B4195F" w14:textId="77777777" w:rsidR="007F0B4E" w:rsidRDefault="00000000">
      <w:pPr>
        <w:pStyle w:val="ListParagraph"/>
        <w:numPr>
          <w:ilvl w:val="0"/>
          <w:numId w:val="2"/>
        </w:numPr>
        <w:spacing w:after="80"/>
      </w:pPr>
      <w:r>
        <w:rPr>
          <w:rFonts w:ascii="Calibri" w:eastAsia="Calibri" w:hAnsi="Calibri" w:cs="Calibri"/>
          <w:sz w:val="22"/>
          <w:szCs w:val="22"/>
        </w:rPr>
        <w:t>API Gateway and Load Balancer are never a single instance — minimum 3, so losing one doesn't take the system down</w:t>
      </w:r>
    </w:p>
    <w:p w14:paraId="2C3E225C" w14:textId="77777777" w:rsidR="007F0B4E" w:rsidRDefault="00000000">
      <w:pPr>
        <w:pStyle w:val="ListParagraph"/>
        <w:numPr>
          <w:ilvl w:val="0"/>
          <w:numId w:val="2"/>
        </w:numPr>
        <w:spacing w:after="80"/>
      </w:pPr>
      <w:r>
        <w:rPr>
          <w:rFonts w:ascii="Calibri" w:eastAsia="Calibri" w:hAnsi="Calibri" w:cs="Calibri"/>
          <w:sz w:val="22"/>
          <w:szCs w:val="22"/>
        </w:rPr>
        <w:t xml:space="preserve">Caching — </w:t>
      </w:r>
      <w:proofErr w:type="spellStart"/>
      <w:r>
        <w:rPr>
          <w:rFonts w:ascii="Calibri" w:eastAsia="Calibri" w:hAnsi="Calibri" w:cs="Calibri"/>
          <w:sz w:val="22"/>
          <w:szCs w:val="22"/>
        </w:rPr>
        <w:t>Catalog</w:t>
      </w:r>
      <w:proofErr w:type="spellEnd"/>
      <w:r>
        <w:rPr>
          <w:rFonts w:ascii="Calibri" w:eastAsia="Calibri" w:hAnsi="Calibri" w:cs="Calibri"/>
          <w:sz w:val="22"/>
          <w:szCs w:val="22"/>
        </w:rPr>
        <w:t xml:space="preserve"> data (price, description) is cached in Redis since it rarely changes; Inventory data is kept fresh (little to no caching) since availability must be accurate</w:t>
      </w:r>
    </w:p>
    <w:p w14:paraId="66B8FCE2" w14:textId="77777777" w:rsidR="007F0B4E" w:rsidRDefault="00000000">
      <w:pPr>
        <w:pStyle w:val="ListParagraph"/>
        <w:numPr>
          <w:ilvl w:val="0"/>
          <w:numId w:val="2"/>
        </w:numPr>
        <w:spacing w:after="80"/>
      </w:pPr>
      <w:r>
        <w:rPr>
          <w:rFonts w:ascii="Calibri" w:eastAsia="Calibri" w:hAnsi="Calibri" w:cs="Calibri"/>
          <w:sz w:val="22"/>
          <w:szCs w:val="22"/>
        </w:rPr>
        <w:t>Resilience on service-to-service calls — timeouts, retries, and circuit breakers so a slow or failing service doesn't cascade and bring down the ones calling it</w:t>
      </w:r>
    </w:p>
    <w:p w14:paraId="61CA65A8" w14:textId="77777777" w:rsidR="007F0B4E" w:rsidRDefault="00000000">
      <w:pPr>
        <w:pStyle w:val="ListParagraph"/>
        <w:numPr>
          <w:ilvl w:val="0"/>
          <w:numId w:val="2"/>
        </w:numPr>
        <w:spacing w:after="80"/>
      </w:pPr>
      <w:r>
        <w:rPr>
          <w:rFonts w:ascii="Calibri" w:eastAsia="Calibri" w:hAnsi="Calibri" w:cs="Calibri"/>
          <w:sz w:val="22"/>
          <w:szCs w:val="22"/>
        </w:rPr>
        <w:lastRenderedPageBreak/>
        <w:t xml:space="preserve">Graceful degradation — e.g. serve a cached price if the </w:t>
      </w:r>
      <w:proofErr w:type="spellStart"/>
      <w:r>
        <w:rPr>
          <w:rFonts w:ascii="Calibri" w:eastAsia="Calibri" w:hAnsi="Calibri" w:cs="Calibri"/>
          <w:sz w:val="22"/>
          <w:szCs w:val="22"/>
        </w:rPr>
        <w:t>Catalog</w:t>
      </w:r>
      <w:proofErr w:type="spellEnd"/>
      <w:r>
        <w:rPr>
          <w:rFonts w:ascii="Calibri" w:eastAsia="Calibri" w:hAnsi="Calibri" w:cs="Calibri"/>
          <w:sz w:val="22"/>
          <w:szCs w:val="22"/>
        </w:rPr>
        <w:t xml:space="preserve"> Service is slow, instead of a full error</w:t>
      </w:r>
    </w:p>
    <w:p w14:paraId="2CAACC07" w14:textId="77777777" w:rsidR="007F0B4E" w:rsidRDefault="00000000">
      <w:pPr>
        <w:pStyle w:val="Heading1"/>
        <w:spacing w:before="400" w:after="200"/>
      </w:pPr>
      <w:r>
        <w:t>3. Security and Authentication</w:t>
      </w:r>
    </w:p>
    <w:p w14:paraId="2F61F4E5" w14:textId="77777777" w:rsidR="007F0B4E" w:rsidRDefault="00000000">
      <w:pPr>
        <w:spacing w:after="160"/>
      </w:pPr>
      <w:r>
        <w:rPr>
          <w:rFonts w:ascii="Calibri" w:eastAsia="Calibri" w:hAnsi="Calibri" w:cs="Calibri"/>
          <w:sz w:val="22"/>
          <w:szCs w:val="22"/>
        </w:rPr>
        <w:t>Every request must carry a valid access token; its claims (user identity, permissions) are the source of truth for what the caller is allowed to do.</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600"/>
        <w:gridCol w:w="3600"/>
      </w:tblGrid>
      <w:tr w:rsidR="007F0B4E" w14:paraId="42764049" w14:textId="77777777">
        <w:tblPrEx>
          <w:tblCellMar>
            <w:top w:w="0" w:type="dxa"/>
            <w:bottom w:w="0" w:type="dxa"/>
          </w:tblCellMar>
        </w:tblPrEx>
        <w:trPr>
          <w:tblHeader/>
        </w:trPr>
        <w:tc>
          <w:tcPr>
            <w:tcW w:w="2500" w:type="dxa"/>
            <w:shd w:val="clear" w:color="auto" w:fill="2F5496"/>
            <w:tcMar>
              <w:top w:w="80" w:type="dxa"/>
              <w:left w:w="100" w:type="dxa"/>
              <w:bottom w:w="80" w:type="dxa"/>
              <w:right w:w="100" w:type="dxa"/>
            </w:tcMar>
          </w:tcPr>
          <w:p w14:paraId="5BFCD28D" w14:textId="77777777" w:rsidR="007F0B4E" w:rsidRDefault="007F0B4E"/>
        </w:tc>
        <w:tc>
          <w:tcPr>
            <w:tcW w:w="3600" w:type="dxa"/>
            <w:shd w:val="clear" w:color="auto" w:fill="2F5496"/>
            <w:tcMar>
              <w:top w:w="80" w:type="dxa"/>
              <w:left w:w="100" w:type="dxa"/>
              <w:bottom w:w="80" w:type="dxa"/>
              <w:right w:w="100" w:type="dxa"/>
            </w:tcMar>
          </w:tcPr>
          <w:p w14:paraId="0D265181" w14:textId="77777777" w:rsidR="007F0B4E" w:rsidRDefault="00000000">
            <w:r>
              <w:rPr>
                <w:rFonts w:ascii="Calibri" w:eastAsia="Calibri" w:hAnsi="Calibri" w:cs="Calibri"/>
                <w:b/>
                <w:bCs/>
                <w:color w:val="FFFFFF"/>
              </w:rPr>
              <w:t>Access token</w:t>
            </w:r>
          </w:p>
        </w:tc>
        <w:tc>
          <w:tcPr>
            <w:tcW w:w="3600" w:type="dxa"/>
            <w:shd w:val="clear" w:color="auto" w:fill="2F5496"/>
            <w:tcMar>
              <w:top w:w="80" w:type="dxa"/>
              <w:left w:w="100" w:type="dxa"/>
              <w:bottom w:w="80" w:type="dxa"/>
              <w:right w:w="100" w:type="dxa"/>
            </w:tcMar>
          </w:tcPr>
          <w:p w14:paraId="12117305" w14:textId="77777777" w:rsidR="007F0B4E" w:rsidRDefault="00000000">
            <w:r>
              <w:rPr>
                <w:rFonts w:ascii="Calibri" w:eastAsia="Calibri" w:hAnsi="Calibri" w:cs="Calibri"/>
                <w:b/>
                <w:bCs/>
                <w:color w:val="FFFFFF"/>
              </w:rPr>
              <w:t>Refresh token</w:t>
            </w:r>
          </w:p>
        </w:tc>
      </w:tr>
      <w:tr w:rsidR="007F0B4E" w14:paraId="7D716072" w14:textId="77777777">
        <w:tblPrEx>
          <w:tblCellMar>
            <w:top w:w="0" w:type="dxa"/>
            <w:bottom w:w="0" w:type="dxa"/>
          </w:tblCellMar>
        </w:tblPrEx>
        <w:tc>
          <w:tcPr>
            <w:tcW w:w="2500" w:type="dxa"/>
            <w:tcMar>
              <w:top w:w="80" w:type="dxa"/>
              <w:left w:w="100" w:type="dxa"/>
              <w:bottom w:w="80" w:type="dxa"/>
              <w:right w:w="100" w:type="dxa"/>
            </w:tcMar>
          </w:tcPr>
          <w:p w14:paraId="4D8D1692" w14:textId="77777777" w:rsidR="007F0B4E" w:rsidRDefault="00000000">
            <w:r>
              <w:rPr>
                <w:rFonts w:ascii="Calibri" w:eastAsia="Calibri" w:hAnsi="Calibri" w:cs="Calibri"/>
                <w:color w:val="000000"/>
              </w:rPr>
              <w:t>Purpose</w:t>
            </w:r>
          </w:p>
        </w:tc>
        <w:tc>
          <w:tcPr>
            <w:tcW w:w="3600" w:type="dxa"/>
            <w:tcMar>
              <w:top w:w="80" w:type="dxa"/>
              <w:left w:w="100" w:type="dxa"/>
              <w:bottom w:w="80" w:type="dxa"/>
              <w:right w:w="100" w:type="dxa"/>
            </w:tcMar>
          </w:tcPr>
          <w:p w14:paraId="38A7C804" w14:textId="77777777" w:rsidR="007F0B4E" w:rsidRDefault="00000000">
            <w:r>
              <w:rPr>
                <w:rFonts w:ascii="Calibri" w:eastAsia="Calibri" w:hAnsi="Calibri" w:cs="Calibri"/>
                <w:color w:val="000000"/>
              </w:rPr>
              <w:t>Carries identity + permissions, used on every API call</w:t>
            </w:r>
          </w:p>
        </w:tc>
        <w:tc>
          <w:tcPr>
            <w:tcW w:w="3600" w:type="dxa"/>
            <w:tcMar>
              <w:top w:w="80" w:type="dxa"/>
              <w:left w:w="100" w:type="dxa"/>
              <w:bottom w:w="80" w:type="dxa"/>
              <w:right w:w="100" w:type="dxa"/>
            </w:tcMar>
          </w:tcPr>
          <w:p w14:paraId="17B1074A" w14:textId="77777777" w:rsidR="007F0B4E" w:rsidRDefault="00000000">
            <w:r>
              <w:rPr>
                <w:rFonts w:ascii="Calibri" w:eastAsia="Calibri" w:hAnsi="Calibri" w:cs="Calibri"/>
                <w:color w:val="000000"/>
              </w:rPr>
              <w:t>Used only to obtain a new access token</w:t>
            </w:r>
          </w:p>
        </w:tc>
      </w:tr>
      <w:tr w:rsidR="007F0B4E" w14:paraId="4E3C64AA" w14:textId="77777777">
        <w:tblPrEx>
          <w:tblCellMar>
            <w:top w:w="0" w:type="dxa"/>
            <w:bottom w:w="0" w:type="dxa"/>
          </w:tblCellMar>
        </w:tblPrEx>
        <w:tc>
          <w:tcPr>
            <w:tcW w:w="2500" w:type="dxa"/>
            <w:tcMar>
              <w:top w:w="80" w:type="dxa"/>
              <w:left w:w="100" w:type="dxa"/>
              <w:bottom w:w="80" w:type="dxa"/>
              <w:right w:w="100" w:type="dxa"/>
            </w:tcMar>
          </w:tcPr>
          <w:p w14:paraId="018DE8F5" w14:textId="77777777" w:rsidR="007F0B4E" w:rsidRDefault="00000000">
            <w:r>
              <w:rPr>
                <w:rFonts w:ascii="Calibri" w:eastAsia="Calibri" w:hAnsi="Calibri" w:cs="Calibri"/>
                <w:color w:val="000000"/>
              </w:rPr>
              <w:t>Lifetime</w:t>
            </w:r>
          </w:p>
        </w:tc>
        <w:tc>
          <w:tcPr>
            <w:tcW w:w="3600" w:type="dxa"/>
            <w:tcMar>
              <w:top w:w="80" w:type="dxa"/>
              <w:left w:w="100" w:type="dxa"/>
              <w:bottom w:w="80" w:type="dxa"/>
              <w:right w:w="100" w:type="dxa"/>
            </w:tcMar>
          </w:tcPr>
          <w:p w14:paraId="3C2EB614" w14:textId="77777777" w:rsidR="007F0B4E" w:rsidRDefault="00000000">
            <w:r>
              <w:rPr>
                <w:rFonts w:ascii="Calibri" w:eastAsia="Calibri" w:hAnsi="Calibri" w:cs="Calibri"/>
                <w:color w:val="000000"/>
              </w:rPr>
              <w:t>Short (5–15 min)</w:t>
            </w:r>
          </w:p>
        </w:tc>
        <w:tc>
          <w:tcPr>
            <w:tcW w:w="3600" w:type="dxa"/>
            <w:tcMar>
              <w:top w:w="80" w:type="dxa"/>
              <w:left w:w="100" w:type="dxa"/>
              <w:bottom w:w="80" w:type="dxa"/>
              <w:right w:w="100" w:type="dxa"/>
            </w:tcMar>
          </w:tcPr>
          <w:p w14:paraId="670BE426" w14:textId="77777777" w:rsidR="007F0B4E" w:rsidRDefault="00000000">
            <w:r>
              <w:rPr>
                <w:rFonts w:ascii="Calibri" w:eastAsia="Calibri" w:hAnsi="Calibri" w:cs="Calibri"/>
                <w:color w:val="000000"/>
              </w:rPr>
              <w:t>Long (days/weeks)</w:t>
            </w:r>
          </w:p>
        </w:tc>
      </w:tr>
      <w:tr w:rsidR="007F0B4E" w14:paraId="45522521" w14:textId="77777777">
        <w:tblPrEx>
          <w:tblCellMar>
            <w:top w:w="0" w:type="dxa"/>
            <w:bottom w:w="0" w:type="dxa"/>
          </w:tblCellMar>
        </w:tblPrEx>
        <w:tc>
          <w:tcPr>
            <w:tcW w:w="2500" w:type="dxa"/>
            <w:tcMar>
              <w:top w:w="80" w:type="dxa"/>
              <w:left w:w="100" w:type="dxa"/>
              <w:bottom w:w="80" w:type="dxa"/>
              <w:right w:w="100" w:type="dxa"/>
            </w:tcMar>
          </w:tcPr>
          <w:p w14:paraId="7DEEA5F2" w14:textId="77777777" w:rsidR="007F0B4E" w:rsidRDefault="00000000">
            <w:r>
              <w:rPr>
                <w:rFonts w:ascii="Calibri" w:eastAsia="Calibri" w:hAnsi="Calibri" w:cs="Calibri"/>
                <w:color w:val="000000"/>
              </w:rPr>
              <w:t>Revocable before expiry</w:t>
            </w:r>
          </w:p>
        </w:tc>
        <w:tc>
          <w:tcPr>
            <w:tcW w:w="3600" w:type="dxa"/>
            <w:tcMar>
              <w:top w:w="80" w:type="dxa"/>
              <w:left w:w="100" w:type="dxa"/>
              <w:bottom w:w="80" w:type="dxa"/>
              <w:right w:w="100" w:type="dxa"/>
            </w:tcMar>
          </w:tcPr>
          <w:p w14:paraId="47612D19" w14:textId="77777777" w:rsidR="007F0B4E" w:rsidRDefault="00000000">
            <w:r>
              <w:rPr>
                <w:rFonts w:ascii="Calibri" w:eastAsia="Calibri" w:hAnsi="Calibri" w:cs="Calibri"/>
                <w:color w:val="000000"/>
              </w:rPr>
              <w:t>No</w:t>
            </w:r>
          </w:p>
        </w:tc>
        <w:tc>
          <w:tcPr>
            <w:tcW w:w="3600" w:type="dxa"/>
            <w:tcMar>
              <w:top w:w="80" w:type="dxa"/>
              <w:left w:w="100" w:type="dxa"/>
              <w:bottom w:w="80" w:type="dxa"/>
              <w:right w:w="100" w:type="dxa"/>
            </w:tcMar>
          </w:tcPr>
          <w:p w14:paraId="760BFF68" w14:textId="77777777" w:rsidR="007F0B4E" w:rsidRDefault="00000000">
            <w:r>
              <w:rPr>
                <w:rFonts w:ascii="Calibri" w:eastAsia="Calibri" w:hAnsi="Calibri" w:cs="Calibri"/>
                <w:color w:val="000000"/>
              </w:rPr>
              <w:t>Yes</w:t>
            </w:r>
          </w:p>
        </w:tc>
      </w:tr>
    </w:tbl>
    <w:p w14:paraId="7B672FA3" w14:textId="77777777" w:rsidR="007F0B4E" w:rsidRDefault="00000000">
      <w:pPr>
        <w:spacing w:after="160"/>
      </w:pPr>
      <w:r>
        <w:rPr>
          <w:rFonts w:ascii="Calibri" w:eastAsia="Calibri" w:hAnsi="Calibri" w:cs="Calibri"/>
          <w:sz w:val="22"/>
          <w:szCs w:val="22"/>
        </w:rPr>
        <w:t>Permissions (e.g. which actions a user or partner integration is allowed to perform) are encoded as claims inside the access token. Each service checks these claims locally, without calling the Identity service on every request — keeping authorization fast even at high traffic volumes.</w:t>
      </w:r>
    </w:p>
    <w:p w14:paraId="409B7973" w14:textId="77777777" w:rsidR="007F0B4E" w:rsidRDefault="00000000">
      <w:pPr>
        <w:pStyle w:val="Heading1"/>
        <w:spacing w:before="400" w:after="200"/>
      </w:pPr>
      <w:r>
        <w:t>4. Key Components and Their Responsibilities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800"/>
      </w:tblGrid>
      <w:tr w:rsidR="007F0B4E" w14:paraId="1B8F069E" w14:textId="77777777">
        <w:tblPrEx>
          <w:tblCellMar>
            <w:top w:w="0" w:type="dxa"/>
            <w:bottom w:w="0" w:type="dxa"/>
          </w:tblCellMar>
        </w:tblPrEx>
        <w:trPr>
          <w:tblHeader/>
        </w:trPr>
        <w:tc>
          <w:tcPr>
            <w:tcW w:w="3200" w:type="dxa"/>
            <w:shd w:val="clear" w:color="auto" w:fill="2F5496"/>
            <w:tcMar>
              <w:top w:w="80" w:type="dxa"/>
              <w:left w:w="100" w:type="dxa"/>
              <w:bottom w:w="80" w:type="dxa"/>
              <w:right w:w="100" w:type="dxa"/>
            </w:tcMar>
          </w:tcPr>
          <w:p w14:paraId="278F06B9" w14:textId="77777777" w:rsidR="007F0B4E" w:rsidRDefault="00000000">
            <w:r>
              <w:rPr>
                <w:rFonts w:ascii="Calibri" w:eastAsia="Calibri" w:hAnsi="Calibri" w:cs="Calibri"/>
                <w:b/>
                <w:bCs/>
                <w:color w:val="FFFFFF"/>
              </w:rPr>
              <w:t>Component</w:t>
            </w:r>
          </w:p>
        </w:tc>
        <w:tc>
          <w:tcPr>
            <w:tcW w:w="6800" w:type="dxa"/>
            <w:shd w:val="clear" w:color="auto" w:fill="2F5496"/>
            <w:tcMar>
              <w:top w:w="80" w:type="dxa"/>
              <w:left w:w="100" w:type="dxa"/>
              <w:bottom w:w="80" w:type="dxa"/>
              <w:right w:w="100" w:type="dxa"/>
            </w:tcMar>
          </w:tcPr>
          <w:p w14:paraId="3501A7CC" w14:textId="77777777" w:rsidR="007F0B4E" w:rsidRDefault="00000000">
            <w:r>
              <w:rPr>
                <w:rFonts w:ascii="Calibri" w:eastAsia="Calibri" w:hAnsi="Calibri" w:cs="Calibri"/>
                <w:b/>
                <w:bCs/>
                <w:color w:val="FFFFFF"/>
              </w:rPr>
              <w:t>Responsibility</w:t>
            </w:r>
          </w:p>
        </w:tc>
      </w:tr>
      <w:tr w:rsidR="007F0B4E" w14:paraId="29333A25" w14:textId="77777777">
        <w:tblPrEx>
          <w:tblCellMar>
            <w:top w:w="0" w:type="dxa"/>
            <w:bottom w:w="0" w:type="dxa"/>
          </w:tblCellMar>
        </w:tblPrEx>
        <w:tc>
          <w:tcPr>
            <w:tcW w:w="3200" w:type="dxa"/>
            <w:tcMar>
              <w:top w:w="80" w:type="dxa"/>
              <w:left w:w="100" w:type="dxa"/>
              <w:bottom w:w="80" w:type="dxa"/>
              <w:right w:w="100" w:type="dxa"/>
            </w:tcMar>
          </w:tcPr>
          <w:p w14:paraId="58FD9624" w14:textId="77777777" w:rsidR="007F0B4E" w:rsidRDefault="00000000">
            <w:r>
              <w:rPr>
                <w:rFonts w:ascii="Calibri" w:eastAsia="Calibri" w:hAnsi="Calibri" w:cs="Calibri"/>
                <w:color w:val="000000"/>
              </w:rPr>
              <w:t>API Gateway</w:t>
            </w:r>
          </w:p>
        </w:tc>
        <w:tc>
          <w:tcPr>
            <w:tcW w:w="6800" w:type="dxa"/>
            <w:tcMar>
              <w:top w:w="80" w:type="dxa"/>
              <w:left w:w="100" w:type="dxa"/>
              <w:bottom w:w="80" w:type="dxa"/>
              <w:right w:w="100" w:type="dxa"/>
            </w:tcMar>
          </w:tcPr>
          <w:p w14:paraId="1375CC81" w14:textId="77777777" w:rsidR="007F0B4E" w:rsidRDefault="00000000">
            <w:r>
              <w:rPr>
                <w:rFonts w:ascii="Calibri" w:eastAsia="Calibri" w:hAnsi="Calibri" w:cs="Calibri"/>
                <w:color w:val="000000"/>
              </w:rPr>
              <w:t>Routing, JWT validation, rate limiting, aggregating responses from multiple services</w:t>
            </w:r>
          </w:p>
        </w:tc>
      </w:tr>
      <w:tr w:rsidR="007F0B4E" w14:paraId="6005144E" w14:textId="77777777">
        <w:tblPrEx>
          <w:tblCellMar>
            <w:top w:w="0" w:type="dxa"/>
            <w:bottom w:w="0" w:type="dxa"/>
          </w:tblCellMar>
        </w:tblPrEx>
        <w:tc>
          <w:tcPr>
            <w:tcW w:w="3200" w:type="dxa"/>
            <w:tcMar>
              <w:top w:w="80" w:type="dxa"/>
              <w:left w:w="100" w:type="dxa"/>
              <w:bottom w:w="80" w:type="dxa"/>
              <w:right w:w="100" w:type="dxa"/>
            </w:tcMar>
          </w:tcPr>
          <w:p w14:paraId="2D4A69A5" w14:textId="77777777" w:rsidR="007F0B4E" w:rsidRDefault="00000000">
            <w:r>
              <w:rPr>
                <w:rFonts w:ascii="Calibri" w:eastAsia="Calibri" w:hAnsi="Calibri" w:cs="Calibri"/>
                <w:color w:val="000000"/>
              </w:rPr>
              <w:t>Identity Service (</w:t>
            </w:r>
            <w:proofErr w:type="spellStart"/>
            <w:r>
              <w:rPr>
                <w:rFonts w:ascii="Calibri" w:eastAsia="Calibri" w:hAnsi="Calibri" w:cs="Calibri"/>
                <w:color w:val="000000"/>
              </w:rPr>
              <w:t>Keycloak</w:t>
            </w:r>
            <w:proofErr w:type="spellEnd"/>
            <w:r>
              <w:rPr>
                <w:rFonts w:ascii="Calibri" w:eastAsia="Calibri" w:hAnsi="Calibri" w:cs="Calibri"/>
                <w:color w:val="000000"/>
              </w:rPr>
              <w:t>)</w:t>
            </w:r>
          </w:p>
        </w:tc>
        <w:tc>
          <w:tcPr>
            <w:tcW w:w="6800" w:type="dxa"/>
            <w:tcMar>
              <w:top w:w="80" w:type="dxa"/>
              <w:left w:w="100" w:type="dxa"/>
              <w:bottom w:w="80" w:type="dxa"/>
              <w:right w:w="100" w:type="dxa"/>
            </w:tcMar>
          </w:tcPr>
          <w:p w14:paraId="1AC3AE5E" w14:textId="77777777" w:rsidR="007F0B4E" w:rsidRDefault="00000000">
            <w:r>
              <w:rPr>
                <w:rFonts w:ascii="Calibri" w:eastAsia="Calibri" w:hAnsi="Calibri" w:cs="Calibri"/>
                <w:color w:val="000000"/>
              </w:rPr>
              <w:t>Issuing/refreshing JWT tokens, managing users, roles, and permissions</w:t>
            </w:r>
          </w:p>
        </w:tc>
      </w:tr>
      <w:tr w:rsidR="007F0B4E" w14:paraId="5D21B1B0" w14:textId="77777777">
        <w:tblPrEx>
          <w:tblCellMar>
            <w:top w:w="0" w:type="dxa"/>
            <w:bottom w:w="0" w:type="dxa"/>
          </w:tblCellMar>
        </w:tblPrEx>
        <w:tc>
          <w:tcPr>
            <w:tcW w:w="3200" w:type="dxa"/>
            <w:tcMar>
              <w:top w:w="80" w:type="dxa"/>
              <w:left w:w="100" w:type="dxa"/>
              <w:bottom w:w="80" w:type="dxa"/>
              <w:right w:w="100" w:type="dxa"/>
            </w:tcMar>
          </w:tcPr>
          <w:p w14:paraId="3DE8CB1A" w14:textId="77777777" w:rsidR="007F0B4E" w:rsidRDefault="00000000">
            <w:r>
              <w:rPr>
                <w:rFonts w:ascii="Calibri" w:eastAsia="Calibri" w:hAnsi="Calibri" w:cs="Calibri"/>
                <w:color w:val="000000"/>
              </w:rPr>
              <w:t xml:space="preserve">Product </w:t>
            </w:r>
            <w:proofErr w:type="spellStart"/>
            <w:r>
              <w:rPr>
                <w:rFonts w:ascii="Calibri" w:eastAsia="Calibri" w:hAnsi="Calibri" w:cs="Calibri"/>
                <w:color w:val="000000"/>
              </w:rPr>
              <w:t>Catalog</w:t>
            </w:r>
            <w:proofErr w:type="spellEnd"/>
            <w:r>
              <w:rPr>
                <w:rFonts w:ascii="Calibri" w:eastAsia="Calibri" w:hAnsi="Calibri" w:cs="Calibri"/>
                <w:color w:val="000000"/>
              </w:rPr>
              <w:t xml:space="preserve"> Service</w:t>
            </w:r>
          </w:p>
        </w:tc>
        <w:tc>
          <w:tcPr>
            <w:tcW w:w="6800" w:type="dxa"/>
            <w:tcMar>
              <w:top w:w="80" w:type="dxa"/>
              <w:left w:w="100" w:type="dxa"/>
              <w:bottom w:w="80" w:type="dxa"/>
              <w:right w:w="100" w:type="dxa"/>
            </w:tcMar>
          </w:tcPr>
          <w:p w14:paraId="26C48B53" w14:textId="77777777" w:rsidR="007F0B4E" w:rsidRDefault="00000000">
            <w:r>
              <w:rPr>
                <w:rFonts w:ascii="Calibri" w:eastAsia="Calibri" w:hAnsi="Calibri" w:cs="Calibri"/>
                <w:color w:val="000000"/>
              </w:rPr>
              <w:t>Products, descriptions, prices, categories (read-heavy, cache-friendly)</w:t>
            </w:r>
          </w:p>
        </w:tc>
      </w:tr>
      <w:tr w:rsidR="007F0B4E" w14:paraId="1C8129A7" w14:textId="77777777">
        <w:tblPrEx>
          <w:tblCellMar>
            <w:top w:w="0" w:type="dxa"/>
            <w:bottom w:w="0" w:type="dxa"/>
          </w:tblCellMar>
        </w:tblPrEx>
        <w:tc>
          <w:tcPr>
            <w:tcW w:w="3200" w:type="dxa"/>
            <w:tcMar>
              <w:top w:w="80" w:type="dxa"/>
              <w:left w:w="100" w:type="dxa"/>
              <w:bottom w:w="80" w:type="dxa"/>
              <w:right w:w="100" w:type="dxa"/>
            </w:tcMar>
          </w:tcPr>
          <w:p w14:paraId="70AA922A" w14:textId="77777777" w:rsidR="007F0B4E" w:rsidRDefault="00000000">
            <w:r>
              <w:rPr>
                <w:rFonts w:ascii="Calibri" w:eastAsia="Calibri" w:hAnsi="Calibri" w:cs="Calibri"/>
                <w:color w:val="000000"/>
              </w:rPr>
              <w:t>Inventory Service</w:t>
            </w:r>
          </w:p>
        </w:tc>
        <w:tc>
          <w:tcPr>
            <w:tcW w:w="6800" w:type="dxa"/>
            <w:tcMar>
              <w:top w:w="80" w:type="dxa"/>
              <w:left w:w="100" w:type="dxa"/>
              <w:bottom w:w="80" w:type="dxa"/>
              <w:right w:w="100" w:type="dxa"/>
            </w:tcMar>
          </w:tcPr>
          <w:p w14:paraId="5AB63E4E" w14:textId="77777777" w:rsidR="007F0B4E" w:rsidRDefault="00000000">
            <w:r>
              <w:rPr>
                <w:rFonts w:ascii="Calibri" w:eastAsia="Calibri" w:hAnsi="Calibri" w:cs="Calibri"/>
                <w:color w:val="000000"/>
              </w:rPr>
              <w:t>Stock levels, reservations (soft-lock); requires low tolerance for stale data</w:t>
            </w:r>
          </w:p>
        </w:tc>
      </w:tr>
      <w:tr w:rsidR="007F0B4E" w14:paraId="0BC7396C" w14:textId="77777777">
        <w:tblPrEx>
          <w:tblCellMar>
            <w:top w:w="0" w:type="dxa"/>
            <w:bottom w:w="0" w:type="dxa"/>
          </w:tblCellMar>
        </w:tblPrEx>
        <w:tc>
          <w:tcPr>
            <w:tcW w:w="3200" w:type="dxa"/>
            <w:tcMar>
              <w:top w:w="80" w:type="dxa"/>
              <w:left w:w="100" w:type="dxa"/>
              <w:bottom w:w="80" w:type="dxa"/>
              <w:right w:w="100" w:type="dxa"/>
            </w:tcMar>
          </w:tcPr>
          <w:p w14:paraId="2227B40D" w14:textId="77777777" w:rsidR="007F0B4E" w:rsidRDefault="00000000">
            <w:r>
              <w:rPr>
                <w:rFonts w:ascii="Calibri" w:eastAsia="Calibri" w:hAnsi="Calibri" w:cs="Calibri"/>
                <w:color w:val="000000"/>
              </w:rPr>
              <w:t>Cart Service</w:t>
            </w:r>
          </w:p>
        </w:tc>
        <w:tc>
          <w:tcPr>
            <w:tcW w:w="6800" w:type="dxa"/>
            <w:tcMar>
              <w:top w:w="80" w:type="dxa"/>
              <w:left w:w="100" w:type="dxa"/>
              <w:bottom w:w="80" w:type="dxa"/>
              <w:right w:w="100" w:type="dxa"/>
            </w:tcMar>
          </w:tcPr>
          <w:p w14:paraId="68331C07" w14:textId="77777777" w:rsidR="007F0B4E" w:rsidRDefault="00000000">
            <w:r>
              <w:rPr>
                <w:rFonts w:ascii="Calibri" w:eastAsia="Calibri" w:hAnsi="Calibri" w:cs="Calibri"/>
                <w:color w:val="000000"/>
              </w:rPr>
              <w:t>Cart management (CRUD of items), availability check on add, serving contents at checkout</w:t>
            </w:r>
          </w:p>
        </w:tc>
      </w:tr>
      <w:tr w:rsidR="007F0B4E" w14:paraId="0C82614F" w14:textId="77777777">
        <w:tblPrEx>
          <w:tblCellMar>
            <w:top w:w="0" w:type="dxa"/>
            <w:bottom w:w="0" w:type="dxa"/>
          </w:tblCellMar>
        </w:tblPrEx>
        <w:tc>
          <w:tcPr>
            <w:tcW w:w="3200" w:type="dxa"/>
            <w:tcMar>
              <w:top w:w="80" w:type="dxa"/>
              <w:left w:w="100" w:type="dxa"/>
              <w:bottom w:w="80" w:type="dxa"/>
              <w:right w:w="100" w:type="dxa"/>
            </w:tcMar>
          </w:tcPr>
          <w:p w14:paraId="74F2A7E4" w14:textId="77777777" w:rsidR="007F0B4E" w:rsidRDefault="00000000">
            <w:r>
              <w:rPr>
                <w:rFonts w:ascii="Calibri" w:eastAsia="Calibri" w:hAnsi="Calibri" w:cs="Calibri"/>
                <w:color w:val="000000"/>
              </w:rPr>
              <w:t>Order Service</w:t>
            </w:r>
          </w:p>
        </w:tc>
        <w:tc>
          <w:tcPr>
            <w:tcW w:w="6800" w:type="dxa"/>
            <w:tcMar>
              <w:top w:w="80" w:type="dxa"/>
              <w:left w:w="100" w:type="dxa"/>
              <w:bottom w:w="80" w:type="dxa"/>
              <w:right w:w="100" w:type="dxa"/>
            </w:tcMar>
          </w:tcPr>
          <w:p w14:paraId="1C1FD6DB" w14:textId="77777777" w:rsidR="007F0B4E" w:rsidRDefault="00000000">
            <w:r>
              <w:rPr>
                <w:rFonts w:ascii="Calibri" w:eastAsia="Calibri" w:hAnsi="Calibri" w:cs="Calibri"/>
                <w:color w:val="000000"/>
              </w:rPr>
              <w:t>Checkout orchestration, order creation, coordination with Inventory and Payment services</w:t>
            </w:r>
          </w:p>
        </w:tc>
      </w:tr>
      <w:tr w:rsidR="007F0B4E" w14:paraId="39F124B2" w14:textId="77777777">
        <w:tblPrEx>
          <w:tblCellMar>
            <w:top w:w="0" w:type="dxa"/>
            <w:bottom w:w="0" w:type="dxa"/>
          </w:tblCellMar>
        </w:tblPrEx>
        <w:tc>
          <w:tcPr>
            <w:tcW w:w="3200" w:type="dxa"/>
            <w:tcMar>
              <w:top w:w="80" w:type="dxa"/>
              <w:left w:w="100" w:type="dxa"/>
              <w:bottom w:w="80" w:type="dxa"/>
              <w:right w:w="100" w:type="dxa"/>
            </w:tcMar>
          </w:tcPr>
          <w:p w14:paraId="00DBCDB3" w14:textId="77777777" w:rsidR="007F0B4E" w:rsidRDefault="00000000">
            <w:r>
              <w:rPr>
                <w:rFonts w:ascii="Calibri" w:eastAsia="Calibri" w:hAnsi="Calibri" w:cs="Calibri"/>
                <w:color w:val="000000"/>
              </w:rPr>
              <w:t>Payment Service</w:t>
            </w:r>
          </w:p>
        </w:tc>
        <w:tc>
          <w:tcPr>
            <w:tcW w:w="6800" w:type="dxa"/>
            <w:tcMar>
              <w:top w:w="80" w:type="dxa"/>
              <w:left w:w="100" w:type="dxa"/>
              <w:bottom w:w="80" w:type="dxa"/>
              <w:right w:w="100" w:type="dxa"/>
            </w:tcMar>
          </w:tcPr>
          <w:p w14:paraId="0B6EEFC6" w14:textId="77777777" w:rsidR="007F0B4E" w:rsidRDefault="00000000">
            <w:r>
              <w:rPr>
                <w:rFonts w:ascii="Calibri" w:eastAsia="Calibri" w:hAnsi="Calibri" w:cs="Calibri"/>
                <w:color w:val="000000"/>
              </w:rPr>
              <w:t>Payment processing, integration with an external payment provider</w:t>
            </w:r>
          </w:p>
        </w:tc>
      </w:tr>
      <w:tr w:rsidR="007F0B4E" w14:paraId="16A910D4" w14:textId="77777777">
        <w:tblPrEx>
          <w:tblCellMar>
            <w:top w:w="0" w:type="dxa"/>
            <w:bottom w:w="0" w:type="dxa"/>
          </w:tblCellMar>
        </w:tblPrEx>
        <w:tc>
          <w:tcPr>
            <w:tcW w:w="3200" w:type="dxa"/>
            <w:tcMar>
              <w:top w:w="80" w:type="dxa"/>
              <w:left w:w="100" w:type="dxa"/>
              <w:bottom w:w="80" w:type="dxa"/>
              <w:right w:w="100" w:type="dxa"/>
            </w:tcMar>
          </w:tcPr>
          <w:p w14:paraId="7319949E" w14:textId="77777777" w:rsidR="007F0B4E" w:rsidRDefault="00000000">
            <w:r>
              <w:rPr>
                <w:rFonts w:ascii="Calibri" w:eastAsia="Calibri" w:hAnsi="Calibri" w:cs="Calibri"/>
                <w:color w:val="000000"/>
              </w:rPr>
              <w:t>Notification Service</w:t>
            </w:r>
          </w:p>
        </w:tc>
        <w:tc>
          <w:tcPr>
            <w:tcW w:w="6800" w:type="dxa"/>
            <w:tcMar>
              <w:top w:w="80" w:type="dxa"/>
              <w:left w:w="100" w:type="dxa"/>
              <w:bottom w:w="80" w:type="dxa"/>
              <w:right w:w="100" w:type="dxa"/>
            </w:tcMar>
          </w:tcPr>
          <w:p w14:paraId="376772BA" w14:textId="77777777" w:rsidR="007F0B4E" w:rsidRDefault="00000000">
            <w:r>
              <w:rPr>
                <w:rFonts w:ascii="Calibri" w:eastAsia="Calibri" w:hAnsi="Calibri" w:cs="Calibri"/>
                <w:color w:val="000000"/>
              </w:rPr>
              <w:t>Email/SMS/push notifications (asynchronous, event-driven)</w:t>
            </w:r>
          </w:p>
        </w:tc>
      </w:tr>
      <w:tr w:rsidR="007F0B4E" w14:paraId="54C24270" w14:textId="77777777">
        <w:tblPrEx>
          <w:tblCellMar>
            <w:top w:w="0" w:type="dxa"/>
            <w:bottom w:w="0" w:type="dxa"/>
          </w:tblCellMar>
        </w:tblPrEx>
        <w:tc>
          <w:tcPr>
            <w:tcW w:w="3200" w:type="dxa"/>
            <w:tcMar>
              <w:top w:w="80" w:type="dxa"/>
              <w:left w:w="100" w:type="dxa"/>
              <w:bottom w:w="80" w:type="dxa"/>
              <w:right w:w="100" w:type="dxa"/>
            </w:tcMar>
          </w:tcPr>
          <w:p w14:paraId="6EF764E3" w14:textId="77777777" w:rsidR="007F0B4E" w:rsidRDefault="00000000">
            <w:r>
              <w:rPr>
                <w:rFonts w:ascii="Calibri" w:eastAsia="Calibri" w:hAnsi="Calibri" w:cs="Calibri"/>
                <w:color w:val="000000"/>
              </w:rPr>
              <w:t>Integration Service</w:t>
            </w:r>
          </w:p>
        </w:tc>
        <w:tc>
          <w:tcPr>
            <w:tcW w:w="6800" w:type="dxa"/>
            <w:tcMar>
              <w:top w:w="80" w:type="dxa"/>
              <w:left w:w="100" w:type="dxa"/>
              <w:bottom w:w="80" w:type="dxa"/>
              <w:right w:w="100" w:type="dxa"/>
            </w:tcMar>
          </w:tcPr>
          <w:p w14:paraId="23E64A6F" w14:textId="77777777" w:rsidR="007F0B4E" w:rsidRDefault="00000000">
            <w:r>
              <w:rPr>
                <w:rFonts w:ascii="Calibri" w:eastAsia="Calibri" w:hAnsi="Calibri" w:cs="Calibri"/>
                <w:color w:val="000000"/>
              </w:rPr>
              <w:t>Anti-corruption layer toward external systems (tax authority, marketplace, B2B)</w:t>
            </w:r>
          </w:p>
        </w:tc>
      </w:tr>
    </w:tbl>
    <w:p w14:paraId="3B7BB2C8" w14:textId="77777777" w:rsidR="007F0B4E" w:rsidRDefault="00000000">
      <w:pPr>
        <w:spacing w:after="160"/>
      </w:pPr>
      <w:r>
        <w:rPr>
          <w:rFonts w:ascii="Calibri" w:eastAsia="Calibri" w:hAnsi="Calibri" w:cs="Calibri"/>
          <w:sz w:val="22"/>
          <w:szCs w:val="22"/>
        </w:rPr>
        <w:t>Every entity (User, Product, Order...) has exactly one owning service holding the full, authoritative model and database. Other services reference it by ID and, where needed, keep their own narrow, denormalized snapshot, synchronized asynchronously via events.</w:t>
      </w:r>
    </w:p>
    <w:p w14:paraId="1386724F" w14:textId="77777777" w:rsidR="007F0B4E" w:rsidRDefault="00000000">
      <w:pPr>
        <w:pStyle w:val="Heading1"/>
        <w:spacing w:before="400" w:after="200"/>
      </w:pPr>
      <w:r>
        <w:t>5. Integration with External Services</w:t>
      </w:r>
    </w:p>
    <w:p w14:paraId="27DBF766" w14:textId="77777777" w:rsidR="007F0B4E" w:rsidRDefault="00000000">
      <w:pPr>
        <w:spacing w:after="160"/>
      </w:pPr>
      <w:r>
        <w:rPr>
          <w:rFonts w:ascii="Calibri" w:eastAsia="Calibri" w:hAnsi="Calibri" w:cs="Calibri"/>
          <w:sz w:val="22"/>
          <w:szCs w:val="22"/>
        </w:rPr>
        <w:t>External integrations go through the Integration Service, which acts as a bridge between our internal system and the outside world — translating our internal data into the format an external system expects, and back.</w:t>
      </w:r>
    </w:p>
    <w:p w14:paraId="3CAECE76" w14:textId="77777777" w:rsidR="007F0B4E" w:rsidRDefault="00000000">
      <w:pPr>
        <w:pStyle w:val="Heading2"/>
        <w:spacing w:before="300" w:after="150"/>
      </w:pPr>
      <w:r>
        <w:t>Example: Tax Authority (</w:t>
      </w:r>
      <w:proofErr w:type="spellStart"/>
      <w:r>
        <w:t>fiscalization</w:t>
      </w:r>
      <w:proofErr w:type="spellEnd"/>
      <w:r>
        <w:t>)</w:t>
      </w:r>
    </w:p>
    <w:p w14:paraId="19334682" w14:textId="77777777" w:rsidR="007F0B4E" w:rsidRDefault="00000000">
      <w:pPr>
        <w:pStyle w:val="ListParagraph"/>
        <w:numPr>
          <w:ilvl w:val="0"/>
          <w:numId w:val="2"/>
        </w:numPr>
        <w:spacing w:after="80"/>
      </w:pPr>
      <w:r>
        <w:rPr>
          <w:rFonts w:ascii="Calibri" w:eastAsia="Calibri" w:hAnsi="Calibri" w:cs="Calibri"/>
          <w:sz w:val="22"/>
          <w:szCs w:val="22"/>
        </w:rPr>
        <w:lastRenderedPageBreak/>
        <w:t xml:space="preserve">When an order is paid, the Order Service publishes an </w:t>
      </w:r>
      <w:proofErr w:type="spellStart"/>
      <w:r>
        <w:rPr>
          <w:rFonts w:ascii="Calibri" w:eastAsia="Calibri" w:hAnsi="Calibri" w:cs="Calibri"/>
          <w:sz w:val="22"/>
          <w:szCs w:val="22"/>
        </w:rPr>
        <w:t>OrderPaid</w:t>
      </w:r>
      <w:proofErr w:type="spellEnd"/>
      <w:r>
        <w:rPr>
          <w:rFonts w:ascii="Calibri" w:eastAsia="Calibri" w:hAnsi="Calibri" w:cs="Calibri"/>
          <w:sz w:val="22"/>
          <w:szCs w:val="22"/>
        </w:rPr>
        <w:t xml:space="preserve"> event to the message broker</w:t>
      </w:r>
    </w:p>
    <w:p w14:paraId="5F24A132" w14:textId="77777777" w:rsidR="007F0B4E" w:rsidRDefault="00000000">
      <w:pPr>
        <w:pStyle w:val="ListParagraph"/>
        <w:numPr>
          <w:ilvl w:val="0"/>
          <w:numId w:val="2"/>
        </w:numPr>
        <w:spacing w:after="80"/>
      </w:pPr>
      <w:r>
        <w:rPr>
          <w:rFonts w:ascii="Calibri" w:eastAsia="Calibri" w:hAnsi="Calibri" w:cs="Calibri"/>
          <w:sz w:val="22"/>
          <w:szCs w:val="22"/>
        </w:rPr>
        <w:t>The Integration Service consumes that event, converts the order into the XML format the Tax Authority requires, and sends it over HTTPS</w:t>
      </w:r>
    </w:p>
    <w:p w14:paraId="1B48EF4E" w14:textId="77777777" w:rsidR="007F0B4E" w:rsidRDefault="00000000">
      <w:pPr>
        <w:pStyle w:val="ListParagraph"/>
        <w:numPr>
          <w:ilvl w:val="0"/>
          <w:numId w:val="2"/>
        </w:numPr>
        <w:spacing w:after="80"/>
      </w:pPr>
      <w:r>
        <w:rPr>
          <w:rFonts w:ascii="Calibri" w:eastAsia="Calibri" w:hAnsi="Calibri" w:cs="Calibri"/>
          <w:sz w:val="22"/>
          <w:szCs w:val="22"/>
        </w:rPr>
        <w:t xml:space="preserve">This happens asynchronously — the customer sees their order confirmed immediately, without waiting for </w:t>
      </w:r>
      <w:proofErr w:type="spellStart"/>
      <w:r>
        <w:rPr>
          <w:rFonts w:ascii="Calibri" w:eastAsia="Calibri" w:hAnsi="Calibri" w:cs="Calibri"/>
          <w:sz w:val="22"/>
          <w:szCs w:val="22"/>
        </w:rPr>
        <w:t>fiscalization</w:t>
      </w:r>
      <w:proofErr w:type="spellEnd"/>
      <w:r>
        <w:rPr>
          <w:rFonts w:ascii="Calibri" w:eastAsia="Calibri" w:hAnsi="Calibri" w:cs="Calibri"/>
          <w:sz w:val="22"/>
          <w:szCs w:val="22"/>
        </w:rPr>
        <w:t xml:space="preserve"> to complete</w:t>
      </w:r>
    </w:p>
    <w:p w14:paraId="58114BA4" w14:textId="77777777" w:rsidR="007F0B4E" w:rsidRDefault="00000000">
      <w:pPr>
        <w:pStyle w:val="ListParagraph"/>
        <w:numPr>
          <w:ilvl w:val="0"/>
          <w:numId w:val="2"/>
        </w:numPr>
        <w:spacing w:after="80"/>
      </w:pPr>
      <w:r>
        <w:rPr>
          <w:rFonts w:ascii="Calibri" w:eastAsia="Calibri" w:hAnsi="Calibri" w:cs="Calibri"/>
          <w:sz w:val="22"/>
          <w:szCs w:val="22"/>
        </w:rPr>
        <w:t>Retries and a circuit breaker protect the rest of the system if the Tax Authority's service is slow or temporarily unavailable</w:t>
      </w:r>
    </w:p>
    <w:p w14:paraId="2A8FB749" w14:textId="77777777" w:rsidR="007F0B4E" w:rsidRDefault="00000000">
      <w:pPr>
        <w:pStyle w:val="Heading1"/>
        <w:spacing w:before="400" w:after="200"/>
      </w:pPr>
      <w:r>
        <w:t>6. Monitoring and Alerting</w:t>
      </w:r>
    </w:p>
    <w:p w14:paraId="667723CA" w14:textId="77777777" w:rsidR="007F0B4E" w:rsidRDefault="00000000">
      <w:pPr>
        <w:pStyle w:val="ListParagraph"/>
        <w:numPr>
          <w:ilvl w:val="0"/>
          <w:numId w:val="2"/>
        </w:numPr>
        <w:spacing w:after="80"/>
      </w:pPr>
      <w:r>
        <w:rPr>
          <w:rFonts w:ascii="Calibri" w:eastAsia="Calibri" w:hAnsi="Calibri" w:cs="Calibri"/>
          <w:sz w:val="22"/>
          <w:szCs w:val="22"/>
        </w:rPr>
        <w:t>Every service exposes metrics (error rate, latency, request volume)</w:t>
      </w:r>
    </w:p>
    <w:p w14:paraId="03A4E609" w14:textId="77777777" w:rsidR="007F0B4E" w:rsidRDefault="00000000">
      <w:pPr>
        <w:pStyle w:val="ListParagraph"/>
        <w:numPr>
          <w:ilvl w:val="0"/>
          <w:numId w:val="2"/>
        </w:numPr>
        <w:spacing w:after="80"/>
      </w:pPr>
      <w:r>
        <w:rPr>
          <w:rFonts w:ascii="Calibri" w:eastAsia="Calibri" w:hAnsi="Calibri" w:cs="Calibri"/>
          <w:sz w:val="22"/>
          <w:szCs w:val="22"/>
        </w:rPr>
        <w:t>Grafana dashboards visualize these metrics in real time and trigger alerts when thresholds are crossed</w:t>
      </w:r>
    </w:p>
    <w:p w14:paraId="68199F17" w14:textId="77777777" w:rsidR="007F0B4E" w:rsidRDefault="00000000">
      <w:pPr>
        <w:pStyle w:val="ListParagraph"/>
        <w:numPr>
          <w:ilvl w:val="0"/>
          <w:numId w:val="2"/>
        </w:numPr>
        <w:spacing w:after="80"/>
      </w:pPr>
      <w:r>
        <w:rPr>
          <w:rFonts w:ascii="Calibri" w:eastAsia="Calibri" w:hAnsi="Calibri" w:cs="Calibri"/>
          <w:sz w:val="22"/>
          <w:szCs w:val="22"/>
        </w:rPr>
        <w:t>The team is notified of problems before customers report them</w:t>
      </w:r>
    </w:p>
    <w:p w14:paraId="39F91B8F" w14:textId="77777777" w:rsidR="007F0B4E" w:rsidRDefault="00000000">
      <w:pPr>
        <w:pStyle w:val="Heading1"/>
        <w:spacing w:before="400" w:after="200"/>
      </w:pPr>
      <w:r>
        <w:t>7. Code Delivery Plan</w:t>
      </w:r>
    </w:p>
    <w:p w14:paraId="24A30D80" w14:textId="77777777" w:rsidR="007F0B4E" w:rsidRDefault="00000000">
      <w:pPr>
        <w:pStyle w:val="Heading2"/>
        <w:spacing w:before="300" w:after="150"/>
      </w:pPr>
      <w:r>
        <w:t>7.1 CI/CD</w:t>
      </w:r>
    </w:p>
    <w:p w14:paraId="1E49A518" w14:textId="77777777" w:rsidR="007F0B4E" w:rsidRDefault="00000000">
      <w:pPr>
        <w:pStyle w:val="ListParagraph"/>
        <w:numPr>
          <w:ilvl w:val="0"/>
          <w:numId w:val="2"/>
        </w:numPr>
        <w:spacing w:after="80"/>
      </w:pPr>
      <w:r>
        <w:rPr>
          <w:rFonts w:ascii="Calibri" w:eastAsia="Calibri" w:hAnsi="Calibri" w:cs="Calibri"/>
          <w:sz w:val="22"/>
          <w:szCs w:val="22"/>
        </w:rPr>
        <w:t>Each microservice has its own CI/CD pipeline — independent build, test, and deploy cycle</w:t>
      </w:r>
    </w:p>
    <w:p w14:paraId="0A4F4909" w14:textId="77777777" w:rsidR="007F0B4E" w:rsidRDefault="00000000">
      <w:pPr>
        <w:pStyle w:val="ListParagraph"/>
        <w:numPr>
          <w:ilvl w:val="0"/>
          <w:numId w:val="2"/>
        </w:numPr>
        <w:spacing w:after="80"/>
      </w:pPr>
      <w:r>
        <w:rPr>
          <w:rFonts w:ascii="Calibri" w:eastAsia="Calibri" w:hAnsi="Calibri" w:cs="Calibri"/>
          <w:sz w:val="22"/>
          <w:szCs w:val="22"/>
        </w:rPr>
        <w:t>Path-based triggers (</w:t>
      </w:r>
      <w:proofErr w:type="spellStart"/>
      <w:r>
        <w:rPr>
          <w:rFonts w:ascii="Calibri" w:eastAsia="Calibri" w:hAnsi="Calibri" w:cs="Calibri"/>
          <w:sz w:val="22"/>
          <w:szCs w:val="22"/>
        </w:rPr>
        <w:t>monorepo</w:t>
      </w:r>
      <w:proofErr w:type="spellEnd"/>
      <w:r>
        <w:rPr>
          <w:rFonts w:ascii="Calibri" w:eastAsia="Calibri" w:hAnsi="Calibri" w:cs="Calibri"/>
          <w:sz w:val="22"/>
          <w:szCs w:val="22"/>
        </w:rPr>
        <w:t>) — a change in one service doesn't trigger a build/deploy of the others</w:t>
      </w:r>
    </w:p>
    <w:p w14:paraId="1EB1A468" w14:textId="77777777" w:rsidR="007F0B4E" w:rsidRDefault="00000000">
      <w:pPr>
        <w:pStyle w:val="ListParagraph"/>
        <w:numPr>
          <w:ilvl w:val="0"/>
          <w:numId w:val="2"/>
        </w:numPr>
        <w:spacing w:after="80"/>
      </w:pPr>
      <w:r>
        <w:rPr>
          <w:rFonts w:ascii="Calibri" w:eastAsia="Calibri" w:hAnsi="Calibri" w:cs="Calibri"/>
          <w:sz w:val="22"/>
          <w:szCs w:val="22"/>
        </w:rPr>
        <w:t>Automatic application of EF Core migrations as part of the deployment pipeline</w:t>
      </w:r>
    </w:p>
    <w:p w14:paraId="1FFCDDDC" w14:textId="77777777" w:rsidR="007F0B4E" w:rsidRDefault="00000000">
      <w:pPr>
        <w:pStyle w:val="ListParagraph"/>
        <w:numPr>
          <w:ilvl w:val="0"/>
          <w:numId w:val="2"/>
        </w:numPr>
        <w:spacing w:after="80"/>
      </w:pPr>
      <w:r>
        <w:rPr>
          <w:rFonts w:ascii="Calibri" w:eastAsia="Calibri" w:hAnsi="Calibri" w:cs="Calibri"/>
          <w:sz w:val="22"/>
          <w:szCs w:val="22"/>
        </w:rPr>
        <w:t>Pipeline stages: build → unit tests → static analysis → Docker image → deploy to staging → integration tests → deploy to production</w:t>
      </w:r>
    </w:p>
    <w:p w14:paraId="42D7FD9D" w14:textId="77777777" w:rsidR="007F0B4E" w:rsidRDefault="00000000">
      <w:pPr>
        <w:pStyle w:val="Heading2"/>
        <w:spacing w:before="300" w:after="150"/>
      </w:pPr>
      <w:r>
        <w:t>7.2 Branching Strategy</w:t>
      </w:r>
    </w:p>
    <w:p w14:paraId="73294ED1" w14:textId="77777777" w:rsidR="007F0B4E" w:rsidRDefault="00000000">
      <w:pPr>
        <w:pStyle w:val="ListParagraph"/>
        <w:numPr>
          <w:ilvl w:val="0"/>
          <w:numId w:val="2"/>
        </w:numPr>
        <w:spacing w:after="80"/>
      </w:pPr>
      <w:r>
        <w:rPr>
          <w:rFonts w:ascii="Calibri" w:eastAsia="Calibri" w:hAnsi="Calibri" w:cs="Calibri"/>
          <w:sz w:val="22"/>
          <w:szCs w:val="22"/>
        </w:rPr>
        <w:t>Trunk-based / GitHub Flow: short-lived feature branches off main, PR + code review before merging</w:t>
      </w:r>
    </w:p>
    <w:p w14:paraId="29113A89" w14:textId="53DFD0FB" w:rsidR="007F0B4E" w:rsidRDefault="00000000" w:rsidP="00577582">
      <w:pPr>
        <w:pStyle w:val="ListParagraph"/>
        <w:numPr>
          <w:ilvl w:val="0"/>
          <w:numId w:val="2"/>
        </w:numPr>
        <w:spacing w:after="80"/>
      </w:pPr>
      <w:r>
        <w:rPr>
          <w:rFonts w:ascii="Calibri" w:eastAsia="Calibri" w:hAnsi="Calibri" w:cs="Calibri"/>
          <w:sz w:val="22"/>
          <w:szCs w:val="22"/>
        </w:rPr>
        <w:t>main is always deployable; tags mark release versions</w:t>
      </w:r>
    </w:p>
    <w:p w14:paraId="14FF5A5C" w14:textId="77777777" w:rsidR="007F0B4E" w:rsidRDefault="00000000">
      <w:pPr>
        <w:pStyle w:val="Heading2"/>
        <w:spacing w:before="300" w:after="150"/>
      </w:pPr>
      <w:r>
        <w:t>7.3 Repository and Project Structure</w:t>
      </w:r>
    </w:p>
    <w:p w14:paraId="233A44EE" w14:textId="6576F7D7" w:rsidR="007F0B4E" w:rsidRDefault="00000000">
      <w:pPr>
        <w:pStyle w:val="ListParagraph"/>
        <w:numPr>
          <w:ilvl w:val="0"/>
          <w:numId w:val="2"/>
        </w:numPr>
        <w:spacing w:after="80"/>
      </w:pPr>
      <w:r>
        <w:rPr>
          <w:rFonts w:ascii="Calibri" w:eastAsia="Calibri" w:hAnsi="Calibri" w:cs="Calibri"/>
          <w:sz w:val="22"/>
          <w:szCs w:val="22"/>
        </w:rPr>
        <w:t>Each microservice is a separate deployable project (.</w:t>
      </w:r>
      <w:proofErr w:type="spellStart"/>
      <w:r>
        <w:rPr>
          <w:rFonts w:ascii="Calibri" w:eastAsia="Calibri" w:hAnsi="Calibri" w:cs="Calibri"/>
          <w:sz w:val="22"/>
          <w:szCs w:val="22"/>
        </w:rPr>
        <w:t>csproj</w:t>
      </w:r>
      <w:proofErr w:type="spellEnd"/>
      <w:r w:rsidR="00435A9F">
        <w:rPr>
          <w:rFonts w:ascii="Calibri" w:eastAsia="Calibri" w:hAnsi="Calibri" w:cs="Calibri"/>
          <w:sz w:val="22"/>
          <w:szCs w:val="22"/>
        </w:rPr>
        <w:t>)</w:t>
      </w:r>
    </w:p>
    <w:p w14:paraId="0D731935" w14:textId="77777777" w:rsidR="007F0B4E" w:rsidRDefault="00000000">
      <w:pPr>
        <w:pStyle w:val="ListParagraph"/>
        <w:numPr>
          <w:ilvl w:val="0"/>
          <w:numId w:val="2"/>
        </w:numPr>
        <w:spacing w:after="80"/>
      </w:pPr>
      <w:r>
        <w:rPr>
          <w:rFonts w:ascii="Calibri" w:eastAsia="Calibri" w:hAnsi="Calibri" w:cs="Calibri"/>
          <w:sz w:val="22"/>
          <w:szCs w:val="22"/>
        </w:rPr>
        <w:t>.</w:t>
      </w:r>
      <w:proofErr w:type="spellStart"/>
      <w:r>
        <w:rPr>
          <w:rFonts w:ascii="Calibri" w:eastAsia="Calibri" w:hAnsi="Calibri" w:cs="Calibri"/>
          <w:sz w:val="22"/>
          <w:szCs w:val="22"/>
        </w:rPr>
        <w:t>gitignore</w:t>
      </w:r>
      <w:proofErr w:type="spellEnd"/>
      <w:r>
        <w:rPr>
          <w:rFonts w:ascii="Calibri" w:eastAsia="Calibri" w:hAnsi="Calibri" w:cs="Calibri"/>
          <w:sz w:val="22"/>
          <w:szCs w:val="22"/>
        </w:rPr>
        <w:t xml:space="preserve"> excludes build artifacts (bin/, </w:t>
      </w:r>
      <w:proofErr w:type="spellStart"/>
      <w:r>
        <w:rPr>
          <w:rFonts w:ascii="Calibri" w:eastAsia="Calibri" w:hAnsi="Calibri" w:cs="Calibri"/>
          <w:sz w:val="22"/>
          <w:szCs w:val="22"/>
        </w:rPr>
        <w:t>obj</w:t>
      </w:r>
      <w:proofErr w:type="spellEnd"/>
      <w:r>
        <w:rPr>
          <w:rFonts w:ascii="Calibri" w:eastAsia="Calibri" w:hAnsi="Calibri" w:cs="Calibri"/>
          <w:sz w:val="22"/>
          <w:szCs w:val="22"/>
        </w:rPr>
        <w:t>/) and IDE cache (.vs/)</w:t>
      </w:r>
    </w:p>
    <w:p w14:paraId="139AC951" w14:textId="77777777" w:rsidR="007F0B4E" w:rsidRDefault="00000000">
      <w:pPr>
        <w:pStyle w:val="ListParagraph"/>
        <w:numPr>
          <w:ilvl w:val="0"/>
          <w:numId w:val="2"/>
        </w:numPr>
        <w:spacing w:after="80"/>
      </w:pPr>
      <w:r>
        <w:rPr>
          <w:rFonts w:ascii="Calibri" w:eastAsia="Calibri" w:hAnsi="Calibri" w:cs="Calibri"/>
          <w:sz w:val="22"/>
          <w:szCs w:val="22"/>
        </w:rPr>
        <w:t>A README with setup/run instructions accompanies each repository</w:t>
      </w:r>
    </w:p>
    <w:p w14:paraId="3429F1B5" w14:textId="77777777" w:rsidR="007F0B4E" w:rsidRDefault="00000000">
      <w:pPr>
        <w:pStyle w:val="Heading1"/>
        <w:spacing w:before="400" w:after="200"/>
      </w:pPr>
      <w:r>
        <w:t>8. Minimal Implementation — Cart Service</w:t>
      </w:r>
    </w:p>
    <w:p w14:paraId="482A78F5" w14:textId="77777777" w:rsidR="007F0B4E" w:rsidRDefault="00000000">
      <w:pPr>
        <w:spacing w:after="160"/>
      </w:pPr>
      <w:r>
        <w:rPr>
          <w:rFonts w:ascii="Calibri" w:eastAsia="Calibri" w:hAnsi="Calibri" w:cs="Calibri"/>
          <w:sz w:val="22"/>
          <w:szCs w:val="22"/>
        </w:rPr>
        <w:t>Alongside this document, a minimal Web API service for the shopping cart (Cart Service) is delivered, demonstrating part of the architecture described above in working code.</w:t>
      </w:r>
    </w:p>
    <w:p w14:paraId="206F1E6E" w14:textId="77777777" w:rsidR="007F0B4E" w:rsidRDefault="00000000">
      <w:pPr>
        <w:pStyle w:val="Heading2"/>
        <w:spacing w:before="300" w:after="150"/>
      </w:pPr>
      <w:r>
        <w:t>8.1 Implementation Scope</w:t>
      </w:r>
    </w:p>
    <w:p w14:paraId="61EF2A1D" w14:textId="77777777" w:rsidR="007F0B4E" w:rsidRDefault="00000000">
      <w:pPr>
        <w:pStyle w:val="ListParagraph"/>
        <w:numPr>
          <w:ilvl w:val="0"/>
          <w:numId w:val="2"/>
        </w:numPr>
        <w:spacing w:after="80"/>
      </w:pPr>
      <w:r>
        <w:rPr>
          <w:rFonts w:ascii="Calibri" w:eastAsia="Calibri" w:hAnsi="Calibri" w:cs="Calibri"/>
          <w:sz w:val="22"/>
          <w:szCs w:val="22"/>
        </w:rPr>
        <w:t>ASP.NET Core Web API (.NET 10), controller-based</w:t>
      </w:r>
    </w:p>
    <w:p w14:paraId="2F2F97AB" w14:textId="77777777" w:rsidR="007F0B4E" w:rsidRDefault="00000000">
      <w:pPr>
        <w:pStyle w:val="ListParagraph"/>
        <w:numPr>
          <w:ilvl w:val="0"/>
          <w:numId w:val="2"/>
        </w:numPr>
        <w:spacing w:after="80"/>
      </w:pPr>
      <w:r>
        <w:rPr>
          <w:rFonts w:ascii="Calibri" w:eastAsia="Calibri" w:hAnsi="Calibri" w:cs="Calibri"/>
          <w:sz w:val="22"/>
          <w:szCs w:val="22"/>
        </w:rPr>
        <w:t>EF Core + SQL Server (</w:t>
      </w:r>
      <w:proofErr w:type="spellStart"/>
      <w:r>
        <w:rPr>
          <w:rFonts w:ascii="Calibri" w:eastAsia="Calibri" w:hAnsi="Calibri" w:cs="Calibri"/>
          <w:sz w:val="22"/>
          <w:szCs w:val="22"/>
        </w:rPr>
        <w:t>LocalDB</w:t>
      </w:r>
      <w:proofErr w:type="spellEnd"/>
      <w:r>
        <w:rPr>
          <w:rFonts w:ascii="Calibri" w:eastAsia="Calibri" w:hAnsi="Calibri" w:cs="Calibri"/>
          <w:sz w:val="22"/>
          <w:szCs w:val="22"/>
        </w:rPr>
        <w:t xml:space="preserve">) with migrations — Cart and </w:t>
      </w:r>
      <w:proofErr w:type="spellStart"/>
      <w:r>
        <w:rPr>
          <w:rFonts w:ascii="Calibri" w:eastAsia="Calibri" w:hAnsi="Calibri" w:cs="Calibri"/>
          <w:sz w:val="22"/>
          <w:szCs w:val="22"/>
        </w:rPr>
        <w:t>CartItem</w:t>
      </w:r>
      <w:proofErr w:type="spellEnd"/>
      <w:r>
        <w:rPr>
          <w:rFonts w:ascii="Calibri" w:eastAsia="Calibri" w:hAnsi="Calibri" w:cs="Calibri"/>
          <w:sz w:val="22"/>
          <w:szCs w:val="22"/>
        </w:rPr>
        <w:t xml:space="preserve"> entities</w:t>
      </w:r>
    </w:p>
    <w:p w14:paraId="4FDA3BA2" w14:textId="0F2BF80D" w:rsidR="007F0B4E" w:rsidRDefault="00000000">
      <w:pPr>
        <w:pStyle w:val="ListParagraph"/>
        <w:numPr>
          <w:ilvl w:val="0"/>
          <w:numId w:val="2"/>
        </w:numPr>
        <w:spacing w:after="80"/>
      </w:pPr>
      <w:r>
        <w:rPr>
          <w:rFonts w:ascii="Calibri" w:eastAsia="Calibri" w:hAnsi="Calibri" w:cs="Calibri"/>
          <w:sz w:val="22"/>
          <w:szCs w:val="22"/>
        </w:rPr>
        <w:lastRenderedPageBreak/>
        <w:t>CRUD operations on the cart: add</w:t>
      </w:r>
      <w:r w:rsidR="00D67DB7">
        <w:rPr>
          <w:rFonts w:ascii="Calibri" w:eastAsia="Calibri" w:hAnsi="Calibri" w:cs="Calibri"/>
          <w:sz w:val="22"/>
          <w:szCs w:val="22"/>
        </w:rPr>
        <w:t xml:space="preserve"> item</w:t>
      </w:r>
      <w:r>
        <w:rPr>
          <w:rFonts w:ascii="Calibri" w:eastAsia="Calibri" w:hAnsi="Calibri" w:cs="Calibri"/>
          <w:sz w:val="22"/>
          <w:szCs w:val="22"/>
        </w:rPr>
        <w:t>, remove</w:t>
      </w:r>
      <w:r w:rsidR="00D67DB7">
        <w:rPr>
          <w:rFonts w:ascii="Calibri" w:eastAsia="Calibri" w:hAnsi="Calibri" w:cs="Calibri"/>
          <w:sz w:val="22"/>
          <w:szCs w:val="22"/>
        </w:rPr>
        <w:t xml:space="preserve"> item</w:t>
      </w:r>
      <w:r>
        <w:rPr>
          <w:rFonts w:ascii="Calibri" w:eastAsia="Calibri" w:hAnsi="Calibri" w:cs="Calibri"/>
          <w:sz w:val="22"/>
          <w:szCs w:val="22"/>
        </w:rPr>
        <w:t xml:space="preserve">, </w:t>
      </w:r>
      <w:r w:rsidR="00D67DB7">
        <w:rPr>
          <w:rFonts w:ascii="Calibri" w:eastAsia="Calibri" w:hAnsi="Calibri" w:cs="Calibri"/>
          <w:sz w:val="22"/>
          <w:szCs w:val="22"/>
        </w:rPr>
        <w:t>fetch cart, delete cart</w:t>
      </w:r>
    </w:p>
    <w:p w14:paraId="022E9EC1" w14:textId="77777777" w:rsidR="007F0B4E" w:rsidRDefault="00000000">
      <w:pPr>
        <w:pStyle w:val="ListParagraph"/>
        <w:numPr>
          <w:ilvl w:val="0"/>
          <w:numId w:val="2"/>
        </w:numPr>
        <w:spacing w:after="80"/>
      </w:pPr>
      <w:r>
        <w:rPr>
          <w:rFonts w:ascii="Calibri" w:eastAsia="Calibri" w:hAnsi="Calibri" w:cs="Calibri"/>
          <w:sz w:val="22"/>
          <w:szCs w:val="22"/>
        </w:rPr>
        <w:t>JWT bearer authentication — every request carries an access token; claims are the source of truth for the caller's identity</w:t>
      </w:r>
    </w:p>
    <w:p w14:paraId="518D10FA" w14:textId="77777777" w:rsidR="007F0B4E" w:rsidRDefault="00000000">
      <w:pPr>
        <w:pStyle w:val="ListParagraph"/>
        <w:numPr>
          <w:ilvl w:val="0"/>
          <w:numId w:val="2"/>
        </w:numPr>
        <w:spacing w:after="80"/>
      </w:pPr>
      <w:r>
        <w:rPr>
          <w:rFonts w:ascii="Calibri" w:eastAsia="Calibri" w:hAnsi="Calibri" w:cs="Calibri"/>
          <w:sz w:val="22"/>
          <w:szCs w:val="22"/>
        </w:rPr>
        <w:t>Dev-only endpoint for minting test tokens, to simplify local testing without a full Identity/</w:t>
      </w:r>
      <w:proofErr w:type="spellStart"/>
      <w:r>
        <w:rPr>
          <w:rFonts w:ascii="Calibri" w:eastAsia="Calibri" w:hAnsi="Calibri" w:cs="Calibri"/>
          <w:sz w:val="22"/>
          <w:szCs w:val="22"/>
        </w:rPr>
        <w:t>Keycloak</w:t>
      </w:r>
      <w:proofErr w:type="spellEnd"/>
      <w:r>
        <w:rPr>
          <w:rFonts w:ascii="Calibri" w:eastAsia="Calibri" w:hAnsi="Calibri" w:cs="Calibri"/>
          <w:sz w:val="22"/>
          <w:szCs w:val="22"/>
        </w:rPr>
        <w:t xml:space="preserve"> setup</w:t>
      </w:r>
    </w:p>
    <w:p w14:paraId="2BD12FE0" w14:textId="77777777" w:rsidR="007F0B4E" w:rsidRDefault="00000000">
      <w:pPr>
        <w:pStyle w:val="Heading2"/>
        <w:spacing w:before="300" w:after="150"/>
      </w:pPr>
      <w:r>
        <w:t>8.2 Data Structure</w:t>
      </w:r>
    </w:p>
    <w:p w14:paraId="132661D2" w14:textId="06EF172B" w:rsidR="007F0B4E" w:rsidRDefault="00000000">
      <w:pPr>
        <w:pStyle w:val="ListParagraph"/>
        <w:numPr>
          <w:ilvl w:val="0"/>
          <w:numId w:val="2"/>
        </w:numPr>
        <w:spacing w:after="80"/>
      </w:pPr>
      <w:r>
        <w:rPr>
          <w:rFonts w:ascii="Calibri" w:eastAsia="Calibri" w:hAnsi="Calibri" w:cs="Calibri"/>
          <w:sz w:val="22"/>
          <w:szCs w:val="22"/>
        </w:rPr>
        <w:t xml:space="preserve">Cart: Id, </w:t>
      </w:r>
      <w:proofErr w:type="spellStart"/>
      <w:r>
        <w:rPr>
          <w:rFonts w:ascii="Calibri" w:eastAsia="Calibri" w:hAnsi="Calibri" w:cs="Calibri"/>
          <w:sz w:val="22"/>
          <w:szCs w:val="22"/>
        </w:rPr>
        <w:t>UserId</w:t>
      </w:r>
      <w:proofErr w:type="spellEnd"/>
      <w:r w:rsidR="00C114A8">
        <w:rPr>
          <w:rFonts w:ascii="Calibri" w:eastAsia="Calibri" w:hAnsi="Calibri" w:cs="Calibri"/>
          <w:sz w:val="22"/>
          <w:szCs w:val="22"/>
        </w:rPr>
        <w:t xml:space="preserve">, </w:t>
      </w:r>
      <w:proofErr w:type="spellStart"/>
      <w:r>
        <w:rPr>
          <w:rFonts w:ascii="Calibri" w:eastAsia="Calibri" w:hAnsi="Calibri" w:cs="Calibri"/>
          <w:sz w:val="22"/>
          <w:szCs w:val="22"/>
        </w:rPr>
        <w:t>CreatedAt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ExpiresAt</w:t>
      </w:r>
      <w:proofErr w:type="spellEnd"/>
    </w:p>
    <w:p w14:paraId="428366AB" w14:textId="06F31295" w:rsidR="007F0B4E" w:rsidRDefault="00000000">
      <w:pPr>
        <w:pStyle w:val="ListParagraph"/>
        <w:numPr>
          <w:ilvl w:val="0"/>
          <w:numId w:val="2"/>
        </w:numPr>
        <w:spacing w:after="80"/>
      </w:pPr>
      <w:proofErr w:type="spellStart"/>
      <w:r>
        <w:rPr>
          <w:rFonts w:ascii="Calibri" w:eastAsia="Calibri" w:hAnsi="Calibri" w:cs="Calibri"/>
          <w:sz w:val="22"/>
          <w:szCs w:val="22"/>
        </w:rPr>
        <w:t>CartItem</w:t>
      </w:r>
      <w:proofErr w:type="spellEnd"/>
      <w:r>
        <w:rPr>
          <w:rFonts w:ascii="Calibri" w:eastAsia="Calibri" w:hAnsi="Calibri" w:cs="Calibri"/>
          <w:sz w:val="22"/>
          <w:szCs w:val="22"/>
        </w:rPr>
        <w:t xml:space="preserve">: Id, </w:t>
      </w:r>
      <w:proofErr w:type="spellStart"/>
      <w:r>
        <w:rPr>
          <w:rFonts w:ascii="Calibri" w:eastAsia="Calibri" w:hAnsi="Calibri" w:cs="Calibri"/>
          <w:sz w:val="22"/>
          <w:szCs w:val="22"/>
        </w:rPr>
        <w:t>CartId</w:t>
      </w:r>
      <w:proofErr w:type="spellEnd"/>
      <w:r>
        <w:rPr>
          <w:rFonts w:ascii="Calibri" w:eastAsia="Calibri" w:hAnsi="Calibri" w:cs="Calibri"/>
          <w:sz w:val="22"/>
          <w:szCs w:val="22"/>
        </w:rPr>
        <w:t xml:space="preserve">, </w:t>
      </w:r>
      <w:proofErr w:type="spellStart"/>
      <w:r w:rsidR="00D67DB7">
        <w:rPr>
          <w:rFonts w:ascii="Calibri" w:eastAsia="Calibri" w:hAnsi="Calibri" w:cs="Calibri"/>
          <w:sz w:val="22"/>
          <w:szCs w:val="22"/>
        </w:rPr>
        <w:t>Item</w:t>
      </w:r>
      <w:r>
        <w:rPr>
          <w:rFonts w:ascii="Calibri" w:eastAsia="Calibri" w:hAnsi="Calibri" w:cs="Calibri"/>
          <w:sz w:val="22"/>
          <w:szCs w:val="22"/>
        </w:rPr>
        <w:t>I</w:t>
      </w:r>
      <w:r w:rsidR="00C114A8">
        <w:rPr>
          <w:rFonts w:ascii="Calibri" w:eastAsia="Calibri" w:hAnsi="Calibri" w:cs="Calibri"/>
          <w:sz w:val="22"/>
          <w:szCs w:val="22"/>
        </w:rPr>
        <w:t>d</w:t>
      </w:r>
      <w:proofErr w:type="spellEnd"/>
      <w:r>
        <w:rPr>
          <w:rFonts w:ascii="Calibri" w:eastAsia="Calibri" w:hAnsi="Calibri" w:cs="Calibri"/>
          <w:sz w:val="22"/>
          <w:szCs w:val="22"/>
        </w:rPr>
        <w:t>, Quantity</w:t>
      </w:r>
    </w:p>
    <w:p w14:paraId="46067C7F" w14:textId="77777777" w:rsidR="007F0B4E" w:rsidRDefault="00000000">
      <w:pPr>
        <w:spacing w:after="160"/>
      </w:pPr>
      <w:r>
        <w:rPr>
          <w:rFonts w:ascii="Calibri" w:eastAsia="Calibri" w:hAnsi="Calibri" w:cs="Calibri"/>
          <w:sz w:val="22"/>
          <w:szCs w:val="22"/>
        </w:rPr>
        <w:t>Following the data ownership principle, the Cart Service does not hold a full User or Product entity — only ID references and minimal, denormalized copies of the fields needed for display.</w:t>
      </w:r>
    </w:p>
    <w:p w14:paraId="01E2EDD4" w14:textId="77777777" w:rsidR="007F0B4E" w:rsidRDefault="00000000">
      <w:pPr>
        <w:pStyle w:val="Heading2"/>
        <w:spacing w:before="300" w:after="150"/>
      </w:pPr>
      <w:r>
        <w:t>8.3 Note on Production Scope</w:t>
      </w:r>
    </w:p>
    <w:p w14:paraId="79CAA1BF" w14:textId="77777777" w:rsidR="007F0B4E" w:rsidRDefault="00000000">
      <w:pPr>
        <w:spacing w:after="160"/>
      </w:pPr>
      <w:r>
        <w:rPr>
          <w:rFonts w:ascii="Calibri" w:eastAsia="Calibri" w:hAnsi="Calibri" w:cs="Calibri"/>
          <w:sz w:val="22"/>
          <w:szCs w:val="22"/>
        </w:rPr>
        <w:t xml:space="preserve">For a production version, the plan includes: Redis as the primary store for the Cart (native TTL, faster access), event-driven synchronization of product price/name via Kafka events, merging anonymous and logged-in carts, and full integration with the </w:t>
      </w:r>
      <w:proofErr w:type="spellStart"/>
      <w:r>
        <w:rPr>
          <w:rFonts w:ascii="Calibri" w:eastAsia="Calibri" w:hAnsi="Calibri" w:cs="Calibri"/>
          <w:sz w:val="22"/>
          <w:szCs w:val="22"/>
        </w:rPr>
        <w:t>Keycloak</w:t>
      </w:r>
      <w:proofErr w:type="spellEnd"/>
      <w:r>
        <w:rPr>
          <w:rFonts w:ascii="Calibri" w:eastAsia="Calibri" w:hAnsi="Calibri" w:cs="Calibri"/>
          <w:sz w:val="22"/>
          <w:szCs w:val="22"/>
        </w:rPr>
        <w:t xml:space="preserve"> Identity service in place of the dev-token endpoint used for the demo.</w:t>
      </w:r>
    </w:p>
    <w:sectPr w:rsidR="007F0B4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0745B5"/>
    <w:multiLevelType w:val="hybridMultilevel"/>
    <w:tmpl w:val="4F1AFCAC"/>
    <w:lvl w:ilvl="0" w:tplc="6C14C6CE">
      <w:start w:val="1"/>
      <w:numFmt w:val="bullet"/>
      <w:lvlText w:val="•"/>
      <w:lvlJc w:val="left"/>
      <w:pPr>
        <w:ind w:left="504" w:hanging="288"/>
      </w:pPr>
    </w:lvl>
    <w:lvl w:ilvl="1" w:tplc="6C14C6CE">
      <w:start w:val="1"/>
      <w:numFmt w:val="bullet"/>
      <w:lvlText w:val="•"/>
      <w:lvlJc w:val="left"/>
      <w:pPr>
        <w:ind w:left="288" w:hanging="288"/>
      </w:pPr>
    </w:lvl>
    <w:lvl w:ilvl="2" w:tplc="6C14C6CE">
      <w:start w:val="1"/>
      <w:numFmt w:val="bullet"/>
      <w:lvlText w:val="•"/>
      <w:lvlJc w:val="left"/>
      <w:pPr>
        <w:ind w:left="288" w:hanging="288"/>
      </w:pPr>
    </w:lvl>
    <w:lvl w:ilvl="3" w:tplc="FFC84772">
      <w:numFmt w:val="decimal"/>
      <w:lvlText w:val=""/>
      <w:lvlJc w:val="left"/>
    </w:lvl>
    <w:lvl w:ilvl="4" w:tplc="2D88132E">
      <w:numFmt w:val="decimal"/>
      <w:lvlText w:val=""/>
      <w:lvlJc w:val="left"/>
    </w:lvl>
    <w:lvl w:ilvl="5" w:tplc="18E0CC52">
      <w:numFmt w:val="decimal"/>
      <w:lvlText w:val=""/>
      <w:lvlJc w:val="left"/>
    </w:lvl>
    <w:lvl w:ilvl="6" w:tplc="21D65E86">
      <w:numFmt w:val="decimal"/>
      <w:lvlText w:val=""/>
      <w:lvlJc w:val="left"/>
    </w:lvl>
    <w:lvl w:ilvl="7" w:tplc="9E747A0A">
      <w:numFmt w:val="decimal"/>
      <w:lvlText w:val=""/>
      <w:lvlJc w:val="left"/>
    </w:lvl>
    <w:lvl w:ilvl="8" w:tplc="60AC0BCC">
      <w:numFmt w:val="decimal"/>
      <w:lvlText w:val=""/>
      <w:lvlJc w:val="left"/>
    </w:lvl>
  </w:abstractNum>
  <w:abstractNum w:abstractNumId="1" w15:restartNumberingAfterBreak="0">
    <w:nsid w:val="6CDC128E"/>
    <w:multiLevelType w:val="hybridMultilevel"/>
    <w:tmpl w:val="CF4C3616"/>
    <w:lvl w:ilvl="0" w:tplc="384664DA">
      <w:start w:val="1"/>
      <w:numFmt w:val="bullet"/>
      <w:lvlText w:val="●"/>
      <w:lvlJc w:val="left"/>
      <w:pPr>
        <w:ind w:left="720" w:hanging="360"/>
      </w:pPr>
    </w:lvl>
    <w:lvl w:ilvl="1" w:tplc="5D6C4D76">
      <w:start w:val="1"/>
      <w:numFmt w:val="bullet"/>
      <w:lvlText w:val="○"/>
      <w:lvlJc w:val="left"/>
      <w:pPr>
        <w:ind w:left="1440" w:hanging="360"/>
      </w:pPr>
    </w:lvl>
    <w:lvl w:ilvl="2" w:tplc="1D50E814">
      <w:start w:val="1"/>
      <w:numFmt w:val="bullet"/>
      <w:lvlText w:val="■"/>
      <w:lvlJc w:val="left"/>
      <w:pPr>
        <w:ind w:left="2160" w:hanging="360"/>
      </w:pPr>
    </w:lvl>
    <w:lvl w:ilvl="3" w:tplc="FA66C2BA">
      <w:start w:val="1"/>
      <w:numFmt w:val="bullet"/>
      <w:lvlText w:val="●"/>
      <w:lvlJc w:val="left"/>
      <w:pPr>
        <w:ind w:left="2880" w:hanging="360"/>
      </w:pPr>
    </w:lvl>
    <w:lvl w:ilvl="4" w:tplc="F794908A">
      <w:start w:val="1"/>
      <w:numFmt w:val="bullet"/>
      <w:lvlText w:val="○"/>
      <w:lvlJc w:val="left"/>
      <w:pPr>
        <w:ind w:left="3600" w:hanging="360"/>
      </w:pPr>
    </w:lvl>
    <w:lvl w:ilvl="5" w:tplc="72FCB7A4">
      <w:start w:val="1"/>
      <w:numFmt w:val="bullet"/>
      <w:lvlText w:val="■"/>
      <w:lvlJc w:val="left"/>
      <w:pPr>
        <w:ind w:left="4320" w:hanging="360"/>
      </w:pPr>
    </w:lvl>
    <w:lvl w:ilvl="6" w:tplc="B9F8026A">
      <w:start w:val="1"/>
      <w:numFmt w:val="bullet"/>
      <w:lvlText w:val="●"/>
      <w:lvlJc w:val="left"/>
      <w:pPr>
        <w:ind w:left="5040" w:hanging="360"/>
      </w:pPr>
    </w:lvl>
    <w:lvl w:ilvl="7" w:tplc="FBE40E1A">
      <w:start w:val="1"/>
      <w:numFmt w:val="bullet"/>
      <w:lvlText w:val="●"/>
      <w:lvlJc w:val="left"/>
      <w:pPr>
        <w:ind w:left="5760" w:hanging="360"/>
      </w:pPr>
    </w:lvl>
    <w:lvl w:ilvl="8" w:tplc="3A647EB2">
      <w:start w:val="1"/>
      <w:numFmt w:val="bullet"/>
      <w:lvlText w:val="●"/>
      <w:lvlJc w:val="left"/>
      <w:pPr>
        <w:ind w:left="6480" w:hanging="360"/>
      </w:pPr>
    </w:lvl>
  </w:abstractNum>
  <w:num w:numId="1" w16cid:durableId="1742947986">
    <w:abstractNumId w:val="1"/>
    <w:lvlOverride w:ilvl="0">
      <w:startOverride w:val="1"/>
    </w:lvlOverride>
  </w:num>
  <w:num w:numId="2" w16cid:durableId="1565289688">
    <w:abstractNumId w:val="0"/>
  </w:num>
  <w:num w:numId="3" w16cid:durableId="443689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B4E"/>
    <w:rsid w:val="00080C07"/>
    <w:rsid w:val="002D1717"/>
    <w:rsid w:val="002D3827"/>
    <w:rsid w:val="00351321"/>
    <w:rsid w:val="00435A9F"/>
    <w:rsid w:val="00452EC4"/>
    <w:rsid w:val="00577582"/>
    <w:rsid w:val="006A3660"/>
    <w:rsid w:val="007F0B4E"/>
    <w:rsid w:val="00C114A8"/>
    <w:rsid w:val="00D67D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93405"/>
  <w15:docId w15:val="{95F34964-3364-4D9E-85C2-E429BCFDC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1548</Words>
  <Characters>8828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Filip Lukas</cp:lastModifiedBy>
  <cp:revision>8</cp:revision>
  <dcterms:created xsi:type="dcterms:W3CDTF">2026-09-06T13:14:00Z</dcterms:created>
  <dcterms:modified xsi:type="dcterms:W3CDTF">2026-09-06T18:36:00Z</dcterms:modified>
</cp:coreProperties>
</file>