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Deliveries: delivery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440"/>
            <w:vMerge w:val="restart"/>
          </w:tcPr>
          <w:p>
            <w:r>
              <w:rPr>
                <w:b/>
              </w:rPr>
              <w:t>Delivery no.</w:t>
            </w:r>
          </w:p>
        </w:tc>
        <w:tc>
          <w:tcPr>
            <w:tcW w:type="dxa" w:w="2880"/>
            <w:gridSpan w:val="2"/>
          </w:tcPr>
          <w:p>
            <w:r>
              <w:rPr>
                <w:b/>
              </w:rPr>
              <w:t>Dates</w:t>
            </w:r>
          </w:p>
        </w:tc>
        <w:tc>
          <w:tcPr>
            <w:tcW w:type="dxa" w:w="1440"/>
            <w:vMerge w:val="restart"/>
          </w:tcPr>
          <w:p>
            <w:r>
              <w:rPr>
                <w:b/>
              </w:rPr>
              <w:t>Haulier</w:t>
            </w:r>
          </w:p>
        </w:tc>
        <w:tc>
          <w:tcPr>
            <w:tcW w:type="dxa" w:w="1440"/>
            <w:vMerge w:val="restart"/>
          </w:tcPr>
          <w:p>
            <w:r>
              <w:rPr>
                <w:b/>
              </w:rPr>
              <w:t>Gross wt.</w:t>
            </w:r>
          </w:p>
        </w:tc>
        <w:tc>
          <w:tcPr>
            <w:tcW w:type="dxa" w:w="1440"/>
            <w:vMerge w:val="restart"/>
          </w:tcPr>
          <w:p>
            <w:r>
              <w:rPr>
                <w:b/>
              </w:rPr>
              <w:t>PO number</w:t>
            </w:r>
          </w:p>
        </w:tc>
      </w:tr>
      <w:tr>
        <w:trPr>
          <w:tblHeader/>
        </w:trP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rPr>
                <w:b/>
              </w:rPr>
              <w:t>Shipped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ETA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</w:tr>
      <w:tr>
        <w:tc>
          <w:tcPr>
            <w:tcW w:type="dxa" w:w="1440"/>
          </w:tcPr>
          <w:p>
            <w:r>
              <w:t>DL92708</w:t>
            </w:r>
          </w:p>
        </w:tc>
        <w:tc>
          <w:tcPr>
            <w:tcW w:type="dxa" w:w="1440"/>
          </w:tcPr>
          <w:p>
            <w:r>
              <w:t>6 May 2026</w:t>
            </w:r>
          </w:p>
        </w:tc>
        <w:tc>
          <w:tcPr>
            <w:tcW w:type="dxa" w:w="1440"/>
          </w:tcPr>
          <w:p>
            <w:r>
              <w:t>15 May 2026</w:t>
            </w:r>
          </w:p>
        </w:tc>
        <w:tc>
          <w:tcPr>
            <w:tcW w:type="dxa" w:w="1440"/>
          </w:tcPr>
          <w:p>
            <w:r>
              <w:t>Gimbal Transport</w:t>
            </w:r>
          </w:p>
        </w:tc>
        <w:tc>
          <w:tcPr>
            <w:tcW w:type="dxa" w:w="1440"/>
          </w:tcPr>
          <w:p>
            <w:r>
              <w:t>4,769 lb</w:t>
            </w:r>
          </w:p>
        </w:tc>
        <w:tc>
          <w:tcPr>
            <w:tcW w:type="dxa" w:w="1440"/>
          </w:tcPr>
          <w:p>
            <w:r>
              <w:t>ORD-282216</w:t>
            </w:r>
          </w:p>
        </w:tc>
      </w:tr>
      <w:tr>
        <w:tc>
          <w:tcPr>
            <w:tcW w:type="dxa" w:w="1440"/>
          </w:tcPr>
          <w:p>
            <w:r>
              <w:t>DL20937</w:t>
            </w:r>
          </w:p>
        </w:tc>
        <w:tc>
          <w:tcPr>
            <w:tcW w:type="dxa" w:w="1440"/>
          </w:tcPr>
          <w:p>
            <w:r>
              <w:t>1 May 2026</w:t>
            </w:r>
          </w:p>
        </w:tc>
        <w:tc>
          <w:tcPr>
            <w:tcW w:type="dxa" w:w="1440"/>
          </w:tcPr>
          <w:p>
            <w:r>
              <w:t>3 May 2026</w:t>
            </w:r>
          </w:p>
        </w:tc>
        <w:tc>
          <w:tcPr>
            <w:tcW w:type="dxa" w:w="1440"/>
          </w:tcPr>
          <w:p>
            <w:r>
              <w:t>Crucible Logistics</w:t>
            </w:r>
          </w:p>
        </w:tc>
        <w:tc>
          <w:tcPr>
            <w:tcW w:type="dxa" w:w="1440"/>
          </w:tcPr>
          <w:p>
            <w:r>
              <w:t>3,475 lb</w:t>
            </w:r>
          </w:p>
        </w:tc>
        <w:tc>
          <w:tcPr>
            <w:tcW w:type="dxa" w:w="1440"/>
          </w:tcPr>
          <w:p>
            <w:r>
              <w:t>ORD-375638</w:t>
            </w:r>
          </w:p>
        </w:tc>
      </w:tr>
      <w:tr>
        <w:tc>
          <w:tcPr>
            <w:tcW w:type="dxa" w:w="1440"/>
          </w:tcPr>
          <w:p>
            <w:r>
              <w:t>DL14084</w:t>
            </w:r>
          </w:p>
        </w:tc>
        <w:tc>
          <w:tcPr>
            <w:tcW w:type="dxa" w:w="1440"/>
          </w:tcPr>
          <w:p>
            <w:r>
              <w:t>15 May 2026</w:t>
            </w:r>
          </w:p>
        </w:tc>
        <w:tc>
          <w:tcPr>
            <w:tcW w:type="dxa" w:w="1440"/>
          </w:tcPr>
          <w:p>
            <w:r>
              <w:t>21 May 2026</w:t>
            </w:r>
          </w:p>
        </w:tc>
        <w:tc>
          <w:tcPr>
            <w:tcW w:type="dxa" w:w="1440"/>
          </w:tcPr>
          <w:p>
            <w:r>
              <w:t>Gimbal Transport</w:t>
            </w:r>
          </w:p>
        </w:tc>
        <w:tc>
          <w:tcPr>
            <w:tcW w:type="dxa" w:w="1440"/>
          </w:tcPr>
          <w:p>
            <w:r>
              <w:t>8,645 lb</w:t>
            </w:r>
          </w:p>
        </w:tc>
        <w:tc>
          <w:tcPr>
            <w:tcW w:type="dxa" w:w="1440"/>
          </w:tcPr>
          <w:p>
            <w:r>
              <w:t>ORD-292872</w:t>
            </w:r>
          </w:p>
        </w:tc>
      </w:tr>
      <w:tr>
        <w:tc>
          <w:tcPr>
            <w:tcW w:type="dxa" w:w="1440"/>
          </w:tcPr>
          <w:p>
            <w:r>
              <w:t>DL49007</w:t>
            </w:r>
          </w:p>
        </w:tc>
        <w:tc>
          <w:tcPr>
            <w:tcW w:type="dxa" w:w="1440"/>
          </w:tcPr>
          <w:p>
            <w:r>
              <w:t>11 May 2026</w:t>
            </w:r>
          </w:p>
        </w:tc>
        <w:tc>
          <w:tcPr>
            <w:tcW w:type="dxa" w:w="1440"/>
          </w:tcPr>
          <w:p>
            <w:r>
              <w:t>14 May 2026</w:t>
            </w:r>
          </w:p>
        </w:tc>
        <w:tc>
          <w:tcPr>
            <w:tcW w:type="dxa" w:w="1440"/>
          </w:tcPr>
          <w:p>
            <w:r>
              <w:t>Crucible Logistics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ORD-291985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Deliveries: delivery schedule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