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Muster</w:t>
      </w:r>
    </w:p>
    <w:p>
      <w:r>
        <w:rPr>
          <w:b/>
          <w:color w:val="17606A"/>
          <w:sz w:val="22"/>
        </w:rPr>
        <w:t>Doctoral-level researcher | Consulting · Process Design · Facilitation</w:t>
      </w:r>
    </w:p>
    <w:p>
      <w:r>
        <w:rPr>
          <w:b w:val="0"/>
          <w:color w:val="536570"/>
          <w:sz w:val="19"/>
        </w:rPr>
        <w:t>CURRICULUM VITAE FOR A GERMAN START-UP GRANT APPLICATION</w:t>
      </w:r>
    </w:p>
    <w:p>
      <w:r>
        <w:rPr>
          <w:b w:val="0"/>
          <w:color w:val="536570"/>
          <w:sz w:val="19"/>
        </w:rPr>
        <w:t>Working draft · Name is a placeholder. Add address, telephone number and email before submission.</w:t>
      </w:r>
    </w:p>
    <w:p>
      <w:pPr>
        <w:pStyle w:val="Heading1"/>
      </w:pPr>
      <w:r>
        <w:t>Professional Profile and Planned Business</w:t>
      </w:r>
    </w:p>
    <w:p>
      <w:r>
        <w:rPr>
          <w:b w:val="0"/>
        </w:rPr>
        <w:t>Planned independent practice: consulting, design and facilitation of participatory processes, and development of learning formats, serious games and research methodologies. Target clients include universities, research consortia, public institutions, NGOs and businesses.</w:t>
      </w:r>
    </w:p>
    <w:p>
      <w:r>
        <w:rPr>
          <w:b w:val="0"/>
        </w:rPr>
        <w:t>The professional foundation combines a doctorate in governance and the socioeconomics of natural resources with international experience in research, consulting, project coordination and professional learning. Core strengths include collaboration across stakeholder groups, structured decision-making and translating research findings into practice.</w:t>
      </w:r>
    </w:p>
    <w:p>
      <w:pPr>
        <w:pStyle w:val="Heading1"/>
      </w:pPr>
      <w:r>
        <w:t>Competencies Relevant to Self-Employment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Consulting and client assignments: </w:t>
      </w:r>
      <w:r>
        <w:t>experience in international consulting mandates, feasibility studies, strategy development and methodological support.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Project and programme management: </w:t>
      </w:r>
      <w:r>
        <w:t>coordination of multi-institutional initiatives, work packages, partner networks and training programmes; application of Agile methods and PRINCE2.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Service delivery: </w:t>
      </w:r>
      <w:r>
        <w:t>design and facilitation of workshops, stakeholder dialogues, serious games, simulations and practice-oriented learning formats.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Methodology development: </w:t>
      </w:r>
      <w:r>
        <w:t>participatory and transdisciplinary research, Living Labs, decision support and development of adaptable tools.</w:t>
      </w:r>
    </w:p>
    <w:p>
      <w:pPr>
        <w:pStyle w:val="Heading1"/>
      </w:pPr>
      <w:r>
        <w:t>Professional Experience</w:t>
      </w:r>
    </w:p>
    <w:p>
      <w:pPr>
        <w:keepNext/>
        <w:spacing w:before="120" w:after="20"/>
      </w:pPr>
      <w:r>
        <w:rPr>
          <w:b/>
          <w:color w:val="173747"/>
          <w:sz w:val="23"/>
        </w:rPr>
        <w:t>Research Associate / Programme and Methodology Development</w:t>
      </w:r>
    </w:p>
    <w:p>
      <w:pPr>
        <w:keepNext/>
        <w:spacing w:after="80"/>
      </w:pPr>
      <w:r>
        <w:rPr>
          <w:b w:val="0"/>
          <w:color w:val="536570"/>
          <w:sz w:val="20"/>
        </w:rPr>
        <w:t>Kassel Institute for Sustainability, University of Kassel · Cultures of Sustainability · 04/2023–05/2026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Designed and coordinated international workshops, learning programmes and multi-institutional collaboration.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Developed and evaluated Living Lab methodologies, serious games and participatory formats; coordinated methodological integration across interdisciplinary teams.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Developed transformation pathways, governance approaches and decision-support tools.</w:t>
      </w:r>
    </w:p>
    <w:p>
      <w:pPr>
        <w:keepNext/>
        <w:spacing w:before="120" w:after="20"/>
      </w:pPr>
      <w:r>
        <w:rPr>
          <w:b/>
          <w:color w:val="173747"/>
          <w:sz w:val="23"/>
        </w:rPr>
        <w:t>Consulting and Business Development</w:t>
      </w:r>
    </w:p>
    <w:p>
      <w:pPr>
        <w:keepNext/>
        <w:spacing w:after="80"/>
      </w:pPr>
      <w:r>
        <w:rPr>
          <w:b w:val="0"/>
          <w:color w:val="536570"/>
          <w:sz w:val="20"/>
        </w:rPr>
        <w:t>International consulting assignments · Sustainability, transformation and learning · 2021–2023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Developed sustainability strategies, climate-resilience approaches and tools to strengthen organisational capacity.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Designed interactive training, serious games and simulations; applied Agile and PRINCE2 approaches to project delivery.</w:t>
      </w:r>
    </w:p>
    <w:p>
      <w:pPr>
        <w:pStyle w:val="Heading1"/>
        <w:pageBreakBefore/>
      </w:pPr>
      <w:r>
        <w:t>Professional Experience</w:t>
      </w:r>
    </w:p>
    <w:p>
      <w:pPr>
        <w:keepNext/>
        <w:spacing w:before="120" w:after="20"/>
      </w:pPr>
      <w:r>
        <w:rPr>
          <w:b/>
          <w:color w:val="173747"/>
          <w:sz w:val="23"/>
        </w:rPr>
        <w:t>Postdoctoral Research Associate</w:t>
      </w:r>
    </w:p>
    <w:p>
      <w:pPr>
        <w:keepNext/>
        <w:spacing w:after="80"/>
      </w:pPr>
      <w:r>
        <w:rPr>
          <w:b w:val="0"/>
          <w:color w:val="536570"/>
          <w:sz w:val="20"/>
        </w:rPr>
        <w:t>Bonn Alliance for Sustainability Research – Innovation Campus Bonn · 07/2019–06/2021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Led the Digitainable project: </w:t>
      </w:r>
      <w:r>
        <w:t>developed a participatory assessment framework for digitalisation and sustainability.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Delivered stakeholder workshops, empirical research and capacity-development activities; supervised master’s and doctoral research.</w:t>
      </w:r>
    </w:p>
    <w:p>
      <w:pPr>
        <w:keepNext/>
        <w:spacing w:before="120" w:after="20"/>
      </w:pPr>
      <w:r>
        <w:rPr>
          <w:b/>
          <w:color w:val="173747"/>
          <w:sz w:val="23"/>
        </w:rPr>
        <w:t>Senior Researcher, Project Coordinator and Lecturer</w:t>
      </w:r>
    </w:p>
    <w:p>
      <w:pPr>
        <w:keepNext/>
        <w:spacing w:after="80"/>
      </w:pPr>
      <w:r>
        <w:rPr>
          <w:b w:val="0"/>
          <w:color w:val="536570"/>
          <w:sz w:val="20"/>
        </w:rPr>
        <w:t>Institute for Technology and Resources Management, TH Köln · 02/2017–06/2019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Coordinated international research and education partnerships, including the Nile Research Partnership and 2030AfricaWaterSecure.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Developed blended-learning materials, organised events and delivered capacity development in governance and diplomacy.</w:t>
      </w:r>
    </w:p>
    <w:p>
      <w:pPr>
        <w:keepNext/>
        <w:spacing w:before="120" w:after="20"/>
      </w:pPr>
      <w:r>
        <w:rPr>
          <w:b/>
          <w:color w:val="173747"/>
          <w:sz w:val="23"/>
        </w:rPr>
        <w:t>Visiting Researcher</w:t>
      </w:r>
    </w:p>
    <w:p>
      <w:pPr>
        <w:keepNext/>
        <w:spacing w:after="80"/>
      </w:pPr>
      <w:r>
        <w:rPr>
          <w:b w:val="0"/>
          <w:color w:val="536570"/>
          <w:sz w:val="20"/>
        </w:rPr>
        <w:t>Eastern Nile Technical Regional Office (ENTRO), Addis Ababa, Ethiopia · 06/2015–11/2015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Conducted field research and interviews on transboundary negotiations; facilitated stakeholder workshops and multi-party dialogue.</w:t>
      </w:r>
    </w:p>
    <w:p>
      <w:pPr>
        <w:keepNext/>
        <w:spacing w:before="120" w:after="20"/>
      </w:pPr>
      <w:r>
        <w:rPr>
          <w:b/>
          <w:color w:val="173747"/>
          <w:sz w:val="23"/>
        </w:rPr>
        <w:t>Earlier Experience</w:t>
      </w:r>
    </w:p>
    <w:p>
      <w:r>
        <w:rPr>
          <w:b w:val="0"/>
        </w:rPr>
        <w:t>2012–2013 | Research Assistant, WEF Nexus Research Project, ITT / TH Köln: supported capacity development for Nexus assessment models.</w:t>
      </w:r>
    </w:p>
    <w:p>
      <w:r>
        <w:rPr>
          <w:b w:val="0"/>
        </w:rPr>
        <w:t>2011–2012 | Research Assistant / DAAD Programme Assistant, Faculty of Agriculture, University of Bonn.</w:t>
      </w:r>
    </w:p>
    <w:p>
      <w:r>
        <w:rPr>
          <w:b w:val="0"/>
        </w:rPr>
        <w:t>2010–2011 | Research Assistant, Centre for Development Research (ZEF), University of Bonn: survey design, data collection and analysis, teaching and partner communication.</w:t>
      </w:r>
    </w:p>
    <w:p>
      <w:r>
        <w:rPr>
          <w:b w:val="0"/>
        </w:rPr>
        <w:t>2005–2007 | Project Officer, River Training Project, Yekom Consulting Engineers, Tehran: developed approaches in water and renewable energy for private and public-sector clients.</w:t>
      </w:r>
    </w:p>
    <w:p>
      <w:pPr>
        <w:pStyle w:val="Heading1"/>
      </w:pPr>
      <w:r>
        <w:t>Selected Consulting and Project Assignments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2025–2026 | ARSINOE / Horizon Europe: </w:t>
      </w:r>
      <w:r>
        <w:t>translated climate-risk and resilience data into actionable insights for start-ups and SMEs.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2024–2026 | SPARKLE / EU LIFE: </w:t>
      </w:r>
      <w:r>
        <w:t>co-developed local energy advisory structures for commercial building renovation.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2022 | NIRAS, Tanzania: </w:t>
      </w:r>
      <w:r>
        <w:t>feasibility study on resilience planning in East Africa.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2021–2022 | Global Council for Science and the Environment, USA: consulting on a knowledge-informed decision-making tool for conflict resolution.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2021 | adelphi, Asia-Pacific: </w:t>
      </w:r>
      <w:r>
        <w:t>consulting on the Mekong Climate Change Adaptation Strategy and Action Plan.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2018–2022 | CNRD / Rockefeller Foundation: coordinated “Universities as Knowledge Brokers in the Governance of Climate Resilience”.</w:t>
      </w:r>
    </w:p>
    <w:p>
      <w:pPr>
        <w:pStyle w:val="Heading1"/>
        <w:pageBreakBefore/>
      </w:pPr>
      <w:r>
        <w:t>Qualifications and Expertise</w:t>
      </w:r>
    </w:p>
    <w:p>
      <w:pPr>
        <w:pStyle w:val="Heading1"/>
      </w:pPr>
      <w:r>
        <w:t>Higher Education</w:t>
      </w:r>
    </w:p>
    <w:p>
      <w:pPr>
        <w:keepNext/>
        <w:spacing w:before="120" w:after="20"/>
      </w:pPr>
      <w:r>
        <w:rPr>
          <w:b/>
          <w:color w:val="173747"/>
          <w:sz w:val="23"/>
        </w:rPr>
        <w:t>Doctorate (Dr. agr.)</w:t>
      </w:r>
    </w:p>
    <w:p>
      <w:pPr>
        <w:keepNext/>
        <w:spacing w:after="80"/>
      </w:pPr>
      <w:r>
        <w:rPr>
          <w:b w:val="0"/>
          <w:color w:val="536570"/>
          <w:sz w:val="20"/>
        </w:rPr>
        <w:t>University of Bonn, Germany · 11/2012–01/2018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Governance and socioeconomics of shared natural resources, with a focus on diplomacy.</w:t>
      </w:r>
    </w:p>
    <w:p>
      <w:pPr>
        <w:keepNext/>
        <w:spacing w:before="120" w:after="20"/>
      </w:pPr>
      <w:r>
        <w:rPr>
          <w:b/>
          <w:color w:val="173747"/>
          <w:sz w:val="23"/>
        </w:rPr>
        <w:t>Master of Science</w:t>
      </w:r>
    </w:p>
    <w:p>
      <w:pPr>
        <w:keepNext/>
        <w:spacing w:after="80"/>
      </w:pPr>
      <w:r>
        <w:rPr>
          <w:b w:val="0"/>
          <w:color w:val="536570"/>
          <w:sz w:val="20"/>
        </w:rPr>
        <w:t>University of Bonn, Germany · 04/2009–09/2012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Agricultural Sciences &amp; Sustainable Resource Management.</w:t>
      </w:r>
    </w:p>
    <w:p>
      <w:pPr>
        <w:keepNext/>
        <w:spacing w:before="120" w:after="20"/>
      </w:pPr>
      <w:r>
        <w:rPr>
          <w:b/>
          <w:color w:val="173747"/>
          <w:sz w:val="23"/>
        </w:rPr>
        <w:t>Bachelor of Science</w:t>
      </w:r>
    </w:p>
    <w:p>
      <w:pPr>
        <w:keepNext/>
        <w:spacing w:after="80"/>
      </w:pPr>
      <w:r>
        <w:rPr>
          <w:b w:val="0"/>
          <w:color w:val="536570"/>
          <w:sz w:val="20"/>
        </w:rPr>
        <w:t>University of Tehran, Iran · 1999–2003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Agricultural Economics &amp; Development.</w:t>
      </w:r>
    </w:p>
    <w:p>
      <w:pPr>
        <w:pStyle w:val="Heading1"/>
      </w:pPr>
      <w:r>
        <w:t>Selected Professional Development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2025 | ProProfessor, Mentoring Hessen: </w:t>
      </w:r>
      <w:r>
        <w:t>career development and preparation for a professorship.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2022 | New Horizons Worldwide Institute, Frankfurt: EXIN Agile SCRUM Foundation, Product Owner &amp; Mastery.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2021 | Academy for International Cooperation, Bonn: behaviour change, social transformation and facilitation skills.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2021 | WINGS Professional Studies, UK: </w:t>
      </w:r>
      <w:r>
        <w:t>International Business Coaching and Strategic Management.</w:t>
      </w:r>
    </w:p>
    <w:p>
      <w:pPr>
        <w:tabs>
          <w:tab w:pos="357" w:val="left"/>
        </w:tabs>
        <w:ind w:left="357" w:hanging="357"/>
      </w:pPr>
      <w:r>
        <w:t>•</w:t>
        <w:tab/>
      </w:r>
      <w:r>
        <w:rPr>
          <w:b/>
        </w:rPr>
        <w:t xml:space="preserve">2015 | NADEL, ETH: </w:t>
      </w:r>
      <w:r>
        <w:t>evaluation of development cooperation and humanitarian projects.</w:t>
      </w:r>
    </w:p>
    <w:p>
      <w:pPr>
        <w:tabs>
          <w:tab w:pos="357" w:val="left"/>
        </w:tabs>
        <w:ind w:left="357" w:hanging="357"/>
      </w:pPr>
      <w:r>
        <w:rPr>
          <w:b w:val="0"/>
        </w:rPr>
        <w:t>•</w:t>
        <w:tab/>
        <w:t>2015 and 2016 | Harvard Law School &amp; MIT: Water Diplomacy Workshop.</w:t>
      </w:r>
    </w:p>
    <w:p>
      <w:pPr>
        <w:pStyle w:val="Heading1"/>
      </w:pPr>
      <w:r>
        <w:t>Methods, Tools and Languages</w:t>
      </w:r>
    </w:p>
    <w:p>
      <w:r>
        <w:rPr>
          <w:b w:val="0"/>
        </w:rPr>
        <w:t>Methods: stakeholder engagement, co-creation, participatory research, serious games, simulations, blended learning, systems thinking and conflict resolution.</w:t>
      </w:r>
    </w:p>
    <w:p>
      <w:r>
        <w:rPr>
          <w:b w:val="0"/>
        </w:rPr>
        <w:t>Tools and project approaches: Agile Scrum, PRINCE2, agent-based modelling, GIS, GAMS, SPSS/STATA and life-cycle assessment using SimaPro. The source CV does not separately document formal PRINCE2 certification.</w:t>
      </w:r>
    </w:p>
    <w:p>
      <w:r>
        <w:rPr>
          <w:b w:val="0"/>
        </w:rPr>
        <w:t>Languages: Farsi – native; English – professional; German – intermediate; Arabic and Turkish – basic. No CEFR levels have been assigned without supporting evidence.</w:t>
      </w:r>
    </w:p>
    <w:p>
      <w:pPr>
        <w:pStyle w:val="Heading1"/>
      </w:pPr>
      <w:r>
        <w:t>Selected Publications</w:t>
      </w:r>
    </w:p>
    <w:p>
      <w:r>
        <w:rPr>
          <w:b w:val="0"/>
        </w:rPr>
        <w:t>Motlagh, M.; Horcea-Milcu, A. I.; König, B. (2025): Discovering the potential of serious games for transformative sustainability research. Discover Sustainability 6, 30. DOI: 10.1007/s43621-024-00756-8.</w:t>
      </w:r>
    </w:p>
    <w:p>
      <w:r>
        <w:rPr>
          <w:b w:val="0"/>
        </w:rPr>
        <w:t>Gupta, S.; Motlagh, M.; Rhyner, J. (2020): The Digitalization Sustainability Matrix: A Participatory Research Tool for Investigating Digitainability. Sustainability. DOI: 10.3390/su12219283.</w:t>
      </w:r>
    </w:p>
    <w:p>
      <w:pPr>
        <w:pStyle w:val="Heading1"/>
      </w:pPr>
      <w:r>
        <w:t>Complete Before Submission</w:t>
      </w:r>
    </w:p>
    <w:p>
      <w:r>
        <w:rPr>
          <w:b w:val="0"/>
        </w:rPr>
        <w:t>Replace the placeholder name and add personal contact details. Add professional activities and status from June 2026 and the planned business start date; these are not clearly specified in the source CV. Check dates and titles against certificates and the business plan. Qualifications and references may be provided separately.</w:t>
      </w:r>
    </w:p>
    <w:p>
      <w:r>
        <w:rPr>
          <w:b w:val="0"/>
        </w:rPr>
        <w:t>Place / date: _______________________     Signature: _______________________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Calibri" w:hAnsi="Calibri"/>
      <w:color w:val="25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30" w:after="100"/>
      <w:outlineLvl w:val="0"/>
      <w:pBdr>
        <w:bottom w:val="single" w:sz="4" w:space="3" w:color="D7E4E8"/>
      </w:pBdr>
    </w:pPr>
    <w:rPr>
      <w:rFonts w:asciiTheme="majorHAnsi" w:eastAsiaTheme="majorEastAsia" w:hAnsiTheme="majorHAnsi" w:cstheme="majorBidi" w:ascii="Calibri" w:hAnsi="Calibri"/>
      <w:b/>
      <w:bCs/>
      <w:color w:val="17606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3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606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7374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 Muster – English CV – Template Edition</dc:title>
  <dc:subject>Start-up grant application</dc:subject>
  <dc:creator>Maria Muster (placeholder)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