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80" w:line="240" w:lineRule="auto"/>
      </w:pPr>
      <w:r>
        <w:t>Maria Muster</w:t>
      </w:r>
    </w:p>
    <w:p>
      <w:pPr>
        <w:keepNext/>
        <w:widowControl/>
        <w:spacing w:before="0" w:after="60" w:line="240" w:lineRule="auto"/>
      </w:pPr>
      <w:r>
        <w:rPr>
          <w:b/>
          <w:color w:val="17606A"/>
          <w:sz w:val="22"/>
        </w:rPr>
        <w:t>Doctoral-level researcher | Consulting · Process Design · Facilitation</w:t>
      </w:r>
    </w:p>
    <w:p>
      <w:pPr>
        <w:widowControl/>
        <w:spacing w:before="0" w:after="60" w:line="240" w:lineRule="auto"/>
      </w:pPr>
      <w:r>
        <w:rPr>
          <w:b w:val="0"/>
          <w:color w:val="536570"/>
          <w:sz w:val="19"/>
        </w:rPr>
        <w:t>CURRICULUM VITAE FOR A GERMAN START-UP GRANT APPLICATION</w:t>
      </w:r>
    </w:p>
    <w:p>
      <w:pPr>
        <w:widowControl/>
        <w:spacing w:before="0" w:after="60" w:line="240" w:lineRule="auto"/>
      </w:pPr>
      <w:r>
        <w:rPr>
          <w:b w:val="0"/>
          <w:color w:val="536570"/>
          <w:sz w:val="19"/>
        </w:rPr>
        <w:t>Name is a placeholder. Add personal contact details before submission.</w:t>
      </w:r>
    </w:p>
    <w:p>
      <w:pPr>
        <w:pStyle w:val="Heading1"/>
        <w:widowControl/>
        <w:spacing w:before="140" w:after="60" w:line="240" w:lineRule="auto"/>
      </w:pPr>
      <w:r>
        <w:t>Professional Profile and Planned Business</w:t>
      </w:r>
    </w:p>
    <w:p>
      <w:pPr>
        <w:widowControl/>
        <w:spacing w:before="0" w:after="60" w:line="240" w:lineRule="auto"/>
      </w:pPr>
      <w:r>
        <w:rPr>
          <w:b w:val="0"/>
        </w:rPr>
        <w:t>Planned independent practice: consulting, design and facilitation of participatory processes, and development of learning formats, serious games and research methodologies. Target clients include universities, research consortia, public institutions, NGOs and businesses.</w:t>
      </w:r>
    </w:p>
    <w:p>
      <w:pPr>
        <w:widowControl/>
        <w:spacing w:before="0" w:after="60" w:line="240" w:lineRule="auto"/>
      </w:pPr>
      <w:r>
        <w:rPr>
          <w:b w:val="0"/>
        </w:rPr>
        <w:t>The professional foundation combines a doctorate in governance and the socioeconomics of natural resources with international experience in research, consulting, project coordination and professional learning. Core strengths include collaboration across stakeholder groups, structured decision-making and translating research findings into practice.</w:t>
      </w:r>
    </w:p>
    <w:p>
      <w:pPr>
        <w:pStyle w:val="Heading1"/>
        <w:widowControl/>
        <w:spacing w:before="140" w:after="60" w:line="240" w:lineRule="auto"/>
      </w:pPr>
      <w:r>
        <w:t>Competencies Relevant to Self-Employment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Consulting and client assignments: experience in international consulting mandates, feasibility studies, strategy development and methodological support.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Project and programme management: coordination of multi-institutional initiatives, work packages, partner networks and training programmes; application of Agile methods and PRINCE2.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Service delivery: design and facilitation of workshops, stakeholder dialogues, serious games, simulations and practice-oriented learning formats.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Methodology development: participatory and transdisciplinary research, Living Labs, decision support and development of adaptable tools.</w:t>
      </w:r>
    </w:p>
    <w:p>
      <w:pPr>
        <w:pStyle w:val="Heading1"/>
        <w:widowControl/>
        <w:spacing w:before="140" w:after="60" w:line="240" w:lineRule="auto"/>
      </w:pPr>
      <w:r>
        <w:t>Professional Experience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Research Associate / Programme and Methodology Development</w:t>
      </w:r>
    </w:p>
    <w:p>
      <w:pPr>
        <w:keepNext/>
        <w:widowControl/>
        <w:spacing w:after="60" w:before="0" w:line="240" w:lineRule="auto"/>
      </w:pPr>
      <w:r>
        <w:rPr>
          <w:b w:val="0"/>
          <w:color w:val="536570"/>
          <w:sz w:val="20"/>
        </w:rPr>
        <w:t>04/2023–03/2026 | Kassel Institute for Sustainability, University of Kassel · Cultures of Sustainability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Designed and coordinated international workshops, learning programmes and multi-institutional collaboration.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Developed and evaluated Living Lab methodologies, serious games and participatory formats; coordinated methodological integration across interdisciplinary teams.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Developed transformation pathways, governance approaches and decision-support tools.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Consulting and Business Development, International consulting assignments · Sustainability, transformation and learning - 07/2021–03/2023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Developed sustainability strategies, climate-resilience approaches and tools to strengthen organisational capacity.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Designed interactive training, serious games and simulations; applied Agile and PRINCE2 approaches to project delivery.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Postdoctoral Research Associate, Bonn Alliance for Sustainability Research – Innovation Campus Bonn · 07/2019 -06/2021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Led the Digitainable project: Bridged the science-society-policy gap at the intersection of sustainability and digitalization and developed a participatory assessment framework.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Delivered stakeholder workshops, empirical research and capacity-development activities; supervised master’s and doctoral research.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Senior Researcher, Project Coordinator and Lecturer, Institute for Technology and Resources Management, TH Köln - 02/2017–06/2019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Coordinated international research and education partnerships, including the Nile Research Partnership and 2030AfricaWaterSecure.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Developed blended-learning materials, organised events and delivered capacity development in governance and diplomacy.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Visiting Researcher, Eastern Nile Technical Regional Office (ENTRO), Addis Ababa, Ethiopia - 06/2015–11/2015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Conducted field research and interviews on transboundary negotiations; facilitated stakeholder workshops and multi-party dialogue.</w:t>
      </w:r>
    </w:p>
    <w:p>
      <w:pPr>
        <w:pStyle w:val="Heading1"/>
        <w:widowControl/>
        <w:spacing w:before="140" w:after="60" w:line="240" w:lineRule="auto"/>
      </w:pPr>
      <w:r>
        <w:t>Earlier Experience</w:t>
      </w:r>
    </w:p>
    <w:p>
      <w:pPr>
        <w:widowControl/>
        <w:spacing w:before="0" w:after="60" w:line="240" w:lineRule="auto"/>
      </w:pPr>
      <w:r>
        <w:rPr>
          <w:b w:val="0"/>
        </w:rPr>
        <w:t>2012–2013 | Research Assistant, water-energy-food Nexus Research Project, ITT / TH Köln: supported capacity development for Nexus assessment models.</w:t>
      </w:r>
    </w:p>
    <w:p>
      <w:pPr>
        <w:widowControl/>
        <w:spacing w:before="0" w:after="60" w:line="240" w:lineRule="auto"/>
      </w:pPr>
      <w:r>
        <w:rPr>
          <w:b w:val="0"/>
        </w:rPr>
        <w:t>2011–2012 | Research Assistant / DAAD Programme Assistant, Faculty of Agriculture, University of Bonn.</w:t>
      </w:r>
    </w:p>
    <w:p>
      <w:pPr>
        <w:widowControl/>
        <w:spacing w:before="0" w:after="60" w:line="240" w:lineRule="auto"/>
      </w:pPr>
      <w:r>
        <w:rPr>
          <w:b w:val="0"/>
        </w:rPr>
        <w:t>2010–2011 | Research Assistant, Centre for Development Research (ZEF), University of Bonn: survey design, data collection and analysis, teaching and partner communication.</w:t>
      </w:r>
    </w:p>
    <w:p>
      <w:pPr>
        <w:widowControl/>
        <w:spacing w:before="0" w:after="60" w:line="240" w:lineRule="auto"/>
      </w:pPr>
      <w:r>
        <w:rPr>
          <w:b w:val="0"/>
        </w:rPr>
        <w:t>2005–2007 | Project Officer, River Training Project, Yekom Consulting Engineers, Tehran: developed approaches in water and renewable energy for private and public-sector clients.</w:t>
      </w:r>
    </w:p>
    <w:p>
      <w:pPr>
        <w:pStyle w:val="Heading1"/>
        <w:widowControl/>
        <w:spacing w:before="140" w:after="60" w:line="240" w:lineRule="auto"/>
      </w:pPr>
      <w:r>
        <w:t>Selected Consulting and Project Assignments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2025-Now | TransformERS (COST European Cooperation in Science &amp; Technology) network Research-practice coordinator.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2025-2026 |  MARGISTAR &amp; Polytraps+ consortium - collaborative European research network.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2024-now |ITD Alliance - Global Alliance for Inter- and Transdisciplinarity : Toolkits and methods coordinator.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2025–2026 | ARSINOE / Horizon Europe: translated climate-risk and resilience data into actionable insights for start-ups and SMEs.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2024–2026 | SPARKLE / EU LIFE: co-developed local energy advisory structures for commercial building renovation.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2022 | NIRAS, Tanzania: feasibility study on resilience planning in East Africa.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2021–2022 | Global Council for Science and the Environment, USA: consulting on a knowledge-informed decision-making tool for conflict resolution.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2021 | Adelphi, Asia-Pacific: consulting on the Mekong Climate Change Adaptation Strategy and Action Plan.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2018–2022 | CNRD / Rockefeller Foundation: coordinated: Universities as Knowledge Brokers in the Governance of Climate Resilience.</w:t>
      </w:r>
    </w:p>
    <w:p>
      <w:pPr>
        <w:pStyle w:val="Heading1"/>
        <w:widowControl/>
        <w:spacing w:before="140" w:after="60" w:line="240" w:lineRule="auto"/>
      </w:pPr>
      <w:r>
        <w:t>Qualifications and Expertise</w:t>
      </w:r>
    </w:p>
    <w:p>
      <w:pPr>
        <w:pStyle w:val="Heading1"/>
        <w:widowControl/>
        <w:spacing w:before="140" w:after="60" w:line="240" w:lineRule="auto"/>
      </w:pPr>
      <w:r>
        <w:t>Higher Education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Doctorate (Dr. agr.) University of Bonn, Germany · 11/2012–01/2018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Governance and socioeconomics of shared natural resources, with a focus on diplomacy.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Master of Science, University of Bonn, Germany · 04/2009–09/2012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Agricultural Sciences &amp; Sustainable Resource Management.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Bachelor of Science, University of Tehran, Iran · 1999–2003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Agricultural Economics &amp; Development.</w:t>
      </w:r>
    </w:p>
    <w:p>
      <w:pPr>
        <w:pStyle w:val="Heading1"/>
        <w:widowControl/>
        <w:spacing w:before="140" w:after="60" w:line="240" w:lineRule="auto"/>
      </w:pPr>
      <w:r>
        <w:t>Selected Professional Development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2026 | Awarded Short-Term Scientific Missions - COST European Cooperation in Science and Technology: Green Diplomacy in EU science-policy dialogue - Natural Resources Institute Finland (Luke).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2025 | ProProfessor, Mentoring Hessen: career development and preparation for a professorship.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2022 | New Horizons Worldwide Institute, Frankfurt: EXIN Agile SCRUM Foundation, Product Owner &amp; Mastery.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2021 | Academy for International Cooperation, Bonn: behaviour change, social transformation and facilitation skills.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2021 | WINGS Professional Studies, UK: International Business Coaching and Strategic Management.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2015 | NADEL, ETH: evaluation of development cooperation and humanitarian projects.</w:t>
      </w:r>
    </w:p>
    <w:p>
      <w:pPr>
        <w:widowControl/>
        <w:tabs>
          <w:tab w:pos="357" w:val="left"/>
        </w:tabs>
        <w:spacing w:before="0" w:after="60" w:line="240" w:lineRule="auto"/>
        <w:ind w:left="357" w:hanging="357"/>
      </w:pPr>
      <w:r>
        <w:rPr>
          <w:b w:val="0"/>
        </w:rPr>
        <w:t>•</w:t>
        <w:tab/>
        <w:t>2015 and 2016 | Harvard Law School &amp; MIT: Water Diplomacy Workshop.</w:t>
      </w:r>
    </w:p>
    <w:p>
      <w:pPr>
        <w:pStyle w:val="Heading1"/>
        <w:widowControl/>
        <w:spacing w:before="140" w:after="60" w:line="240" w:lineRule="auto"/>
      </w:pPr>
      <w:r>
        <w:t>Methods, Tools and Languages</w:t>
      </w:r>
    </w:p>
    <w:p>
      <w:pPr>
        <w:widowControl/>
        <w:spacing w:before="0" w:after="60" w:line="240" w:lineRule="auto"/>
      </w:pPr>
      <w:r>
        <w:rPr>
          <w:b w:val="0"/>
        </w:rPr>
        <w:t>Methods: stakeholder engagement, co-creation, participatory research, serious games, simulations, blended learning, systems thinking and conflict resolution.</w:t>
      </w:r>
    </w:p>
    <w:p>
      <w:pPr>
        <w:widowControl/>
        <w:spacing w:before="0" w:after="60" w:line="240" w:lineRule="auto"/>
      </w:pPr>
      <w:r>
        <w:rPr>
          <w:b w:val="0"/>
        </w:rPr>
        <w:t>Tools and project approaches: Agile Scrum, PRINCE2, agent-based modelling, GIS, GAMS, SPSS/STATA and life-cycle assessment using SimaPro. The source CV does not separately document formal PRINCE2 certification.</w:t>
      </w:r>
    </w:p>
    <w:p>
      <w:pPr>
        <w:widowControl/>
        <w:spacing w:before="0" w:after="60" w:line="240" w:lineRule="auto"/>
      </w:pPr>
      <w:r>
        <w:rPr>
          <w:b w:val="0"/>
        </w:rPr>
        <w:t>Languages: Farsi – native; English – professional; German – intermediate; Arabic and Turkish – basic. No CEFR levels have been assigned without supporting evidence.</w:t>
      </w:r>
    </w:p>
    <w:p>
      <w:pPr>
        <w:pStyle w:val="Heading1"/>
        <w:widowControl/>
        <w:spacing w:before="140" w:after="60" w:line="240" w:lineRule="auto"/>
      </w:pPr>
      <w:r>
        <w:t>Selected Publications</w:t>
      </w:r>
    </w:p>
    <w:p>
      <w:pPr>
        <w:widowControl/>
        <w:spacing w:before="0" w:after="60" w:line="240" w:lineRule="auto"/>
      </w:pPr>
      <w:r>
        <w:rPr>
          <w:b w:val="0"/>
        </w:rPr>
        <w:t>Motlagh, M.; Horcea-Milcu, A. I.; König, B. (2025): Discovering the potential of serious games for transformative sustainability research. Discover Sustainability 6, 30. DOI: 10.1007/s43621-024-00756-8.</w:t>
      </w:r>
    </w:p>
    <w:p>
      <w:pPr>
        <w:widowControl/>
        <w:spacing w:before="0" w:after="60" w:line="240" w:lineRule="auto"/>
      </w:pPr>
      <w:r>
        <w:rPr>
          <w:b w:val="0"/>
        </w:rPr>
        <w:t>Gupta, S.; Motlagh, M.; Rhyner, J. (2020): The Digitalization Sustainability Matrix: A Participatory Research Tool for Investigating Digitainability. Sustainability. DOI: 10.3390/su12219283.</w:t>
      </w:r>
    </w:p>
    <w:p>
      <w:pPr>
        <w:keepNext/>
        <w:widowControl/>
        <w:spacing w:before="0" w:after="60" w:line="240" w:lineRule="auto"/>
      </w:pPr>
      <w:r>
        <w:rPr>
          <w:b/>
          <w:color w:val="173747"/>
          <w:sz w:val="23"/>
        </w:rPr>
        <w:t>Under review:</w:t>
      </w:r>
    </w:p>
    <w:p>
      <w:pPr>
        <w:widowControl/>
        <w:spacing w:before="0" w:after="60" w:line="240" w:lineRule="auto"/>
      </w:pPr>
      <w:r>
        <w:rPr>
          <w:b w:val="0"/>
        </w:rPr>
        <w:t>Motlagh, M., &amp; Augenstein, K. (Under review). Curating Game-Based Methods for Sustainability Education: Evaluating Student Perceptions and Transformative Learning Outcomes in Higher Education Courses. International Journal of Sustainability in Higher Education.</w:t>
      </w:r>
    </w:p>
    <w:p>
      <w:pPr>
        <w:widowControl/>
        <w:spacing w:before="0" w:after="60" w:line="240" w:lineRule="auto"/>
      </w:pPr>
      <w:r>
        <w:rPr>
          <w:b w:val="0"/>
        </w:rPr>
        <w:t>Sieber, I., Motlagh, M., Ritzmann, S., Horcea-Milcu, A.I., &amp; Nahar, N. (Under review). Navigating the different dimensions of co-creation for sustainability research: Toward a shared understanding. Global Transitions.</w:t>
      </w:r>
    </w:p>
    <w:p>
      <w:pPr>
        <w:widowControl/>
        <w:spacing w:before="0" w:after="60" w:line="240" w:lineRule="auto"/>
      </w:pPr>
      <w:r>
        <w:rPr>
          <w:b w:val="0"/>
        </w:rPr>
        <w:t>Motlagh, M., Orduña Alegría, M., &amp; Michalscheck, M. (Under review). Extending the Cycle: Leveraging Social Interaction and Co-learning in Sustainability Game-Based Learning. Frontiers in Education (section: Leadership in Education).</w:t>
      </w:r>
    </w:p>
    <w:p>
      <w:pPr>
        <w:widowControl/>
        <w:spacing w:before="0" w:after="60" w:line="240" w:lineRule="auto"/>
      </w:pPr>
      <w:r>
        <w:rPr>
          <w:b w:val="0"/>
        </w:rPr>
        <w:t>Horcea-Milcu, A.I., Sellnow, M., Bentz, J., Charli-Joseph, L., Moriggi, A., Motlagh, M., Bernert, P., &amp; Cebrian, M. (Under review). The (re)generative uncertainty of transdisciplinary transformative research processes for sustainability: An exploration of toolkits. Sustainability Science.</w:t>
      </w:r>
    </w:p>
    <w:p>
      <w:pPr>
        <w:widowControl/>
        <w:spacing w:before="0" w:after="60" w:line="240" w:lineRule="auto"/>
      </w:pPr>
      <w:r>
        <w:rPr>
          <w:b w:val="0"/>
        </w:rPr>
        <w:t>Motlagh, M., Solano-Báez, M. C., &amp; Sarkki, S. (Under review). Science-policy dialogue simulation game as a co-learning space: Empirical evidence within a green diplomacy framework. Environmental Science &amp; Policy.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Calibri" w:hAnsi="Calibri"/>
      <w:color w:val="25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30" w:after="100"/>
      <w:outlineLvl w:val="0"/>
      <w:pBdr>
        <w:bottom w:val="single" w:sz="4" w:space="3" w:color="D7E4E8"/>
      </w:pBdr>
    </w:pPr>
    <w:rPr>
      <w:rFonts w:asciiTheme="majorHAnsi" w:eastAsiaTheme="majorEastAsia" w:hAnsiTheme="majorHAnsi" w:cstheme="majorBidi" w:ascii="Calibri" w:hAnsi="Calibri"/>
      <w:b/>
      <w:bCs/>
      <w:color w:val="17606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3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60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7374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 Muster – Revised English CV – 27 October 2026</dc:title>
  <dc:subject>Start-up grant application</dc:subject>
  <dc:creator>Maria Muster (placeholder)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