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Maria Muster</w:t>
      </w:r>
    </w:p>
    <w:p>
      <w:r>
        <w:t>Promovierte Wissenschaftlerin | Beratung · Prozessgestaltung · Moderation</w:t>
      </w:r>
    </w:p>
    <w:p>
      <w:r>
        <w:t>LEBENSLAUF ZUR BEANTRAGUNG DES GRÜNDUNGSZUSCHUSSES</w:t>
      </w:r>
    </w:p>
    <w:p>
      <w:r>
        <w:rPr>
          <w:i/>
          <w:sz w:val="18"/>
        </w:rPr>
        <w:t>Arbeitsfassung · Name ist ein Platzhalter. Anschrift, Telefon und E-Mail vor Einreichung ergänzen.</w:t>
      </w:r>
    </w:p>
    <w:p>
      <w:pPr>
        <w:pStyle w:val="Heading1"/>
      </w:pPr>
      <w:r>
        <w:t>Berufliches Profil und Gründungsvorhaben</w:t>
      </w:r>
    </w:p>
    <w:p>
      <w:r>
        <w:t>Geplante selbstständige Tätigkeit: Beratung, Gestaltung und Moderation partizipativer Prozesse sowie Entwicklung von Lernformaten, Serious Games und Forschungsmethoden. Zielgruppen sind Hochschulen, Forschungsverbünde, öffentliche Einrichtungen, NGOs und Unternehmen.</w:t>
      </w:r>
    </w:p>
    <w:p>
      <w:r>
        <w:t>Die fachliche Grundlage bilden eine Promotion im Bereich Governance und Sozioökonomie natürlicher Ressourcen sowie internationale Erfahrung in Forschung, Beratung, Projektkoordination und Weiterbildung. Schwerpunkte sind die Zusammenarbeit unterschiedlicher Interessengruppen, strukturierte Entscheidungsprozesse und die Übertragung wissenschaftlicher Erkenntnisse in die Praxis.</w:t>
      </w:r>
    </w:p>
    <w:p>
      <w:pPr>
        <w:pStyle w:val="Heading1"/>
      </w:pPr>
      <w:r>
        <w:t>Für die Selbstständigkeit relevante Kompetenzen</w:t>
      </w:r>
    </w:p>
    <w:p>
      <w:pPr>
        <w:pStyle w:val="ListBullet"/>
      </w:pPr>
      <w:r>
        <w:t>Beratung und Auftragsbearbeitung: Erfahrung mit internationalen Beratungsmandaten, Machbarkeitsstudien, Strategieentwicklung und methodischer Unterstützung.</w:t>
      </w:r>
    </w:p>
    <w:p>
      <w:pPr>
        <w:pStyle w:val="ListBullet"/>
      </w:pPr>
      <w:r>
        <w:t>Projekt- und Programmsteuerung: Koordination institutionenübergreifender Vorhaben, Arbeitspakete, Partnernetzwerke und Weiterbildungsangebote; Anwendung agiler Methoden und PRINCE2.</w:t>
      </w:r>
    </w:p>
    <w:p>
      <w:pPr>
        <w:pStyle w:val="ListBullet"/>
      </w:pPr>
      <w:r>
        <w:t>Leistungserbringung: Konzeption und Moderation von Workshops, Stakeholder-Dialogen, Serious Games, Simulationen und praxisorientierten Lernformaten.</w:t>
      </w:r>
    </w:p>
    <w:p>
      <w:pPr>
        <w:pStyle w:val="ListBullet"/>
      </w:pPr>
      <w:r>
        <w:t>Methodenentwicklung: Partizipative und transdisziplinäre Forschung, Living Labs, Entscheidungsunterstützung und Entwicklung anpassbarer Instrumente.</w:t>
      </w:r>
    </w:p>
    <w:p>
      <w:pPr>
        <w:pStyle w:val="Heading1"/>
      </w:pPr>
      <w:r>
        <w:t>Beruflicher Werdegang</w:t>
      </w:r>
    </w:p>
    <w:p>
      <w:pPr>
        <w:pStyle w:val="Heading2"/>
      </w:pPr>
      <w:r>
        <w:t>04/2023–05/2026 | Wissenschaftliche Mitarbeiterin / Programm- und Methodenentwicklung</w:t>
      </w:r>
    </w:p>
    <w:p>
      <w:r>
        <w:t>Kassel Institute for Sustainability, Universität Kassel · Bereich „Cultures of Sustainability“</w:t>
      </w:r>
    </w:p>
    <w:p>
      <w:pPr>
        <w:pStyle w:val="ListBullet"/>
      </w:pPr>
      <w:r>
        <w:t>Konzeption und Koordination internationaler Workshops, Lernangebote und institutionenübergreifender Zusammenarbeit.</w:t>
      </w:r>
    </w:p>
    <w:p>
      <w:pPr>
        <w:pStyle w:val="ListBullet"/>
      </w:pPr>
      <w:r>
        <w:t>Entwicklung und Evaluation von Living-Lab-Methoden, Serious Games und partizipativen Formaten; methodische Abstimmung interdisziplinärer Teams.</w:t>
      </w:r>
    </w:p>
    <w:p>
      <w:pPr>
        <w:pStyle w:val="ListBullet"/>
      </w:pPr>
      <w:r>
        <w:t>Entwicklung von Transformationspfaden, Governance-Ansätzen und Instrumenten zur Entscheidungsunterstützung.</w:t>
      </w:r>
    </w:p>
    <w:p>
      <w:pPr>
        <w:pStyle w:val="Heading2"/>
      </w:pPr>
      <w:r>
        <w:t>2021–2023 | Beratung und Geschäftsentwicklung</w:t>
      </w:r>
    </w:p>
    <w:p>
      <w:r>
        <w:t>Internationale Beratungsmandate · Nachhaltigkeit, Transformation und Lernen</w:t>
      </w:r>
    </w:p>
    <w:p>
      <w:pPr>
        <w:pStyle w:val="ListBullet"/>
      </w:pPr>
      <w:r>
        <w:t>Entwicklung von Nachhaltigkeitsstrategien, Klimaresilienz-Ansätzen und Instrumenten zur Stärkung organisatorischer Handlungsfähigkeit.</w:t>
      </w:r>
    </w:p>
    <w:p>
      <w:pPr>
        <w:pStyle w:val="ListBullet"/>
      </w:pPr>
      <w:r>
        <w:t>Gestaltung interaktiver Trainings, Serious Games und Simulationen; methodische Projektsteuerung mit Agile und PRINCE2.</w:t>
      </w:r>
    </w:p>
    <w:p>
      <w:r>
        <w:br w:type="page"/>
      </w:r>
    </w:p>
    <w:p>
      <w:pPr>
        <w:pStyle w:val="Title"/>
      </w:pPr>
      <w:r>
        <w:t>Beruflicher Werdegang</w:t>
      </w:r>
    </w:p>
    <w:p>
      <w:pPr>
        <w:pStyle w:val="Heading2"/>
      </w:pPr>
      <w:r>
        <w:t>07/2019–06/2021 | Postdoktorale wissenschaftliche Mitarbeiterin</w:t>
      </w:r>
    </w:p>
    <w:p>
      <w:r>
        <w:t>Bonn Alliance for Sustainability Research – Innovation Campus Bonn</w:t>
      </w:r>
    </w:p>
    <w:p>
      <w:pPr>
        <w:pStyle w:val="ListBullet"/>
      </w:pPr>
      <w:r>
        <w:t>Leitung des Projekts Digitainable: Entwicklung eines partizipativen Bewertungsrahmens für Digitalisierung und Nachhaltigkeit.</w:t>
      </w:r>
    </w:p>
    <w:p>
      <w:pPr>
        <w:pStyle w:val="ListBullet"/>
      </w:pPr>
      <w:r>
        <w:t>Durchführung von Stakeholder-Workshops, empirischer Forschung und Weiterbildungsformaten; Betreuung von Master- und Promotionsvorhaben.</w:t>
      </w:r>
    </w:p>
    <w:p>
      <w:pPr>
        <w:pStyle w:val="Heading2"/>
      </w:pPr>
      <w:r>
        <w:t>02/2017–06/2019 | Wissenschaftliche Mitarbeiterin, Projektkoordinatorin und Lehrende</w:t>
      </w:r>
    </w:p>
    <w:p>
      <w:r>
        <w:t>Institut für Technologie und Ressourcenmanagement, TH Köln</w:t>
      </w:r>
    </w:p>
    <w:p>
      <w:pPr>
        <w:pStyle w:val="ListBullet"/>
      </w:pPr>
      <w:r>
        <w:t>Wissenschaftliche Koordination internationaler Forschungs- und Bildungskooperationen, u. a. Nile Research Partnership und 2030AfricaWaterSecure.</w:t>
      </w:r>
    </w:p>
    <w:p>
      <w:pPr>
        <w:pStyle w:val="ListBullet"/>
      </w:pPr>
      <w:r>
        <w:t>Entwicklung von Blended-Learning-Angeboten, Organisation von Veranstaltungen und Weiterbildung zu Governance und Diplomatie.</w:t>
      </w:r>
    </w:p>
    <w:p>
      <w:pPr>
        <w:pStyle w:val="Heading2"/>
      </w:pPr>
      <w:r>
        <w:t>06/2015–11/2015 | Gastwissenschaftlerin</w:t>
      </w:r>
    </w:p>
    <w:p>
      <w:r>
        <w:t>Eastern Nile Technical Regional Office (ENTRO), Addis Abeba, Äthiopien</w:t>
      </w:r>
    </w:p>
    <w:p>
      <w:pPr>
        <w:pStyle w:val="ListBullet"/>
      </w:pPr>
      <w:r>
        <w:t>Feldforschung und Interviews zu grenzüberschreitenden Verhandlungen; Moderation von Stakeholder-Workshops und Mehrparteien-Dialogen.</w:t>
      </w:r>
    </w:p>
    <w:p>
      <w:pPr>
        <w:pStyle w:val="Heading2"/>
      </w:pPr>
      <w:r>
        <w:t>Weitere Berufserfahrung</w:t>
      </w:r>
    </w:p>
    <w:p>
      <w:r>
        <w:t>2012–2013 | Wissenschaftliche Hilfstätigkeit, WEF-Nexus-Forschungsprojekt, ITT / TH Köln: Unterstützung beim Kompetenzaufbau für Nexus-Bewertungsmodelle.</w:t>
      </w:r>
    </w:p>
    <w:p>
      <w:r>
        <w:t>2011–2012 | Wissenschaftliche Hilfstätigkeit / DAAD-Programmassistenz, Landwirtschaftliche Fakultät, Universität Bonn.</w:t>
      </w:r>
    </w:p>
    <w:p>
      <w:r>
        <w:t>2010–2011 | Wissenschaftliche Hilfstätigkeit, Zentrum für Entwicklungsforschung (ZEF), Universität Bonn: Erhebungsdesign, Datenerhebung und -auswertung, Lehre und Partnerkommunikation.</w:t>
      </w:r>
    </w:p>
    <w:p>
      <w:r>
        <w:t>2005–2007 | Projektmitarbeit, Flussbauprojekt, Yekom Consulting Engineers, Teheran: Entwicklung von Ansätzen im Wasser- und erneuerbaren Energiesektor für private und öffentliche Auftraggeber.</w:t>
      </w:r>
    </w:p>
    <w:p>
      <w:pPr>
        <w:pStyle w:val="Heading1"/>
      </w:pPr>
      <w:r>
        <w:t>Ausgewählte Beratungs- und Projektmandate</w:t>
      </w:r>
    </w:p>
    <w:p>
      <w:pPr>
        <w:pStyle w:val="ListBullet"/>
      </w:pPr>
      <w:r>
        <w:t>2025–2026 | ARSINOE / Horizon Europe: Aufbereitung von Klimarisiko- und Resilienzdaten für Start-ups und KMU.</w:t>
      </w:r>
    </w:p>
    <w:p>
      <w:pPr>
        <w:pStyle w:val="ListBullet"/>
      </w:pPr>
      <w:r>
        <w:t>2024–2026 | SPARKLE / EU LIFE: Mitentwicklung lokaler Energieberatungsstrukturen für gewerbliche Gebäudesanierung.</w:t>
      </w:r>
    </w:p>
    <w:p>
      <w:pPr>
        <w:pStyle w:val="ListBullet"/>
      </w:pPr>
      <w:r>
        <w:t>2022 | NIRAS, Tansania: Machbarkeitsstudie zu Resilienzplanung in Ostafrika.</w:t>
      </w:r>
    </w:p>
    <w:p>
      <w:pPr>
        <w:pStyle w:val="ListBullet"/>
      </w:pPr>
      <w:r>
        <w:t>2021–2022 | Global Council for Science and the Environment, USA: Beratung zur Entwicklung eines Instruments für wissensbasierte Entscheidungen im Kontext der Konfliktlösung.</w:t>
      </w:r>
    </w:p>
    <w:p>
      <w:pPr>
        <w:pStyle w:val="ListBullet"/>
      </w:pPr>
      <w:r>
        <w:t>2021 | adelphi, Asien-Pazifik: Beratung zur Mekong Climate Change Adaptation Strategy and Action Plan.</w:t>
      </w:r>
    </w:p>
    <w:p>
      <w:pPr>
        <w:pStyle w:val="ListBullet"/>
      </w:pPr>
      <w:r>
        <w:t>2018–2022 | CNRD / Rockefeller Foundation: Koordination des Vorhabens „Universities as Knowledge Brokers in the Governance of Climate Resilience“.</w:t>
      </w:r>
    </w:p>
    <w:p>
      <w:r>
        <w:br w:type="page"/>
      </w:r>
    </w:p>
    <w:p>
      <w:pPr>
        <w:pStyle w:val="Title"/>
      </w:pPr>
      <w:r>
        <w:t>Qualifikation und Fachprofil</w:t>
      </w:r>
    </w:p>
    <w:p>
      <w:pPr>
        <w:pStyle w:val="Heading1"/>
      </w:pPr>
      <w:r>
        <w:t>Hochschulbildung</w:t>
      </w:r>
    </w:p>
    <w:p>
      <w:pPr>
        <w:pStyle w:val="Heading2"/>
      </w:pPr>
      <w:r>
        <w:t>11/2012–01/2018 | Promotion (Dr. agr.)</w:t>
      </w:r>
    </w:p>
    <w:p>
      <w:r>
        <w:t>Rheinische Friedrich-Wilhelms-Universität Bonn</w:t>
      </w:r>
    </w:p>
    <w:p>
      <w:pPr>
        <w:pStyle w:val="ListBullet"/>
      </w:pPr>
      <w:r>
        <w:t>Governance und Sozioökonomie gemeinschaftlich genutzter natürlicher Ressourcen; Schwerpunkt Diplomatie.</w:t>
      </w:r>
    </w:p>
    <w:p>
      <w:pPr>
        <w:pStyle w:val="Heading2"/>
      </w:pPr>
      <w:r>
        <w:t>04/2009–09/2012 | Master of Science</w:t>
      </w:r>
    </w:p>
    <w:p>
      <w:r>
        <w:t>Rheinische Friedrich-Wilhelms-Universität Bonn</w:t>
      </w:r>
    </w:p>
    <w:p>
      <w:pPr>
        <w:pStyle w:val="ListBullet"/>
      </w:pPr>
      <w:r>
        <w:t>Agricultural Sciences &amp; Sustainable Resource Management.</w:t>
      </w:r>
    </w:p>
    <w:p>
      <w:pPr>
        <w:pStyle w:val="Heading2"/>
      </w:pPr>
      <w:r>
        <w:t>1999–2003 | Bachelor of Science</w:t>
      </w:r>
    </w:p>
    <w:p>
      <w:r>
        <w:t>Universität Teheran, Iran</w:t>
      </w:r>
    </w:p>
    <w:p>
      <w:pPr>
        <w:pStyle w:val="ListBullet"/>
      </w:pPr>
      <w:r>
        <w:t>Agricultural Economics &amp; Development.</w:t>
      </w:r>
    </w:p>
    <w:p>
      <w:pPr>
        <w:pStyle w:val="Heading1"/>
      </w:pPr>
      <w:r>
        <w:t>Ausgewählte Weiterbildungen</w:t>
      </w:r>
    </w:p>
    <w:p>
      <w:pPr>
        <w:pStyle w:val="ListBullet"/>
      </w:pPr>
      <w:r>
        <w:t>2025 | ProProfessor, Mentoring Hessen – Karriereentwicklung und Vorbereitung auf eine Professur.</w:t>
      </w:r>
    </w:p>
    <w:p>
      <w:pPr>
        <w:pStyle w:val="ListBullet"/>
      </w:pPr>
      <w:r>
        <w:t>2022 | New Horizons Worldwide Institute, Frankfurt: EXIN Agile SCRUM Foundation, Product Owner &amp; Mastery.</w:t>
      </w:r>
    </w:p>
    <w:p>
      <w:pPr>
        <w:pStyle w:val="ListBullet"/>
      </w:pPr>
      <w:r>
        <w:t>2021 | Akademie für Internationale Zusammenarbeit, Bonn: Verhaltensänderung, soziale Transformation und Moderationskompetenzen.</w:t>
      </w:r>
    </w:p>
    <w:p>
      <w:pPr>
        <w:pStyle w:val="ListBullet"/>
      </w:pPr>
      <w:r>
        <w:t>2021 | WINGS Professional Studies, UK: International Business Coaching and Strategic Management.</w:t>
      </w:r>
    </w:p>
    <w:p>
      <w:pPr>
        <w:pStyle w:val="ListBullet"/>
      </w:pPr>
      <w:r>
        <w:t>2015 | NADEL, ETH: Evaluation von Entwicklungszusammenarbeit und humanitären Projekten.</w:t>
      </w:r>
    </w:p>
    <w:p>
      <w:pPr>
        <w:pStyle w:val="ListBullet"/>
      </w:pPr>
      <w:r>
        <w:t>2015 und 2016 | Harvard Law School &amp; MIT: Water Diplomacy Workshop.</w:t>
      </w:r>
    </w:p>
    <w:p>
      <w:pPr>
        <w:pStyle w:val="Heading1"/>
      </w:pPr>
      <w:r>
        <w:t>Methoden, Werkzeuge und Sprachen</w:t>
      </w:r>
    </w:p>
    <w:p>
      <w:r>
        <w:t>Methoden: Stakeholder-Beteiligung, Co-Creation, partizipative Forschung, Serious Games, Simulationen, Blended Learning, Systemdenken und Konfliktbearbeitung.</w:t>
      </w:r>
    </w:p>
    <w:p>
      <w:r>
        <w:t>Werkzeuge und Projektmethoden: Agile Scrum, PRINCE2, agentenbasierte Modellierung, GIS, GAMS, SPSS/STATA sowie Lebenszyklusanalyse mit SimaPro. Ein formaler Zertifizierungsnachweis für PRINCE2 ist im Ausgangs-CV nicht gesondert ausgewiesen.</w:t>
      </w:r>
    </w:p>
    <w:p>
      <w:r>
        <w:t>Sprachen: Farsi – Muttersprache; Englisch – beruflich sicher; Deutsch – mittlere Kenntnisse; Arabisch und Türkisch – Grundkenntnisse. Keine Zuordnung zu GER-Niveaus ohne Nachweis.</w:t>
      </w:r>
    </w:p>
    <w:p>
      <w:pPr>
        <w:pStyle w:val="Heading1"/>
      </w:pPr>
      <w:r>
        <w:t>Ausgewählte Veröffentlichungen</w:t>
      </w:r>
    </w:p>
    <w:p>
      <w:r>
        <w:t>Motlagh, M.; Horcea-Milcu, A. I.; König, B. (2025): Discovering the potential of serious games for transformative sustainability research. Discover Sustainability 6, 30. DOI: 10.1007/s43621-024-00756-8.</w:t>
      </w:r>
    </w:p>
    <w:p>
      <w:r>
        <w:t>Gupta, S.; Motlagh, M.; Rhyner, J. (2020): The Digitalization Sustainability Matrix: A Participatory Research Tool for Investigating Digitainability. Sustainability. DOI: 10.3390/su12219283.</w:t>
      </w:r>
    </w:p>
    <w:p>
      <w:pPr>
        <w:pStyle w:val="Heading1"/>
      </w:pPr>
      <w:r>
        <w:t>Vor Einreichung vervollständigen</w:t>
      </w:r>
    </w:p>
    <w:p>
      <w:r>
        <w:t>Platzhalternamen ersetzen und persönliche Kontaktdaten ergänzen. Tätigkeit und Status ab Juni 2026 sowie den geplanten Gründungsbeginn ergänzen; hierzu enthält die Vorlage keine eindeutigen Angaben. Zeiträume und Bezeichnungen mit Zeugnissen und Businessplan abgleichen. Qualifikationsnachweise und Referenzen können separat beigefügt werden.</w:t>
      </w:r>
    </w:p>
    <w:p>
      <w:r>
        <w:t>Ort / Datum: _______________________     Unterschrift: _______________________</w:t>
      </w:r>
    </w:p>
    <w:sectPr w:rsidR="00FC693F" w:rsidRPr="0006063C" w:rsidSect="00034616">
      <w:footerReference w:type="default" r:id="rId9"/>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Maria Muster · Lebenslauf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0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57446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5744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color w:val="5744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 Maria Muster – Gründungszuschuss</dc:title>
  <dc:subject/>
  <dc:creator>Maria Muster (Platzhalter)</dc:creator>
  <cp:keywords/>
  <dc:description>generated by python-docx</dc:description>
  <cp:lastModifiedBy/>
  <cp:revision>1</cp:revision>
  <dcterms:created xsi:type="dcterms:W3CDTF">2013-12-23T23:15:00Z</dcterms:created>
  <dcterms:modified xsi:type="dcterms:W3CDTF">2013-12-23T23:15:00Z</dcterms:modified>
  <cp:category/>
</cp:coreProperties>
</file>