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spacing w:after="100" w:line="252" w:lineRule="auto"/>
      </w:pPr>
      <w:r>
        <w:t>BUSINESSPLAN</w:t>
      </w:r>
    </w:p>
    <w:p>
      <w:pPr>
        <w:pStyle w:val="Titel"/>
        <w:spacing w:after="100" w:line="252" w:lineRule="auto"/>
      </w:pPr>
      <w:r>
        <w:t>Dr. Mahsa Motlagh</w:t>
      </w:r>
    </w:p>
    <w:p>
      <w:pPr>
        <w:pStyle w:val="Untertitel"/>
        <w:spacing w:after="100" w:line="252" w:lineRule="auto"/>
      </w:pPr>
      <w:r>
        <w:t>Research-led Participatory Futures &amp; Transformation Consultancy</w:t>
      </w:r>
    </w:p>
    <w:p>
      <w:pPr>
        <w:spacing w:after="100" w:line="252" w:lineRule="auto"/>
      </w:pPr>
      <w:r>
        <w:t>Forschungsbasierte Beratung für partizipative Zukunftsgestaltung und Transformation</w:t>
      </w:r>
    </w:p>
    <w:p>
      <w:pPr>
        <w:spacing w:after="100" w:line="252" w:lineRule="auto"/>
      </w:pPr>
      <w:r>
        <w:t>Entwurf zur Vorbereitung der Beantragung des Gründungszuschusses</w:t>
      </w:r>
    </w:p>
    <w:p>
      <w:pPr>
        <w:spacing w:after="100" w:line="252" w:lineRule="auto"/>
      </w:pPr>
      <w:r>
        <w:t>Stand: 27. Oktober 2026 · Version 1.0</w:t>
      </w:r>
    </w:p>
    <w:p>
      <w:pPr>
        <w:pStyle w:val="berschrift2"/>
        <w:numPr>
          <w:numId w:val="0"/>
        </w:numPr>
        <w:spacing w:before="200" w:after="100"/>
      </w:pPr>
      <w:r>
        <w:t>Gründungsdaten im Überblick</w:t>
      </w:r>
    </w:p>
    <w:tbl>
      <w:tblPr>
        <w:tblW w:type="auto" w:w="0"/>
        <w:tblLook w:firstColumn="1" w:firstRow="1" w:lastColumn="0" w:lastRow="0" w:noHBand="0" w:noVBand="1" w:val="04A0"/>
      </w:tblPr>
      <w:tblGrid>
        <w:gridCol w:w="4536"/>
        <w:gridCol w:w="4536"/>
      </w:tblGrid>
      <w:tr>
        <w:trPr>
          <w:cantSplit/>
          <w:tblHeader/>
        </w:trPr>
        <w:tc>
          <w:tcPr>
            <w:tcW w:type="dxa" w:w="4536"/>
          </w:tcPr>
          <w:p>
            <w:pPr>
              <w:spacing w:after="40" w:before="40"/>
            </w:pPr>
            <w:r>
              <w:rPr>
                <w:b/>
                <w:sz w:val="18"/>
              </w:rPr>
              <w:t>Angabe</w:t>
            </w:r>
          </w:p>
        </w:tc>
        <w:tc>
          <w:tcPr>
            <w:tcW w:type="dxa" w:w="4536"/>
          </w:tcPr>
          <w:p>
            <w:pPr>
              <w:spacing w:after="40" w:before="40"/>
            </w:pPr>
            <w:r>
              <w:rPr>
                <w:b/>
                <w:sz w:val="18"/>
              </w:rPr>
              <w:t>Stand</w:t>
            </w:r>
          </w:p>
        </w:tc>
      </w:tr>
      <w:tr>
        <w:trPr>
          <w:cantSplit/>
        </w:trPr>
        <w:tc>
          <w:tcPr>
            <w:tcW w:type="dxa" w:w="4536"/>
          </w:tcPr>
          <w:p>
            <w:pPr>
              <w:spacing w:after="40" w:before="40"/>
            </w:pPr>
            <w:r>
              <w:rPr>
                <w:b w:val="0"/>
                <w:sz w:val="18"/>
              </w:rPr>
              <w:t>Gründerin</w:t>
            </w:r>
          </w:p>
        </w:tc>
        <w:tc>
          <w:tcPr>
            <w:tcW w:type="dxa" w:w="4536"/>
          </w:tcPr>
          <w:p>
            <w:pPr>
              <w:spacing w:after="40" w:before="40"/>
            </w:pPr>
            <w:r>
              <w:rPr>
                <w:b w:val="0"/>
                <w:sz w:val="18"/>
              </w:rPr>
              <w:t>Dr. Mahsa Motlagh</w:t>
            </w:r>
          </w:p>
        </w:tc>
      </w:tr>
      <w:tr>
        <w:trPr>
          <w:cantSplit/>
        </w:trPr>
        <w:tc>
          <w:tcPr>
            <w:tcW w:type="dxa" w:w="4536"/>
          </w:tcPr>
          <w:p>
            <w:pPr>
              <w:spacing w:after="40" w:before="40"/>
            </w:pPr>
            <w:r>
              <w:rPr>
                <w:b w:val="0"/>
                <w:sz w:val="18"/>
              </w:rPr>
              <w:t>Geschäftsbezeichnung</w:t>
            </w:r>
          </w:p>
        </w:tc>
        <w:tc>
          <w:tcPr>
            <w:tcW w:type="dxa" w:w="4536"/>
          </w:tcPr>
          <w:p>
            <w:pPr>
              <w:spacing w:after="40" w:before="40"/>
            </w:pPr>
            <w:r>
              <w:rPr>
                <w:b w:val="0"/>
                <w:sz w:val="18"/>
              </w:rPr>
              <w:t>Noch festzulegen; derzeit personenbezogener Beratungsauftritt</w:t>
            </w:r>
          </w:p>
        </w:tc>
      </w:tr>
      <w:tr>
        <w:trPr>
          <w:cantSplit/>
        </w:trPr>
        <w:tc>
          <w:tcPr>
            <w:tcW w:type="dxa" w:w="4536"/>
          </w:tcPr>
          <w:p>
            <w:pPr>
              <w:spacing w:after="40" w:before="40"/>
            </w:pPr>
            <w:r>
              <w:rPr>
                <w:b w:val="0"/>
                <w:sz w:val="18"/>
              </w:rPr>
              <w:t>Gründungsdatum</w:t>
            </w:r>
          </w:p>
        </w:tc>
        <w:tc>
          <w:tcPr>
            <w:tcW w:type="dxa" w:w="4536"/>
          </w:tcPr>
          <w:p>
            <w:pPr>
              <w:spacing w:after="40" w:before="40"/>
            </w:pPr>
            <w:r>
              <w:rPr>
                <w:b w:val="0"/>
                <w:sz w:val="18"/>
              </w:rPr>
              <w:t>09.12.2026 (geplant)</w:t>
            </w:r>
          </w:p>
        </w:tc>
      </w:tr>
      <w:tr>
        <w:trPr>
          <w:cantSplit/>
        </w:trPr>
        <w:tc>
          <w:tcPr>
            <w:tcW w:type="dxa" w:w="4536"/>
          </w:tcPr>
          <w:p>
            <w:pPr>
              <w:spacing w:after="40" w:before="40"/>
            </w:pPr>
            <w:r>
              <w:rPr>
                <w:b w:val="0"/>
                <w:sz w:val="18"/>
              </w:rPr>
              <w:t>Unternehmenssitz / Kontaktdaten</w:t>
            </w:r>
          </w:p>
        </w:tc>
        <w:tc>
          <w:tcPr>
            <w:tcW w:type="dxa" w:w="4536"/>
          </w:tcPr>
          <w:p>
            <w:pPr>
              <w:spacing w:after="40" w:before="40"/>
            </w:pPr>
            <w:r>
              <w:rPr>
                <w:b w:val="0"/>
                <w:sz w:val="18"/>
              </w:rPr>
              <w:t>Stavenhagen; Anschrift, Telefon und E-Mail ergänzen</w:t>
            </w:r>
          </w:p>
        </w:tc>
      </w:tr>
      <w:tr>
        <w:trPr>
          <w:cantSplit/>
        </w:trPr>
        <w:tc>
          <w:tcPr>
            <w:tcW w:type="dxa" w:w="4536"/>
          </w:tcPr>
          <w:p>
            <w:pPr>
              <w:spacing w:after="40" w:before="40"/>
            </w:pPr>
            <w:r>
              <w:rPr>
                <w:b w:val="0"/>
                <w:sz w:val="18"/>
              </w:rPr>
              <w:t>Rechtsform</w:t>
            </w:r>
          </w:p>
        </w:tc>
        <w:tc>
          <w:tcPr>
            <w:tcW w:type="dxa" w:w="4536"/>
          </w:tcPr>
          <w:p>
            <w:pPr>
              <w:spacing w:after="40" w:before="40"/>
            </w:pPr>
            <w:r>
              <w:rPr>
                <w:b w:val="0"/>
                <w:sz w:val="18"/>
              </w:rPr>
              <w:t>Einzelunternehmen, freiberufliche Tätigkeit geplant; steuerliche Einordnung zu klären</w:t>
            </w:r>
          </w:p>
        </w:tc>
      </w:tr>
      <w:tr>
        <w:trPr>
          <w:cantSplit/>
        </w:trPr>
        <w:tc>
          <w:tcPr>
            <w:tcW w:type="dxa" w:w="4536"/>
          </w:tcPr>
          <w:p>
            <w:pPr>
              <w:spacing w:after="40" w:before="40"/>
            </w:pPr>
            <w:r>
              <w:rPr>
                <w:b w:val="0"/>
                <w:sz w:val="18"/>
              </w:rPr>
              <w:t>Planungszeitraum</w:t>
            </w:r>
          </w:p>
        </w:tc>
        <w:tc>
          <w:tcPr>
            <w:tcW w:type="dxa" w:w="4536"/>
          </w:tcPr>
          <w:p>
            <w:pPr>
              <w:spacing w:after="40" w:before="40"/>
            </w:pPr>
            <w:r>
              <w:rPr>
                <w:b w:val="0"/>
                <w:sz w:val="18"/>
              </w:rPr>
              <w:t>Jahr 1: 09.12.2026–08.12.2027; anschließend zwei weitere Betriebsjahre</w:t>
            </w:r>
          </w:p>
        </w:tc>
      </w:tr>
      <w:tr>
        <w:trPr>
          <w:cantSplit/>
        </w:trPr>
        <w:tc>
          <w:tcPr>
            <w:tcW w:type="dxa" w:w="4536"/>
          </w:tcPr>
          <w:p>
            <w:pPr>
              <w:spacing w:after="40" w:before="40"/>
            </w:pPr>
            <w:r>
              <w:rPr>
                <w:b w:val="0"/>
                <w:sz w:val="18"/>
              </w:rPr>
              <w:t>Finanzzahlen</w:t>
            </w:r>
          </w:p>
        </w:tc>
        <w:tc>
          <w:tcPr>
            <w:tcW w:type="dxa" w:w="4536"/>
          </w:tcPr>
          <w:p>
            <w:pPr>
              <w:spacing w:after="40" w:before="40"/>
            </w:pPr>
            <w:r>
              <w:rPr>
                <w:b w:val="0"/>
                <w:sz w:val="18"/>
              </w:rPr>
              <w:t>Beispielszenario, keine bestätigten Ist-Daten oder Aufträge</w:t>
            </w:r>
          </w:p>
        </w:tc>
      </w:tr>
    </w:tbl>
    <w:p>
      <w:pPr>
        <w:spacing w:after="100" w:line="252" w:lineRule="auto"/>
      </w:pPr>
      <w:r>
        <w:t>Die Inhalte beruhen auf dem bereitgestellten CV, den korrigierten CV-Angaben und der Business-Positionierung. Markt- und Finanzannahmen sind als solche gekennzeichnet. Die personenbezogenen Angaben der Mustervorlage wurden nicht übernommen.</w:t>
      </w:r>
    </w:p>
    <w:p>
      <w:pPr>
        <w:pStyle w:val="berschrift1"/>
        <w:pageBreakBefore/>
        <w:numPr>
          <w:numId w:val="0"/>
        </w:numPr>
        <w:spacing w:before="200" w:after="100"/>
      </w:pPr>
      <w:r>
        <w:t>Executive Summary</w:t>
      </w:r>
    </w:p>
    <w:p>
      <w:pPr>
        <w:spacing w:after="100" w:line="252" w:lineRule="auto"/>
      </w:pPr>
      <w:r>
        <w:t>Dr. Mahsa Motlagh plant den Aufbau einer forschungsbasierten Beratung für partizipative Zukunftsgestaltung und Transformation. Sie unterstützt Projekt- und Programmverantwortliche, deren Arbeit von Stakeholder-Zusammenarbeit, zukunftsgerichteten Entscheidungen und der Übersetzung komplexen Wissens in praktisches Handeln abhängt.</w:t>
      </w:r>
    </w:p>
    <w:p>
      <w:pPr>
        <w:spacing w:after="100" w:line="252" w:lineRule="auto"/>
      </w:pPr>
      <w:r>
        <w:t>Die Beratung verbindet drei Leistungen: Futures and Transformation Advisory, Participatory Lab and Experience Delivery sowie Capability Building and Method Transfer. Kunden können abgegrenzte Analyse- und Beratungsprojekte, vollständig organisierte Labs, längerfristige Kompetenzprogramme oder zeitlich begrenzte eingebettete Mandate beauftragen.</w:t>
      </w:r>
    </w:p>
    <w:p>
      <w:pPr>
        <w:spacing w:after="100" w:line="252" w:lineRule="auto"/>
      </w:pPr>
      <w:r>
        <w:t>Die Gründerin bringt eine Promotion in Governance und Sozioökonomie natürlicher Ressourcen sowie Erfahrung in Forschung, internationaler Beratung, partizipativen Methoden, Serious Games, Weiterbildung und Projektkoordination mit. Der Markteintritt konzentriert sich auf Hochschulen, Forschungsverbünde, öffentliche Einrichtungen und NGOs. Unternehmen mit entsprechendem Transformationsbedarf bilden eine ergänzende Zielgruppe.</w:t>
      </w:r>
    </w:p>
    <w:p>
      <w:pPr>
        <w:spacing w:after="100" w:line="252" w:lineRule="auto"/>
      </w:pPr>
      <w:r>
        <w:t>Der Aufbau erfolgt zunächst als personengeführte Beratung ohne angestelltes Personal. Leistungen werden remote, hybrid und vor Ort erbracht. Kooperationen werden projektbezogen eingesetzt. Standardisierte Toolkits, professionelle Trainingsprogramme und lizenzierte Ressourcen sind spätere Entwicklungsoptionen; daraus werden in der Basisplanung keine Umsätze angesetzt.</w:t>
      </w:r>
    </w:p>
    <w:p>
      <w:pPr>
        <w:pStyle w:val="berschrift2"/>
        <w:numPr>
          <w:numId w:val="0"/>
        </w:numPr>
        <w:spacing w:before="200" w:after="100"/>
      </w:pPr>
      <w:r>
        <w:t>Wirtschaftliches Beispielszenario</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Kennzahl, netto</w:t>
            </w:r>
          </w:p>
        </w:tc>
        <w:tc>
          <w:tcPr>
            <w:tcW w:type="dxa" w:w="2268"/>
          </w:tcPr>
          <w:p>
            <w:pPr>
              <w:spacing w:after="40" w:before="40"/>
            </w:pPr>
            <w:r>
              <w:rPr>
                <w:b/>
                <w:sz w:val="18"/>
              </w:rPr>
              <w:t>Betriebsjahr 1</w:t>
            </w:r>
          </w:p>
        </w:tc>
        <w:tc>
          <w:tcPr>
            <w:tcW w:type="dxa" w:w="2268"/>
          </w:tcPr>
          <w:p>
            <w:pPr>
              <w:spacing w:after="40" w:before="40"/>
            </w:pPr>
            <w:r>
              <w:rPr>
                <w:b/>
                <w:sz w:val="18"/>
              </w:rPr>
              <w:t>Betriebsjahr 2</w:t>
            </w:r>
          </w:p>
        </w:tc>
        <w:tc>
          <w:tcPr>
            <w:tcW w:type="dxa" w:w="2268"/>
          </w:tcPr>
          <w:p>
            <w:pPr>
              <w:spacing w:after="40" w:before="40"/>
            </w:pPr>
            <w:r>
              <w:rPr>
                <w:b/>
                <w:sz w:val="18"/>
              </w:rPr>
              <w:t>Betriebsjahr 3</w:t>
            </w:r>
          </w:p>
        </w:tc>
      </w:tr>
      <w:tr>
        <w:trPr>
          <w:cantSplit/>
        </w:trPr>
        <w:tc>
          <w:tcPr>
            <w:tcW w:type="dxa" w:w="2268"/>
          </w:tcPr>
          <w:p>
            <w:pPr>
              <w:spacing w:after="40" w:before="40"/>
            </w:pPr>
            <w:r>
              <w:rPr>
                <w:b w:val="0"/>
                <w:sz w:val="18"/>
              </w:rPr>
              <w:t>Abrechenbare Tage</w:t>
            </w:r>
          </w:p>
        </w:tc>
        <w:tc>
          <w:tcPr>
            <w:tcW w:type="dxa" w:w="2268"/>
          </w:tcPr>
          <w:p>
            <w:pPr>
              <w:spacing w:after="40" w:before="40"/>
            </w:pPr>
            <w:r>
              <w:rPr>
                <w:b w:val="0"/>
                <w:sz w:val="18"/>
              </w:rPr>
              <w:t>66</w:t>
            </w:r>
          </w:p>
        </w:tc>
        <w:tc>
          <w:tcPr>
            <w:tcW w:type="dxa" w:w="2268"/>
          </w:tcPr>
          <w:p>
            <w:pPr>
              <w:spacing w:after="40" w:before="40"/>
            </w:pPr>
            <w:r>
              <w:rPr>
                <w:b w:val="0"/>
                <w:sz w:val="18"/>
              </w:rPr>
              <w:t>90</w:t>
            </w:r>
          </w:p>
        </w:tc>
        <w:tc>
          <w:tcPr>
            <w:tcW w:type="dxa" w:w="2268"/>
          </w:tcPr>
          <w:p>
            <w:pPr>
              <w:spacing w:after="40" w:before="40"/>
            </w:pPr>
            <w:r>
              <w:rPr>
                <w:b w:val="0"/>
                <w:sz w:val="18"/>
              </w:rPr>
              <w:t>108</w:t>
            </w:r>
          </w:p>
        </w:tc>
      </w:tr>
      <w:tr>
        <w:trPr>
          <w:cantSplit/>
        </w:trPr>
        <w:tc>
          <w:tcPr>
            <w:tcW w:type="dxa" w:w="2268"/>
          </w:tcPr>
          <w:p>
            <w:pPr>
              <w:spacing w:after="40" w:before="40"/>
            </w:pPr>
            <w:r>
              <w:rPr>
                <w:b w:val="0"/>
                <w:sz w:val="18"/>
              </w:rPr>
              <w:t>Durchschnittlicher Tagessatz</w:t>
            </w:r>
          </w:p>
        </w:tc>
        <w:tc>
          <w:tcPr>
            <w:tcW w:type="dxa" w:w="2268"/>
          </w:tcPr>
          <w:p>
            <w:pPr>
              <w:spacing w:after="40" w:before="40"/>
            </w:pPr>
            <w:r>
              <w:rPr>
                <w:b w:val="0"/>
                <w:sz w:val="18"/>
              </w:rPr>
              <w:t>900 €</w:t>
            </w:r>
          </w:p>
        </w:tc>
        <w:tc>
          <w:tcPr>
            <w:tcW w:type="dxa" w:w="2268"/>
          </w:tcPr>
          <w:p>
            <w:pPr>
              <w:spacing w:after="40" w:before="40"/>
            </w:pPr>
            <w:r>
              <w:rPr>
                <w:b w:val="0"/>
                <w:sz w:val="18"/>
              </w:rPr>
              <w:t>950 €</w:t>
            </w:r>
          </w:p>
        </w:tc>
        <w:tc>
          <w:tcPr>
            <w:tcW w:type="dxa" w:w="2268"/>
          </w:tcPr>
          <w:p>
            <w:pPr>
              <w:spacing w:after="40" w:before="40"/>
            </w:pPr>
            <w:r>
              <w:rPr>
                <w:b w:val="0"/>
                <w:sz w:val="18"/>
              </w:rPr>
              <w:t>1.000 €</w:t>
            </w:r>
          </w:p>
        </w:tc>
      </w:tr>
      <w:tr>
        <w:trPr>
          <w:cantSplit/>
        </w:trPr>
        <w:tc>
          <w:tcPr>
            <w:tcW w:type="dxa" w:w="2268"/>
          </w:tcPr>
          <w:p>
            <w:pPr>
              <w:spacing w:after="40" w:before="40"/>
            </w:pPr>
            <w:r>
              <w:rPr>
                <w:b w:val="0"/>
                <w:sz w:val="18"/>
              </w:rPr>
              <w:t>Umsatz</w:t>
            </w:r>
          </w:p>
        </w:tc>
        <w:tc>
          <w:tcPr>
            <w:tcW w:type="dxa" w:w="2268"/>
          </w:tcPr>
          <w:p>
            <w:pPr>
              <w:spacing w:after="40" w:before="40"/>
            </w:pPr>
            <w:r>
              <w:rPr>
                <w:b w:val="0"/>
                <w:sz w:val="18"/>
              </w:rPr>
              <w:t>59.400 €</w:t>
            </w:r>
          </w:p>
        </w:tc>
        <w:tc>
          <w:tcPr>
            <w:tcW w:type="dxa" w:w="2268"/>
          </w:tcPr>
          <w:p>
            <w:pPr>
              <w:spacing w:after="40" w:before="40"/>
            </w:pPr>
            <w:r>
              <w:rPr>
                <w:b w:val="0"/>
                <w:sz w:val="18"/>
              </w:rPr>
              <w:t>85.500 €</w:t>
            </w:r>
          </w:p>
        </w:tc>
        <w:tc>
          <w:tcPr>
            <w:tcW w:type="dxa" w:w="2268"/>
          </w:tcPr>
          <w:p>
            <w:pPr>
              <w:spacing w:after="40" w:before="40"/>
            </w:pPr>
            <w:r>
              <w:rPr>
                <w:b w:val="0"/>
                <w:sz w:val="18"/>
              </w:rPr>
              <w:t>108.000 €</w:t>
            </w:r>
          </w:p>
        </w:tc>
      </w:tr>
      <w:tr>
        <w:trPr>
          <w:cantSplit/>
        </w:trPr>
        <w:tc>
          <w:tcPr>
            <w:tcW w:type="dxa" w:w="2268"/>
          </w:tcPr>
          <w:p>
            <w:pPr>
              <w:spacing w:after="40" w:before="40"/>
            </w:pPr>
            <w:r>
              <w:rPr>
                <w:b w:val="0"/>
                <w:sz w:val="18"/>
              </w:rPr>
              <w:t>Betriebliche Aufwendungen</w:t>
            </w:r>
          </w:p>
        </w:tc>
        <w:tc>
          <w:tcPr>
            <w:tcW w:type="dxa" w:w="2268"/>
          </w:tcPr>
          <w:p>
            <w:pPr>
              <w:spacing w:after="40" w:before="40"/>
            </w:pPr>
            <w:r>
              <w:rPr>
                <w:b w:val="0"/>
                <w:sz w:val="18"/>
              </w:rPr>
              <w:t>14.400 €</w:t>
            </w:r>
          </w:p>
        </w:tc>
        <w:tc>
          <w:tcPr>
            <w:tcW w:type="dxa" w:w="2268"/>
          </w:tcPr>
          <w:p>
            <w:pPr>
              <w:spacing w:after="40" w:before="40"/>
            </w:pPr>
            <w:r>
              <w:rPr>
                <w:b w:val="0"/>
                <w:sz w:val="18"/>
              </w:rPr>
              <w:t>18.000 €</w:t>
            </w:r>
          </w:p>
        </w:tc>
        <w:tc>
          <w:tcPr>
            <w:tcW w:type="dxa" w:w="2268"/>
          </w:tcPr>
          <w:p>
            <w:pPr>
              <w:spacing w:after="40" w:before="40"/>
            </w:pPr>
            <w:r>
              <w:rPr>
                <w:b w:val="0"/>
                <w:sz w:val="18"/>
              </w:rPr>
              <w:t>21.600 €</w:t>
            </w:r>
          </w:p>
        </w:tc>
      </w:tr>
      <w:tr>
        <w:trPr>
          <w:cantSplit/>
        </w:trPr>
        <w:tc>
          <w:tcPr>
            <w:tcW w:type="dxa" w:w="2268"/>
          </w:tcPr>
          <w:p>
            <w:pPr>
              <w:spacing w:after="40" w:before="40"/>
            </w:pPr>
            <w:r>
              <w:rPr>
                <w:b w:val="0"/>
                <w:sz w:val="18"/>
              </w:rPr>
              <w:t>Ergebnis vor persönlichen Steuern</w:t>
            </w:r>
          </w:p>
        </w:tc>
        <w:tc>
          <w:tcPr>
            <w:tcW w:type="dxa" w:w="2268"/>
          </w:tcPr>
          <w:p>
            <w:pPr>
              <w:spacing w:after="40" w:before="40"/>
            </w:pPr>
            <w:r>
              <w:rPr>
                <w:b w:val="0"/>
                <w:sz w:val="18"/>
              </w:rPr>
              <w:t>45.000 €</w:t>
            </w:r>
          </w:p>
        </w:tc>
        <w:tc>
          <w:tcPr>
            <w:tcW w:type="dxa" w:w="2268"/>
          </w:tcPr>
          <w:p>
            <w:pPr>
              <w:spacing w:after="40" w:before="40"/>
            </w:pPr>
            <w:r>
              <w:rPr>
                <w:b w:val="0"/>
                <w:sz w:val="18"/>
              </w:rPr>
              <w:t>67.500 €</w:t>
            </w:r>
          </w:p>
        </w:tc>
        <w:tc>
          <w:tcPr>
            <w:tcW w:type="dxa" w:w="2268"/>
          </w:tcPr>
          <w:p>
            <w:pPr>
              <w:spacing w:after="40" w:before="40"/>
            </w:pPr>
            <w:r>
              <w:rPr>
                <w:b w:val="0"/>
                <w:sz w:val="18"/>
              </w:rPr>
              <w:t>86.400 €</w:t>
            </w:r>
          </w:p>
        </w:tc>
      </w:tr>
    </w:tbl>
    <w:p>
      <w:pPr>
        <w:spacing w:after="100" w:line="252" w:lineRule="auto"/>
      </w:pPr>
      <w:r>
        <w:t>Die Zahlen sind ein nachvollziehbares Planungsszenario, keine nachgewiesene Marktnachfrage. Der Gründungszuschuss wird nicht als betrieblicher Umsatz gerechnet und mangels geklärter Anspruchsdaten auch nicht als Liquiditätszufluss angesetzt. Eine Zusage, Eigenmittel und Aufträge liegen für diese Planung nicht als Nachweis vor.</w:t>
      </w:r>
    </w:p>
    <w:p>
      <w:pPr>
        <w:pStyle w:val="berschrift2"/>
        <w:numPr>
          <w:numId w:val="0"/>
        </w:numPr>
        <w:spacing w:before="200" w:after="100"/>
      </w:pPr>
      <w:r>
        <w:t>Voraussetzungen für die Einreichung</w:t>
      </w:r>
    </w:p>
    <w:p>
      <w:pPr>
        <w:spacing w:after="100" w:line="252" w:lineRule="auto"/>
      </w:pPr>
      <w:r>
        <w:t>Geplant sind der Start am 09.12.2026, Sitz in Stavenhagen und ein Einzelunternehmen mit freiberuflicher Tätigkeit. Steuerlichen Status, tatsächliche Eigenmittel, privaten Finanzbedarf und Versicherungen ergänzen. Honorare durch Marktgespräche oder Angebote plausibilisieren und die monatliche Liquiditätsplanung mit realen Zahlungszielen aktualisieren. Eine abschließende Tragfähigkeitsbewertung bleibt der fachkundigen Stelle vorbehalten.</w:t>
      </w:r>
    </w:p>
    <w:p>
      <w:pPr>
        <w:pStyle w:val="berschrift1"/>
        <w:pageBreakBefore/>
        <w:numPr>
          <w:numId w:val="0"/>
        </w:numPr>
        <w:spacing w:before="200" w:after="100"/>
      </w:pPr>
      <w:r>
        <w:t>Dienstleistung</w:t>
      </w:r>
    </w:p>
    <w:p>
      <w:pPr>
        <w:pStyle w:val="berschrift2"/>
        <w:numPr>
          <w:numId w:val="0"/>
        </w:numPr>
        <w:spacing w:before="200" w:after="100"/>
      </w:pPr>
      <w:r>
        <w:t>Angebote</w:t>
      </w:r>
    </w:p>
    <w:p>
      <w:pPr>
        <w:pStyle w:val="berschrift3"/>
        <w:numPr>
          <w:numId w:val="0"/>
        </w:numPr>
        <w:spacing w:before="200" w:after="100"/>
      </w:pPr>
      <w:r>
        <w:t>1. Futures and Transformation Advisory</w:t>
      </w:r>
    </w:p>
    <w:p>
      <w:pPr>
        <w:spacing w:after="100" w:line="252" w:lineRule="auto"/>
      </w:pPr>
      <w:r>
        <w:t>Unabhängige Recherche, Analyse und strategische Beratung für Organisationen, die komplexen Wandel verstehen, ihren Zukunftsraum erweitern und tragfähige Transformationspfade entwickeln wollen. Der Schwerpunkt liegt auf strukturierten Entscheidungsgrundlagen unter Unsicherheit, nicht auf einer Vorhersage einzelner Zukunftsentwicklungen.</w:t>
      </w:r>
    </w:p>
    <w:p>
      <w:pPr>
        <w:spacing w:after="100" w:line="252" w:lineRule="auto"/>
      </w:pPr>
      <w:r>
        <w:t>Mögliche Ergebnisse: klar abgegrenzte Fragestellung, Research Brief, Stakeholder- und Systemanalyse, explorative Szenarien, Optionenbewertung und Transformations-Roadmap. Die konkrete Methodik und der Evidenzumfang werden im Angebot festgelegt. Zukünfteorientierte Formate bauen auf der vorhandenen Erfahrung mit Szenarien, Simulationen, Governance und Systemdenken auf; eine besondere Foresight-Zertifizierung wird nicht behauptet.</w:t>
      </w:r>
    </w:p>
    <w:p>
      <w:pPr>
        <w:pStyle w:val="berschrift3"/>
        <w:numPr>
          <w:numId w:val="0"/>
        </w:numPr>
        <w:spacing w:before="200" w:after="100"/>
      </w:pPr>
      <w:r>
        <w:t>2. Participatory Lab and Experience Delivery</w:t>
      </w:r>
    </w:p>
    <w:p>
      <w:pPr>
        <w:spacing w:after="100" w:line="252" w:lineRule="auto"/>
      </w:pPr>
      <w:r>
        <w:t>Durchgängige Entwicklung, Moderation, Umsetzung und Evaluation von Co-Creation-Prozessen, Co-Visioning-Labs, Zukunftsszenarien, Serious Games, Simulationen und ortsbezogenen Experimenten. Vor- und Nachbereitung sind Teil des Auftrags und werden in die Kalkulation einbezogen.</w:t>
      </w:r>
    </w:p>
    <w:p>
      <w:pPr>
        <w:spacing w:after="100" w:line="252" w:lineRule="auto"/>
      </w:pPr>
      <w:r>
        <w:t>Typischer Ablauf: Auftragsklärung und Beteiligtenanalyse; Prozess- und Formatdesign; Materialien und Einladungskonzept; Durchführung; Auswertung und Ergebnissicherung. Liefergegenstände können ein Lab-Konzept, Spiel- oder Simulationsmaterialien, dokumentierte Ergebnisse, ein Evaluationsbericht und priorisierte nächste Schritte sein.</w:t>
      </w:r>
    </w:p>
    <w:p>
      <w:pPr>
        <w:pStyle w:val="berschrift3"/>
        <w:numPr>
          <w:numId w:val="0"/>
        </w:numPr>
        <w:spacing w:before="200" w:after="100"/>
      </w:pPr>
      <w:r>
        <w:t>3. Capability Building and Method Transfer</w:t>
      </w:r>
    </w:p>
    <w:p>
      <w:pPr>
        <w:spacing w:after="100" w:line="252" w:lineRule="auto"/>
      </w:pPr>
      <w:r>
        <w:t>Maßgeschneiderte Trainings, Toolkits, Entwicklung von Facilitator-Kompetenzen, Coaching und Methodensysteme befähigen Kundenteams, partizipative und zukunftsorientierte Ansätze selbst anzuwenden. Der Transfer wird über Übungen an eigenen Fällen, Pilotanwendungen und Feedback begleitet.</w:t>
      </w:r>
    </w:p>
    <w:p>
      <w:pPr>
        <w:spacing w:after="100" w:line="252" w:lineRule="auto"/>
      </w:pPr>
      <w:r>
        <w:t>Liefergegenstände: Lernkonzept, Trainingsmodule, Moderationsleitfäden, Vorlagen, Methodenkarten und Transfergespräche. Umfang und Nutzungsrechte werden vertraglich vereinbart. Coaching bleibt auf berufliche Rollen, Methoden und Projektkontexte begrenzt.</w:t>
      </w:r>
    </w:p>
    <w:p>
      <w:pPr>
        <w:pStyle w:val="berschrift2"/>
        <w:numPr>
          <w:numId w:val="0"/>
        </w:numPr>
        <w:spacing w:before="200" w:after="100"/>
      </w:pPr>
      <w:r>
        <w:t>Beauftragungsmodelle</w:t>
      </w:r>
    </w:p>
    <w:p>
      <w:pPr>
        <w:spacing w:after="100" w:line="252" w:lineRule="auto"/>
      </w:pPr>
      <w:r>
        <w:t>Fest umrissene Projekte mit Meilensteinen; beauftragte Labs einschließlich Evaluation; mehrteilige Qualifizierungsprogramme; eingebettete Interim-Mandate mit klar begrenztem fachlichem Auftrag. Eine Übernahme von Linienführung wird nur angeboten, wenn sie tatsächlich vereinbart und fachlich gedeckt ist.</w:t>
      </w:r>
    </w:p>
    <w:p>
      <w:pPr>
        <w:pStyle w:val="berschrift1"/>
        <w:pageBreakBefore/>
        <w:numPr>
          <w:numId w:val="0"/>
        </w:numPr>
        <w:spacing w:before="200" w:after="100"/>
      </w:pPr>
      <w:r>
        <w:t>Dienstleistung – Kundennutzen und Positionierung</w:t>
      </w:r>
    </w:p>
    <w:p>
      <w:pPr>
        <w:pStyle w:val="berschrift2"/>
        <w:numPr>
          <w:numId w:val="0"/>
        </w:numPr>
        <w:spacing w:before="200" w:after="100"/>
      </w:pPr>
      <w:r>
        <w:t>Kundennutzen</w:t>
      </w:r>
    </w:p>
    <w:p>
      <w:pPr>
        <w:pStyle w:val="Listenabsatz"/>
        <w:spacing w:after="100" w:line="252" w:lineRule="auto"/>
      </w:pPr>
      <w:r>
        <w:t>Bessere Entscheidungsgrundlagen: Forschung und unterschiedliche Wissensbestände werden in verständliche Optionen und Handlungswege übersetzt.</w:t>
      </w:r>
    </w:p>
    <w:p>
      <w:pPr>
        <w:pStyle w:val="Listenabsatz"/>
        <w:spacing w:after="100" w:line="252" w:lineRule="auto"/>
      </w:pPr>
      <w:r>
        <w:t>Strukturierte Zusammenarbeit: Beteiligungsziele, Rollen und Erwartungen werden geklärt; Zielkonflikte können sichtbar bearbeitet werden.</w:t>
      </w:r>
    </w:p>
    <w:p>
      <w:pPr>
        <w:pStyle w:val="Listenabsatz"/>
        <w:spacing w:after="100" w:line="252" w:lineRule="auto"/>
      </w:pPr>
      <w:r>
        <w:t>Erfahrbares Lernen: Serious Games und Simulationen machen Zusammenhänge, Unsicherheit und Konsequenzen von Entscheidungen diskutierbar.</w:t>
      </w:r>
    </w:p>
    <w:p>
      <w:pPr>
        <w:pStyle w:val="Listenabsatz"/>
        <w:spacing w:after="100" w:line="252" w:lineRule="auto"/>
      </w:pPr>
      <w:r>
        <w:t>Umsetzbarer Transfer: Ergebnisse werden dokumentiert und in Verantwortlichkeiten, Pilotvorhaben und nächste Schritte überführt.</w:t>
      </w:r>
    </w:p>
    <w:p>
      <w:pPr>
        <w:pStyle w:val="Listenabsatz"/>
        <w:spacing w:after="100" w:line="252" w:lineRule="auto"/>
      </w:pPr>
      <w:r>
        <w:t>Interne Handlungsfähigkeit: Teams erhalten Methoden und Materialien, die sie nach dem Mandat weiter nutzen können.</w:t>
      </w:r>
    </w:p>
    <w:p>
      <w:pPr>
        <w:pStyle w:val="berschrift2"/>
        <w:numPr>
          <w:numId w:val="0"/>
        </w:numPr>
        <w:spacing w:before="200" w:after="100"/>
      </w:pPr>
      <w:r>
        <w:t>Zielgruppe</w:t>
      </w:r>
    </w:p>
    <w:p>
      <w:pPr>
        <w:spacing w:after="100" w:line="252" w:lineRule="auto"/>
      </w:pPr>
      <w:r>
        <w:t>Primär: Projekt- und Programmleitungen in Hochschulen, Forschungsverbünden, öffentlichen Einrichtungen und NGOs, die Beteiligung, transdisziplinäre Zusammenarbeit oder Kompetenzentwicklung organisieren. Ergänzend: Unternehmen mit nachhaltigkeitsbezogenen Transformationsvorhaben und hohem Abstimmungsbedarf. Die Auftragsentscheidung kann bei Instituts- und Bereichsleitungen, Konsortialkoordination, Weiterbildung oder Beschaffung liegen.</w:t>
      </w:r>
    </w:p>
    <w:p>
      <w:pPr>
        <w:spacing w:after="100" w:line="252" w:lineRule="auto"/>
      </w:pPr>
      <w:r>
        <w:t>Typische Auslöser sind ein neuer Förderantrag, ein bewilligtes Verbundprojekt, ein Konflikt zwischen Stakeholder-Perspektiven, ein anstehender Strategieprozess oder die Einführung eines neuen Lernformats. Die Beratung priorisiert klar finanzierte Aufgaben mit benannter Auftraggeberseite und realistischem Zugang zu Beteiligten.</w:t>
      </w:r>
    </w:p>
    <w:p>
      <w:pPr>
        <w:pStyle w:val="berschrift2"/>
        <w:numPr>
          <w:numId w:val="0"/>
        </w:numPr>
        <w:spacing w:before="200" w:after="100"/>
      </w:pPr>
      <w:r>
        <w:t>Alleinstellungsmerkmal</w:t>
      </w:r>
    </w:p>
    <w:p>
      <w:pPr>
        <w:spacing w:after="100" w:line="252" w:lineRule="auto"/>
      </w:pPr>
      <w:r>
        <w:t>Die Differenzierung liegt in der Verbindung wissenschaftlicher Methodenkompetenz, internationaler Stakeholder-Erfahrung und praktischer Formatentwicklung. Analyse, gemeinsames Erleben und Methodentransfer werden aus einer Hand angeboten. Dies ist ein Positionierungsansatz; eine rechtlich oder marktweit exklusive Alleinstellung wird nicht behauptet.</w:t>
      </w:r>
    </w:p>
    <w:p>
      <w:pPr>
        <w:pStyle w:val="berschrift2"/>
        <w:numPr>
          <w:numId w:val="0"/>
        </w:numPr>
        <w:spacing w:before="200" w:after="100"/>
      </w:pPr>
      <w:r>
        <w:t>Genehmigungen/Zulassungen</w:t>
      </w:r>
    </w:p>
    <w:p>
      <w:pPr>
        <w:spacing w:after="100" w:line="252" w:lineRule="auto"/>
      </w:pPr>
      <w:r>
        <w:t>Für die geplante allgemeine Beratungs- und Trainingsleistung wird derzeit keine besondere branchenspezifische Zulassung unterstellt. Die konkrete Tätigkeit und die Abgrenzung zu erlaubnispflichtigen Leistungen sind vor Aufnahme zu prüfen. Die steuerliche Einordnung als freiberuflich oder gewerblich ist mit Finanzamt bzw. Steuerberatung zu klären. Rechts-, Steuer- oder psychotherapeutische Beratung ist nicht Gegenstand des Angebots.</w:t>
      </w:r>
    </w:p>
    <w:p>
      <w:pPr>
        <w:pStyle w:val="berschrift1"/>
        <w:pageBreakBefore/>
        <w:numPr>
          <w:numId w:val="0"/>
        </w:numPr>
        <w:spacing w:before="200" w:after="100"/>
      </w:pPr>
      <w:r>
        <w:t>Gründerperson</w:t>
      </w:r>
    </w:p>
    <w:p>
      <w:pPr>
        <w:spacing w:after="100" w:line="252" w:lineRule="auto"/>
      </w:pPr>
      <w:r>
        <w:t>Dr. Mahsa Motlagh verfügt über einen Dr. agr. der Universität Bonn (11/2012–01/2018), einen Masterabschluss in Agricultural Sciences &amp; Sustainable Resource Management (04/2009–09/2012) und einen Bachelorabschluss in Agricultural Economics &amp; Development der Universität Teheran (1999–2003).</w:t>
      </w:r>
    </w:p>
    <w:p>
      <w:pPr>
        <w:pStyle w:val="berschrift2"/>
        <w:numPr>
          <w:numId w:val="0"/>
        </w:numPr>
        <w:spacing w:before="200" w:after="100"/>
      </w:pPr>
      <w:r>
        <w:t>Relevante berufliche Erfahrung</w:t>
      </w:r>
    </w:p>
    <w:tbl>
      <w:tblPr>
        <w:tblW w:type="auto" w:w="0"/>
        <w:tblLook w:firstColumn="1" w:firstRow="1" w:lastColumn="0" w:lastRow="0" w:noHBand="0" w:noVBand="1" w:val="04A0"/>
      </w:tblPr>
      <w:tblGrid>
        <w:gridCol w:w="4536"/>
        <w:gridCol w:w="4536"/>
      </w:tblGrid>
      <w:tr>
        <w:trPr>
          <w:cantSplit/>
          <w:tblHeader/>
        </w:trPr>
        <w:tc>
          <w:tcPr>
            <w:tcW w:type="dxa" w:w="4536"/>
          </w:tcPr>
          <w:p>
            <w:pPr>
              <w:spacing w:after="40" w:before="40"/>
            </w:pPr>
            <w:r>
              <w:rPr>
                <w:b/>
                <w:sz w:val="18"/>
              </w:rPr>
              <w:t>Zeitraum</w:t>
            </w:r>
          </w:p>
        </w:tc>
        <w:tc>
          <w:tcPr>
            <w:tcW w:type="dxa" w:w="4536"/>
          </w:tcPr>
          <w:p>
            <w:pPr>
              <w:spacing w:after="40" w:before="40"/>
            </w:pPr>
            <w:r>
              <w:rPr>
                <w:b/>
                <w:sz w:val="18"/>
              </w:rPr>
              <w:t>Erfahrung und Nutzen für die Gründung</w:t>
            </w:r>
          </w:p>
        </w:tc>
      </w:tr>
      <w:tr>
        <w:trPr>
          <w:cantSplit/>
        </w:trPr>
        <w:tc>
          <w:tcPr>
            <w:tcW w:type="dxa" w:w="4536"/>
          </w:tcPr>
          <w:p>
            <w:pPr>
              <w:spacing w:after="40" w:before="40"/>
            </w:pPr>
            <w:r>
              <w:rPr>
                <w:b w:val="0"/>
                <w:sz w:val="18"/>
              </w:rPr>
              <w:t>04/2023–03/2026</w:t>
            </w:r>
          </w:p>
        </w:tc>
        <w:tc>
          <w:tcPr>
            <w:tcW w:type="dxa" w:w="4536"/>
          </w:tcPr>
          <w:p>
            <w:pPr>
              <w:spacing w:after="40" w:before="40"/>
            </w:pPr>
            <w:r>
              <w:rPr>
                <w:b w:val="0"/>
                <w:sz w:val="18"/>
              </w:rPr>
              <w:t>Universität Kassel, Kassel Institute for Sustainability: Programm- und Methodenentwicklung, Living Labs, Serious Games und interdisziplinäre Zusammenarbeit.</w:t>
            </w:r>
          </w:p>
        </w:tc>
      </w:tr>
      <w:tr>
        <w:trPr>
          <w:cantSplit/>
        </w:trPr>
        <w:tc>
          <w:tcPr>
            <w:tcW w:type="dxa" w:w="4536"/>
          </w:tcPr>
          <w:p>
            <w:pPr>
              <w:spacing w:after="40" w:before="40"/>
            </w:pPr>
            <w:r>
              <w:rPr>
                <w:b w:val="0"/>
                <w:sz w:val="18"/>
              </w:rPr>
              <w:t>07/2021–03/2023</w:t>
            </w:r>
          </w:p>
        </w:tc>
        <w:tc>
          <w:tcPr>
            <w:tcW w:type="dxa" w:w="4536"/>
          </w:tcPr>
          <w:p>
            <w:pPr>
              <w:spacing w:after="40" w:before="40"/>
            </w:pPr>
            <w:r>
              <w:rPr>
                <w:b w:val="0"/>
                <w:sz w:val="18"/>
              </w:rPr>
              <w:t>Internationale Beratung und Geschäftsentwicklung zu Nachhaltigkeit, Transformation und Lernen.</w:t>
            </w:r>
          </w:p>
        </w:tc>
      </w:tr>
      <w:tr>
        <w:trPr>
          <w:cantSplit/>
        </w:trPr>
        <w:tc>
          <w:tcPr>
            <w:tcW w:type="dxa" w:w="4536"/>
          </w:tcPr>
          <w:p>
            <w:pPr>
              <w:spacing w:after="40" w:before="40"/>
            </w:pPr>
            <w:r>
              <w:rPr>
                <w:b w:val="0"/>
                <w:sz w:val="18"/>
              </w:rPr>
              <w:t>07/2019–06/2021</w:t>
            </w:r>
          </w:p>
        </w:tc>
        <w:tc>
          <w:tcPr>
            <w:tcW w:type="dxa" w:w="4536"/>
          </w:tcPr>
          <w:p>
            <w:pPr>
              <w:spacing w:after="40" w:before="40"/>
            </w:pPr>
            <w:r>
              <w:rPr>
                <w:b w:val="0"/>
                <w:sz w:val="18"/>
              </w:rPr>
              <w:t>Bonn Alliance: Digitainable-Projekt, partizipative Bewertungsrahmen, Stakeholder-Workshops und Weiterbildung.</w:t>
            </w:r>
          </w:p>
        </w:tc>
      </w:tr>
      <w:tr>
        <w:trPr>
          <w:cantSplit/>
        </w:trPr>
        <w:tc>
          <w:tcPr>
            <w:tcW w:type="dxa" w:w="4536"/>
          </w:tcPr>
          <w:p>
            <w:pPr>
              <w:spacing w:after="40" w:before="40"/>
            </w:pPr>
            <w:r>
              <w:rPr>
                <w:b w:val="0"/>
                <w:sz w:val="18"/>
              </w:rPr>
              <w:t>02/2017–06/2019</w:t>
            </w:r>
          </w:p>
        </w:tc>
        <w:tc>
          <w:tcPr>
            <w:tcW w:type="dxa" w:w="4536"/>
          </w:tcPr>
          <w:p>
            <w:pPr>
              <w:spacing w:after="40" w:before="40"/>
            </w:pPr>
            <w:r>
              <w:rPr>
                <w:b w:val="0"/>
                <w:sz w:val="18"/>
              </w:rPr>
              <w:t>TH Köln: internationale Forschungskoordination, Blended Learning, Governance und Diplomatie.</w:t>
            </w:r>
          </w:p>
        </w:tc>
      </w:tr>
      <w:tr>
        <w:trPr>
          <w:cantSplit/>
        </w:trPr>
        <w:tc>
          <w:tcPr>
            <w:tcW w:type="dxa" w:w="4536"/>
          </w:tcPr>
          <w:p>
            <w:pPr>
              <w:spacing w:after="40" w:before="40"/>
            </w:pPr>
            <w:r>
              <w:rPr>
                <w:b w:val="0"/>
                <w:sz w:val="18"/>
              </w:rPr>
              <w:t>06/2015–11/2015</w:t>
            </w:r>
          </w:p>
        </w:tc>
        <w:tc>
          <w:tcPr>
            <w:tcW w:type="dxa" w:w="4536"/>
          </w:tcPr>
          <w:p>
            <w:pPr>
              <w:spacing w:after="40" w:before="40"/>
            </w:pPr>
            <w:r>
              <w:rPr>
                <w:b w:val="0"/>
                <w:sz w:val="18"/>
              </w:rPr>
              <w:t>ENTRO, Addis Abeba: Feldforschung, Interviews, Stakeholder-Workshops und Mehrparteien-Dialog.</w:t>
            </w:r>
          </w:p>
        </w:tc>
      </w:tr>
    </w:tbl>
    <w:p>
      <w:pPr>
        <w:spacing w:after="100" w:line="252" w:lineRule="auto"/>
      </w:pPr>
      <w:r>
        <w:t>Ausgewählte Mandate und Netzwerke umfassen NIRAS, den Global Council for Science and the Environment, adelphi, ARSINOE, SPARKLE sowie TransformERS und ITD Alliance. Diese CV-Angaben belegen Erfahrung und Kontakte, jedoch keine aktuellen Kundenverträge, verbindlichen Empfehlungen oder Umsatzgarantien für das neue Unternehmen.</w:t>
      </w:r>
    </w:p>
    <w:p>
      <w:pPr>
        <w:pStyle w:val="berschrift2"/>
        <w:numPr>
          <w:numId w:val="0"/>
        </w:numPr>
        <w:spacing w:before="200" w:after="100"/>
      </w:pPr>
      <w:r>
        <w:t>Fachliche und unternehmerische Eignung</w:t>
      </w:r>
    </w:p>
    <w:p>
      <w:pPr>
        <w:spacing w:after="100" w:line="252" w:lineRule="auto"/>
      </w:pPr>
      <w:r>
        <w:t>Die Kombination aus Beratung, Projektsteuerung, internationaler Zusammenarbeit und Formatentwicklung trägt die geplanten Leistungen. Veröffentlichungen zu Serious Games (2025) und zur Digitalization Sustainability Matrix (2020) belegen die methodische Beschäftigung. Weiterbildungen betreffen u. a. Agile Scrum, Moderation, Coaching, Evaluation und Water Diplomacy; für PRINCE2 wird kein gesonderter Zertifikatsnachweis behauptet.</w:t>
      </w:r>
    </w:p>
    <w:p>
      <w:pPr>
        <w:spacing w:after="100" w:line="252" w:lineRule="auto"/>
      </w:pPr>
      <w:r>
        <w:t>Sprachen laut CV: Farsi als Muttersprache, Englisch beruflich sicher, Deutsch mit mittleren Kenntnissen sowie Arabisch und Türkisch mit Grundkenntnissen. Englischsprachige Mandate bilden einen geeigneten Einstieg; bei sprachlich oder rechtlich anspruchsvollen deutschen Verfahren sind projektbezogene Unterstützung und Qualitätssicherung einzuplanen.</w:t>
      </w:r>
    </w:p>
    <w:p>
      <w:pPr>
        <w:spacing w:after="100" w:line="252" w:lineRule="auto"/>
      </w:pPr>
      <w:r>
        <w:t>Noch zu entwickeln bzw. nachzuweisen sind routinierte Akquise, kaufmännisches Controlling, Vertragsgestaltung und die systematische Preisvalidierung. Hierfür sind feste Arbeitszeiten, Gründungsberatung und steuerliche Unterstützung vorgesehen. Die aktuelle berufliche Situation seit April 2026 und der förderrechtliche Status bleiben zu ergänzen.</w:t>
      </w:r>
    </w:p>
    <w:p>
      <w:pPr>
        <w:pStyle w:val="berschrift1"/>
        <w:pageBreakBefore/>
        <w:numPr>
          <w:numId w:val="0"/>
        </w:numPr>
        <w:spacing w:before="200" w:after="100"/>
      </w:pPr>
      <w:r>
        <w:t>Marktanalyse</w:t>
      </w:r>
    </w:p>
    <w:p>
      <w:pPr>
        <w:pStyle w:val="berschrift2"/>
        <w:numPr>
          <w:numId w:val="0"/>
        </w:numPr>
        <w:spacing w:before="200" w:after="100"/>
      </w:pPr>
      <w:r>
        <w:t>Aktuelle Marktsituation/Trends</w:t>
      </w:r>
    </w:p>
    <w:p>
      <w:pPr>
        <w:spacing w:after="100" w:line="252" w:lineRule="auto"/>
      </w:pPr>
      <w:r>
        <w:t>Die Geschäftsidee adressiert Schnittstellenprobleme zwischen Forschung, Politik, Organisationen und Praxis: komplexe Informationen, unterschiedliche Interessen und Entscheidungen unter Unsicherheit. Bedarf an Beteiligung, Wissenstransfer und organisationalem Lernen ist eine aus der Berufserfahrung abgeleitete Geschäftshypothese. Ein quantitativ belegtes Marktvolumen oder eine bereits gesicherte Nachfrage wird daraus nicht abgeleitet.</w:t>
      </w:r>
    </w:p>
    <w:p>
      <w:pPr>
        <w:spacing w:after="100" w:line="252" w:lineRule="auto"/>
      </w:pPr>
      <w:r>
        <w:t>Forschungs- und öffentlich finanzierte Projekte können geeignete Aufträge bieten, unterliegen aber Budgetfreigaben, Förderbedingungen und Beschaffungsverfahren. Unternehmen können schneller entscheiden, erwarten jedoch einen klaren Nutzen und nachvollziehbare Ergebnisse. Auftragsgrößen und Verkaufszyklen sind kundenspezifisch zu testen.</w:t>
      </w:r>
    </w:p>
    <w:p>
      <w:pPr>
        <w:pStyle w:val="berschrift2"/>
        <w:numPr>
          <w:numId w:val="0"/>
        </w:numPr>
        <w:spacing w:before="200" w:after="100"/>
      </w:pPr>
      <w:r>
        <w:t>Wettbewerbsanalyse</w:t>
      </w:r>
    </w:p>
    <w:tbl>
      <w:tblPr>
        <w:tblW w:type="auto" w:w="0"/>
        <w:tblLook w:firstColumn="1" w:firstRow="1" w:lastColumn="0" w:lastRow="0" w:noHBand="0" w:noVBand="1" w:val="04A0"/>
      </w:tblPr>
      <w:tblGrid>
        <w:gridCol w:w="3024"/>
        <w:gridCol w:w="3024"/>
        <w:gridCol w:w="3024"/>
      </w:tblGrid>
      <w:tr>
        <w:trPr>
          <w:cantSplit/>
          <w:tblHeader/>
        </w:trPr>
        <w:tc>
          <w:tcPr>
            <w:tcW w:type="dxa" w:w="3024"/>
          </w:tcPr>
          <w:p>
            <w:pPr>
              <w:spacing w:after="40" w:before="40"/>
            </w:pPr>
            <w:r>
              <w:rPr>
                <w:b/>
                <w:sz w:val="18"/>
              </w:rPr>
              <w:t>Anbietertyp</w:t>
            </w:r>
          </w:p>
        </w:tc>
        <w:tc>
          <w:tcPr>
            <w:tcW w:type="dxa" w:w="3024"/>
          </w:tcPr>
          <w:p>
            <w:pPr>
              <w:spacing w:after="40" w:before="40"/>
            </w:pPr>
            <w:r>
              <w:rPr>
                <w:b/>
                <w:sz w:val="18"/>
              </w:rPr>
              <w:t>Typischer Schwerpunkt</w:t>
            </w:r>
          </w:p>
        </w:tc>
        <w:tc>
          <w:tcPr>
            <w:tcW w:type="dxa" w:w="3024"/>
          </w:tcPr>
          <w:p>
            <w:pPr>
              <w:spacing w:after="40" w:before="40"/>
            </w:pPr>
            <w:r>
              <w:rPr>
                <w:b/>
                <w:sz w:val="18"/>
              </w:rPr>
              <w:t>Eigener Ansatz</w:t>
            </w:r>
          </w:p>
        </w:tc>
      </w:tr>
      <w:tr>
        <w:trPr>
          <w:cantSplit/>
        </w:trPr>
        <w:tc>
          <w:tcPr>
            <w:tcW w:type="dxa" w:w="3024"/>
          </w:tcPr>
          <w:p>
            <w:pPr>
              <w:spacing w:after="40" w:before="40"/>
            </w:pPr>
            <w:r>
              <w:rPr>
                <w:b w:val="0"/>
                <w:sz w:val="18"/>
              </w:rPr>
              <w:t>Foresight-/Strategieberatungen</w:t>
            </w:r>
          </w:p>
        </w:tc>
        <w:tc>
          <w:tcPr>
            <w:tcW w:type="dxa" w:w="3024"/>
          </w:tcPr>
          <w:p>
            <w:pPr>
              <w:spacing w:after="40" w:before="40"/>
            </w:pPr>
            <w:r>
              <w:rPr>
                <w:b w:val="0"/>
                <w:sz w:val="18"/>
              </w:rPr>
              <w:t>Analyse, Zukunftsbilder, strategische Optionen</w:t>
            </w:r>
          </w:p>
        </w:tc>
        <w:tc>
          <w:tcPr>
            <w:tcW w:type="dxa" w:w="3024"/>
          </w:tcPr>
          <w:p>
            <w:pPr>
              <w:spacing w:after="40" w:before="40"/>
            </w:pPr>
            <w:r>
              <w:rPr>
                <w:b w:val="0"/>
                <w:sz w:val="18"/>
              </w:rPr>
              <w:t>Verbindung mit Beteiligung und praktischen Lernformaten</w:t>
            </w:r>
          </w:p>
        </w:tc>
      </w:tr>
      <w:tr>
        <w:trPr>
          <w:cantSplit/>
        </w:trPr>
        <w:tc>
          <w:tcPr>
            <w:tcW w:type="dxa" w:w="3024"/>
          </w:tcPr>
          <w:p>
            <w:pPr>
              <w:spacing w:after="40" w:before="40"/>
            </w:pPr>
            <w:r>
              <w:rPr>
                <w:b w:val="0"/>
                <w:sz w:val="18"/>
              </w:rPr>
              <w:t>Moderations- und Organisationsberatungen</w:t>
            </w:r>
          </w:p>
        </w:tc>
        <w:tc>
          <w:tcPr>
            <w:tcW w:type="dxa" w:w="3024"/>
          </w:tcPr>
          <w:p>
            <w:pPr>
              <w:spacing w:after="40" w:before="40"/>
            </w:pPr>
            <w:r>
              <w:rPr>
                <w:b w:val="0"/>
                <w:sz w:val="18"/>
              </w:rPr>
              <w:t>Gruppenprozesse, Veränderungsbegleitung</w:t>
            </w:r>
          </w:p>
        </w:tc>
        <w:tc>
          <w:tcPr>
            <w:tcW w:type="dxa" w:w="3024"/>
          </w:tcPr>
          <w:p>
            <w:pPr>
              <w:spacing w:after="40" w:before="40"/>
            </w:pPr>
            <w:r>
              <w:rPr>
                <w:b w:val="0"/>
                <w:sz w:val="18"/>
              </w:rPr>
              <w:t>Forschungsbasierte Methoden und komplexe Wissensintegration</w:t>
            </w:r>
          </w:p>
        </w:tc>
      </w:tr>
      <w:tr>
        <w:trPr>
          <w:cantSplit/>
        </w:trPr>
        <w:tc>
          <w:tcPr>
            <w:tcW w:type="dxa" w:w="3024"/>
          </w:tcPr>
          <w:p>
            <w:pPr>
              <w:spacing w:after="40" w:before="40"/>
            </w:pPr>
            <w:r>
              <w:rPr>
                <w:b w:val="0"/>
                <w:sz w:val="18"/>
              </w:rPr>
              <w:t>Serious-Game-/Trainingsanbieter</w:t>
            </w:r>
          </w:p>
        </w:tc>
        <w:tc>
          <w:tcPr>
            <w:tcW w:type="dxa" w:w="3024"/>
          </w:tcPr>
          <w:p>
            <w:pPr>
              <w:spacing w:after="40" w:before="40"/>
            </w:pPr>
            <w:r>
              <w:rPr>
                <w:b w:val="0"/>
                <w:sz w:val="18"/>
              </w:rPr>
              <w:t>Lernprodukte und Durchführung</w:t>
            </w:r>
          </w:p>
        </w:tc>
        <w:tc>
          <w:tcPr>
            <w:tcW w:type="dxa" w:w="3024"/>
          </w:tcPr>
          <w:p>
            <w:pPr>
              <w:spacing w:after="40" w:before="40"/>
            </w:pPr>
            <w:r>
              <w:rPr>
                <w:b w:val="0"/>
                <w:sz w:val="18"/>
              </w:rPr>
              <w:t>Individuelles Prozessdesign plus Evaluation und Transfer</w:t>
            </w:r>
          </w:p>
        </w:tc>
      </w:tr>
      <w:tr>
        <w:trPr>
          <w:cantSplit/>
        </w:trPr>
        <w:tc>
          <w:tcPr>
            <w:tcW w:type="dxa" w:w="3024"/>
          </w:tcPr>
          <w:p>
            <w:pPr>
              <w:spacing w:after="40" w:before="40"/>
            </w:pPr>
            <w:r>
              <w:rPr>
                <w:b w:val="0"/>
                <w:sz w:val="18"/>
              </w:rPr>
              <w:t>Forschungsinstitute / Hochschulen</w:t>
            </w:r>
          </w:p>
        </w:tc>
        <w:tc>
          <w:tcPr>
            <w:tcW w:type="dxa" w:w="3024"/>
          </w:tcPr>
          <w:p>
            <w:pPr>
              <w:spacing w:after="40" w:before="40"/>
            </w:pPr>
            <w:r>
              <w:rPr>
                <w:b w:val="0"/>
                <w:sz w:val="18"/>
              </w:rPr>
              <w:t>Fachforschung und projektbezogene Beteiligung</w:t>
            </w:r>
          </w:p>
        </w:tc>
        <w:tc>
          <w:tcPr>
            <w:tcW w:type="dxa" w:w="3024"/>
          </w:tcPr>
          <w:p>
            <w:pPr>
              <w:spacing w:after="40" w:before="40"/>
            </w:pPr>
            <w:r>
              <w:rPr>
                <w:b w:val="0"/>
                <w:sz w:val="18"/>
              </w:rPr>
              <w:t>Extern beauftragbare, abgegrenzte Unterstützungsleistung</w:t>
            </w:r>
          </w:p>
        </w:tc>
      </w:tr>
    </w:tbl>
    <w:p>
      <w:pPr>
        <w:spacing w:after="100" w:line="252" w:lineRule="auto"/>
      </w:pPr>
      <w:r>
        <w:t>Die Übersicht ist eine qualitative Segmentierung, keine Erhebung einzelner Wettbewerber. Vergleichbare Anbieter, Honorare, Leistungsumfänge und Beschaffungswege sind vor Einreichung anhand konkreter Angebote oder dokumentierter Gespräche zu ergänzen. Eine pauschale Überlegenheit gegenüber anderen Anbietern wird nicht unterstellt.</w:t>
      </w:r>
    </w:p>
    <w:p>
      <w:pPr>
        <w:pStyle w:val="berschrift2"/>
        <w:numPr>
          <w:numId w:val="0"/>
        </w:numPr>
        <w:spacing w:before="200" w:after="100"/>
      </w:pPr>
      <w:r>
        <w:t>Zielgruppenanalyse und eigenes Marktpotenzial</w:t>
      </w:r>
    </w:p>
    <w:p>
      <w:pPr>
        <w:spacing w:after="100" w:line="252" w:lineRule="auto"/>
      </w:pPr>
      <w:r>
        <w:t>Für den Einstieg werden drei priorisierte Segmente bearbeitet: Forschungsverbünde mit Beteiligungsaufgaben; öffentliche und gemeinnützige Programmträger mit Transformationsfragen; Organisationen mit Bedarf an Methoden- und Facilitator-Entwicklung. Ein kleiner adressierbarer Kundenkreis mit konkretem Budget ist für die Einzelberatung wichtiger als eine unbelegte Gesamtmarktzahl.</w:t>
      </w:r>
    </w:p>
    <w:p>
      <w:pPr>
        <w:spacing w:after="100" w:line="252" w:lineRule="auto"/>
      </w:pPr>
      <w:r>
        <w:t>Validierungsplan: zunächst zehn strukturierte Bedarfsgespräche und drei schriftliche Angebots- oder Pilotkonzepte. Zu prüfen sind Budget, Entscheidungsrolle, Beschaffungsdauer, tatsächliches Problem und Zahlungsbereitschaft. Diese Aktivitäten sind Zielwerte, nicht bereits erfolgte Gespräche. Das Finanzszenario setzt später 66 abrechenbare Tage im ersten Betriebsjahr voraus; deren Erreichbarkeit muss durch die Vertriebspipeline bestätigt werden.</w:t>
      </w:r>
    </w:p>
    <w:p>
      <w:pPr>
        <w:pStyle w:val="berschrift1"/>
        <w:pageBreakBefore/>
        <w:numPr>
          <w:numId w:val="0"/>
        </w:numPr>
        <w:spacing w:before="200" w:after="100"/>
      </w:pPr>
      <w:r>
        <w:t>Marketing</w:t>
      </w:r>
    </w:p>
    <w:p>
      <w:pPr>
        <w:pStyle w:val="berschrift2"/>
        <w:numPr>
          <w:numId w:val="0"/>
        </w:numPr>
        <w:spacing w:before="200" w:after="100"/>
      </w:pPr>
      <w:r>
        <w:t>Produktpolitik</w:t>
      </w:r>
    </w:p>
    <w:p>
      <w:pPr>
        <w:spacing w:after="100" w:line="252" w:lineRule="auto"/>
      </w:pPr>
      <w:r>
        <w:t>Die drei Leistungsbereiche werden als klar beschriebene Module angeboten. Ein begrenzter Diagnoseauftrag kann in ein Lab und anschließend in ein Transferprogramm münden. Jedes Angebot benennt Ausgangsfrage, Ergebnisse, Mitwirkungspflichten, Termine, Evaluationskriterien und Nutzungsrechte. Standardisierung erfolgt erst nach wiederholter Anwendung; Lizenzumsätze sind nicht Bestandteil des Basisszenarios.</w:t>
      </w:r>
    </w:p>
    <w:p>
      <w:pPr>
        <w:pStyle w:val="berschrift2"/>
        <w:numPr>
          <w:numId w:val="0"/>
        </w:numPr>
        <w:spacing w:before="200" w:after="100"/>
      </w:pPr>
      <w:r>
        <w:t>Preispolitik</w:t>
      </w:r>
    </w:p>
    <w:p>
      <w:pPr>
        <w:spacing w:after="100" w:line="252" w:lineRule="auto"/>
      </w:pPr>
      <w:r>
        <w:t>Für Betriebsjahr 1 wird beispielhaft mit 900 € netto je abrechenbarem Arbeitstag kalkuliert. Der Tagessatz ist eine zu validierende Kalkulationsannahme, keine Aussage zu erhobenen Marktpreisen. Er deckt auch nicht fakturierbare Akquise- und Verwaltungszeiten ab. Bei Festpreisen werden Vorbereitung, Durchführung, Auswertung und Risikopuffer transparent kalkuliert.</w:t>
      </w:r>
    </w:p>
    <w:tbl>
      <w:tblPr>
        <w:tblW w:type="auto" w:w="0"/>
        <w:tblLook w:firstColumn="1" w:firstRow="1" w:lastColumn="0" w:lastRow="0" w:noHBand="0" w:noVBand="1" w:val="04A0"/>
      </w:tblPr>
      <w:tblGrid>
        <w:gridCol w:w="3024"/>
        <w:gridCol w:w="3024"/>
        <w:gridCol w:w="3024"/>
      </w:tblGrid>
      <w:tr>
        <w:trPr>
          <w:cantSplit/>
          <w:tblHeader/>
        </w:trPr>
        <w:tc>
          <w:tcPr>
            <w:tcW w:type="dxa" w:w="3024"/>
          </w:tcPr>
          <w:p>
            <w:pPr>
              <w:spacing w:after="40" w:before="40"/>
            </w:pPr>
            <w:r>
              <w:rPr>
                <w:b/>
                <w:sz w:val="18"/>
              </w:rPr>
              <w:t>Illustrative Leistung</w:t>
            </w:r>
          </w:p>
        </w:tc>
        <w:tc>
          <w:tcPr>
            <w:tcW w:type="dxa" w:w="3024"/>
          </w:tcPr>
          <w:p>
            <w:pPr>
              <w:spacing w:after="40" w:before="40"/>
            </w:pPr>
            <w:r>
              <w:rPr>
                <w:b/>
                <w:sz w:val="18"/>
              </w:rPr>
              <w:t>Leistungsaufwand</w:t>
            </w:r>
          </w:p>
        </w:tc>
        <w:tc>
          <w:tcPr>
            <w:tcW w:type="dxa" w:w="3024"/>
          </w:tcPr>
          <w:p>
            <w:pPr>
              <w:spacing w:after="40" w:before="40"/>
            </w:pPr>
            <w:r>
              <w:rPr>
                <w:b/>
                <w:sz w:val="18"/>
              </w:rPr>
              <w:t>Planpreis netto</w:t>
            </w:r>
          </w:p>
        </w:tc>
      </w:tr>
      <w:tr>
        <w:trPr>
          <w:cantSplit/>
        </w:trPr>
        <w:tc>
          <w:tcPr>
            <w:tcW w:type="dxa" w:w="3024"/>
          </w:tcPr>
          <w:p>
            <w:pPr>
              <w:spacing w:after="40" w:before="40"/>
            </w:pPr>
            <w:r>
              <w:rPr>
                <w:b w:val="0"/>
                <w:sz w:val="18"/>
              </w:rPr>
              <w:t>Analyse-/Advisory-Sprint</w:t>
            </w:r>
          </w:p>
        </w:tc>
        <w:tc>
          <w:tcPr>
            <w:tcW w:type="dxa" w:w="3024"/>
          </w:tcPr>
          <w:p>
            <w:pPr>
              <w:spacing w:after="40" w:before="40"/>
            </w:pPr>
            <w:r>
              <w:rPr>
                <w:b w:val="0"/>
                <w:sz w:val="18"/>
              </w:rPr>
              <w:t>5 Tage</w:t>
            </w:r>
          </w:p>
        </w:tc>
        <w:tc>
          <w:tcPr>
            <w:tcW w:type="dxa" w:w="3024"/>
          </w:tcPr>
          <w:p>
            <w:pPr>
              <w:spacing w:after="40" w:before="40"/>
            </w:pPr>
            <w:r>
              <w:rPr>
                <w:b w:val="0"/>
                <w:sz w:val="18"/>
              </w:rPr>
              <w:t>4.500 €</w:t>
            </w:r>
          </w:p>
        </w:tc>
      </w:tr>
      <w:tr>
        <w:trPr>
          <w:cantSplit/>
        </w:trPr>
        <w:tc>
          <w:tcPr>
            <w:tcW w:type="dxa" w:w="3024"/>
          </w:tcPr>
          <w:p>
            <w:pPr>
              <w:spacing w:after="40" w:before="40"/>
            </w:pPr>
            <w:r>
              <w:rPr>
                <w:b w:val="0"/>
                <w:sz w:val="18"/>
              </w:rPr>
              <w:t>Individuelles Lab inkl. Vor-/Nachbereitung</w:t>
            </w:r>
          </w:p>
        </w:tc>
        <w:tc>
          <w:tcPr>
            <w:tcW w:type="dxa" w:w="3024"/>
          </w:tcPr>
          <w:p>
            <w:pPr>
              <w:spacing w:after="40" w:before="40"/>
            </w:pPr>
            <w:r>
              <w:rPr>
                <w:b w:val="0"/>
                <w:sz w:val="18"/>
              </w:rPr>
              <w:t>8 Tage</w:t>
            </w:r>
          </w:p>
        </w:tc>
        <w:tc>
          <w:tcPr>
            <w:tcW w:type="dxa" w:w="3024"/>
          </w:tcPr>
          <w:p>
            <w:pPr>
              <w:spacing w:after="40" w:before="40"/>
            </w:pPr>
            <w:r>
              <w:rPr>
                <w:b w:val="0"/>
                <w:sz w:val="18"/>
              </w:rPr>
              <w:t>7.200 €</w:t>
            </w:r>
          </w:p>
        </w:tc>
      </w:tr>
      <w:tr>
        <w:trPr>
          <w:cantSplit/>
        </w:trPr>
        <w:tc>
          <w:tcPr>
            <w:tcW w:type="dxa" w:w="3024"/>
          </w:tcPr>
          <w:p>
            <w:pPr>
              <w:spacing w:after="40" w:before="40"/>
            </w:pPr>
            <w:r>
              <w:rPr>
                <w:b w:val="0"/>
                <w:sz w:val="18"/>
              </w:rPr>
              <w:t>Trainings- und Transferprogramm</w:t>
            </w:r>
          </w:p>
        </w:tc>
        <w:tc>
          <w:tcPr>
            <w:tcW w:type="dxa" w:w="3024"/>
          </w:tcPr>
          <w:p>
            <w:pPr>
              <w:spacing w:after="40" w:before="40"/>
            </w:pPr>
            <w:r>
              <w:rPr>
                <w:b w:val="0"/>
                <w:sz w:val="18"/>
              </w:rPr>
              <w:t>10 Tage</w:t>
            </w:r>
          </w:p>
        </w:tc>
        <w:tc>
          <w:tcPr>
            <w:tcW w:type="dxa" w:w="3024"/>
          </w:tcPr>
          <w:p>
            <w:pPr>
              <w:spacing w:after="40" w:before="40"/>
            </w:pPr>
            <w:r>
              <w:rPr>
                <w:b w:val="0"/>
                <w:sz w:val="18"/>
              </w:rPr>
              <w:t>9.000 €</w:t>
            </w:r>
          </w:p>
        </w:tc>
      </w:tr>
      <w:tr>
        <w:trPr>
          <w:cantSplit/>
        </w:trPr>
        <w:tc>
          <w:tcPr>
            <w:tcW w:type="dxa" w:w="3024"/>
          </w:tcPr>
          <w:p>
            <w:pPr>
              <w:spacing w:after="40" w:before="40"/>
            </w:pPr>
            <w:r>
              <w:rPr>
                <w:b w:val="0"/>
                <w:sz w:val="18"/>
              </w:rPr>
              <w:t>Eingebettetes Fachmandat</w:t>
            </w:r>
          </w:p>
        </w:tc>
        <w:tc>
          <w:tcPr>
            <w:tcW w:type="dxa" w:w="3024"/>
          </w:tcPr>
          <w:p>
            <w:pPr>
              <w:spacing w:after="40" w:before="40"/>
            </w:pPr>
            <w:r>
              <w:rPr>
                <w:b w:val="0"/>
                <w:sz w:val="18"/>
              </w:rPr>
              <w:t>Nach vereinbarten Tagen</w:t>
            </w:r>
          </w:p>
        </w:tc>
        <w:tc>
          <w:tcPr>
            <w:tcW w:type="dxa" w:w="3024"/>
          </w:tcPr>
          <w:p>
            <w:pPr>
              <w:spacing w:after="40" w:before="40"/>
            </w:pPr>
            <w:r>
              <w:rPr>
                <w:b w:val="0"/>
                <w:sz w:val="18"/>
              </w:rPr>
              <w:t>900 € je Tag</w:t>
            </w:r>
          </w:p>
        </w:tc>
      </w:tr>
    </w:tbl>
    <w:p>
      <w:pPr>
        <w:spacing w:after="100" w:line="252" w:lineRule="auto"/>
      </w:pPr>
      <w:r>
        <w:t>Reise, Räume, Catering, externe Co-Facilitation und besondere Materialkosten werden gesondert vereinbart. Durchgereichte Kundenkosten sind im Umsatzbeispiel nicht enthalten. Bei zusätzlichen betrieblich getragenen Kosten ist die Projektmarge neu zu kalkulieren. Umsatzsteuer wird entsprechend dem tatsächlichen steuerlichen Status behandelt; alle Planpreise sind netto.</w:t>
      </w:r>
    </w:p>
    <w:p>
      <w:pPr>
        <w:pStyle w:val="berschrift2"/>
        <w:numPr>
          <w:numId w:val="0"/>
        </w:numPr>
        <w:spacing w:before="200" w:after="100"/>
      </w:pPr>
      <w:r>
        <w:t>Kommunikations- und Vertriebspolitik</w:t>
      </w:r>
    </w:p>
    <w:p>
      <w:pPr>
        <w:spacing w:after="100" w:line="252" w:lineRule="auto"/>
      </w:pPr>
      <w:r>
        <w:t>Der Einstieg erfolgt über fachliche Kontakte aus bisherigen Projekten, gezielte persönliche Ansprache, Empfehlungen und eine professionelle Online-Präsenz. Beispiele für Methoden und Ergebnisse werden nur mit erforderlicher Freigabe veröffentlicht. Fallstudien dürfen keine bestehenden Kundenbeziehungen oder Referenzfreigaben suggerieren, die nicht vorliegen.</w:t>
      </w:r>
    </w:p>
    <w:p>
      <w:pPr>
        <w:spacing w:after="100" w:line="252" w:lineRule="auto"/>
      </w:pPr>
      <w:r>
        <w:t>Vertriebsablauf: Bedarfsgespräch → Qualifizierung von Budget und Entscheidung → abgegrenztes Angebot → schriftliche Beauftragung → Leistung und Evaluation → Transfer- oder Folgeangebot. Für längere Projekte sind Abschläge bzw. Meilensteinrechnungen anzustreben; sie gelten erst mit entsprechender Vertragsvereinbarung.</w:t>
      </w:r>
    </w:p>
    <w:p>
      <w:pPr>
        <w:spacing w:after="100" w:line="252" w:lineRule="auto"/>
      </w:pPr>
      <w:r>
        <w:t>Monatliche Steuerungsgrößen sind qualifizierte Kontakte, Angebote, Abschlussquote, vereinbarter Auftragsbestand, abrechenbare Tage und tatsächlich eingegangene Zahlungen. Planungsziel für die Anlaufphase: vier qualifizierte Gespräche und zwei Angebote pro Monat. Ein einzelner Kunde soll mittelfristig möglichst nicht mehr als 40 % des Umsatzes ausmachen; das ist eine Risikozielgröße, kein aktueller Ist-Wert.</w:t>
      </w:r>
    </w:p>
    <w:p>
      <w:pPr>
        <w:pStyle w:val="berschrift1"/>
        <w:pageBreakBefore/>
        <w:numPr>
          <w:numId w:val="0"/>
        </w:numPr>
        <w:spacing w:before="200" w:after="100"/>
      </w:pPr>
      <w:r>
        <w:t>Unternehmen und Organisation</w:t>
      </w:r>
    </w:p>
    <w:p>
      <w:pPr>
        <w:pStyle w:val="berschrift2"/>
        <w:numPr>
          <w:numId w:val="0"/>
        </w:numPr>
        <w:spacing w:before="200" w:after="100"/>
      </w:pPr>
      <w:r>
        <w:t>Rechtsform und Eigentumsverhältnisse</w:t>
      </w:r>
    </w:p>
    <w:p>
      <w:pPr>
        <w:spacing w:after="100" w:line="252" w:lineRule="auto"/>
      </w:pPr>
      <w:r>
        <w:t>Geplant ist ein Einzelunternehmen im vollständigen Eigentum von Dr. Mahsa Motlagh, mit Aufnahme einer freiberuflichen Tätigkeit am 09.12.2026. Die Einordnung als freiberufliche wissenschaftliche, beratende oder unterrichtende Tätigkeit ist noch nicht bestätigt. Soweit gewerbliche Leistungen überwiegen oder hinzukommen, sind Anmeldung und steuerliche Folgen zu prüfen. Eine bestehende hauptberufliche Selbstständigkeit oder ein bereits vollzogener Unternehmensstart werden nicht unterstellt.</w:t>
      </w:r>
    </w:p>
    <w:p>
      <w:pPr>
        <w:pStyle w:val="berschrift2"/>
        <w:numPr>
          <w:numId w:val="0"/>
        </w:numPr>
        <w:spacing w:before="200" w:after="100"/>
      </w:pPr>
      <w:r>
        <w:t>Organisation</w:t>
      </w:r>
    </w:p>
    <w:p>
      <w:pPr>
        <w:spacing w:after="100" w:line="252" w:lineRule="auto"/>
      </w:pPr>
      <w:r>
        <w:t>Die Gründerin verantwortet Auftragsklärung, Methodik, Durchführung, Qualitätssicherung und Kundenbetreuung. Buchhaltung und steuerliche Fragen werden bei Bedarf extern unterstützt. Eine einfache Projekt- und Finanzübersicht erfasst Kapazitäten, Verpflichtungen, Angebote, Rechnungen und Zahlungseingänge.</w:t>
      </w:r>
    </w:p>
    <w:p>
      <w:pPr>
        <w:spacing w:after="100" w:line="252" w:lineRule="auto"/>
      </w:pPr>
      <w:r>
        <w:t>Für die Kapazitätsplanung werden 200 verfügbare Arbeitstage pro Betriebsjahr angenommen. Davon sind im ersten Jahr 66 Tage abrechenbar (33 %). Die übrige Zeit entfällt auf Akquise, Angebotsentwicklung, Administration, Weiterbildung, Netzwerkpflege und Reserven. Die Tagesmenge der Angebote umfasst sämtliche vereinbarten abrechenbaren Vor- und Nachbereitungstage; diese werden nicht doppelt gezählt.</w:t>
      </w:r>
    </w:p>
    <w:p>
      <w:pPr>
        <w:pStyle w:val="berschrift2"/>
        <w:numPr>
          <w:numId w:val="0"/>
        </w:numPr>
        <w:spacing w:before="200" w:after="100"/>
      </w:pPr>
      <w:r>
        <w:t>Personal</w:t>
      </w:r>
    </w:p>
    <w:p>
      <w:pPr>
        <w:spacing w:after="100" w:line="252" w:lineRule="auto"/>
      </w:pPr>
      <w:r>
        <w:t>In den ersten drei Jahren ist kein angestelltes Personal im Basisszenario enthalten. Bei größeren Labs können selbstständige Kooperationspartner hinzugezogen werden. Deren Kosten sind vor Angebotserstellung zu kalkulieren und mit den Auftraggebern zu vereinbaren. Eine dauerhafte Kapazitätserweiterung erfolgt erst bei gesichertem Auftragsbestand.</w:t>
      </w:r>
    </w:p>
    <w:p>
      <w:pPr>
        <w:pStyle w:val="berschrift2"/>
        <w:numPr>
          <w:numId w:val="0"/>
        </w:numPr>
        <w:spacing w:before="200" w:after="100"/>
      </w:pPr>
      <w:r>
        <w:t>Standort</w:t>
      </w:r>
    </w:p>
    <w:p>
      <w:pPr>
        <w:spacing w:after="100" w:line="252" w:lineRule="auto"/>
      </w:pPr>
      <w:r>
        <w:t>Unternehmenssitz ist Stavenhagen; die genaue Geschäftsanschrift ist noch zu ergänzen. Geplant ist ein kostenschlanker digitaler Betrieb, nach Möglichkeit mit vorhandener Arbeitsinfrastruktur und ohne langfristige externe Büroanmietung. Der zulässige Nutzungsumfang ist standortabhängig zu prüfen. Termine finden remote oder in geeigneten Kunden- bzw. Veranstaltungsräumen statt.</w:t>
      </w:r>
    </w:p>
    <w:p>
      <w:pPr>
        <w:pStyle w:val="berschrift2"/>
        <w:numPr>
          <w:numId w:val="0"/>
        </w:numPr>
        <w:spacing w:before="200" w:after="100"/>
      </w:pPr>
      <w:r>
        <w:t>Verträge, Datenschutz und Qualität</w:t>
      </w:r>
    </w:p>
    <w:p>
      <w:pPr>
        <w:spacing w:after="100" w:line="252" w:lineRule="auto"/>
      </w:pPr>
      <w:r>
        <w:t>Verträge regeln Umfang, Abnahme, Honorar, Zahlungsziel, Stornierung, Vertraulichkeit, Haftung und Rechte an Materialien. Hintergrundmethoden und kundenspezifische Arbeitsergebnisse werden unterschieden. Bei eingebetteten Mandaten sind die tatsächliche selbstständige Ausgestaltung und eine mögliche Statusklärung zu beachten.</w:t>
      </w:r>
    </w:p>
    <w:p>
      <w:pPr>
        <w:spacing w:after="100" w:line="252" w:lineRule="auto"/>
      </w:pPr>
      <w:r>
        <w:t>Personenbezogene Forschungs-, Workshop- und Teilnehmerdaten werden zweckgebunden verarbeitet. Notwendig sind geeignete Datenschutzinformationen, Rechtsgrundlagen, gegebenenfalls Auftragsverarbeitungsverträge, Zugriffsschutz und Löschfristen. Eine Berufshaftpflicht bzw. Vermögensschadenhaftpflicht ist nach tatsächlichem Leistungsprofil zu prüfen. Qualität wird durch dokumentierte Auftragsziele, Pilotierung, Feedback und Ergebnisabgleich gesichert.</w:t>
      </w:r>
    </w:p>
    <w:p>
      <w:pPr>
        <w:pStyle w:val="berschrift1"/>
        <w:pageBreakBefore/>
        <w:numPr>
          <w:numId w:val="0"/>
        </w:numPr>
        <w:spacing w:before="200" w:after="100"/>
      </w:pPr>
      <w:r>
        <w:t>Finanzplanung und Finanzierung</w:t>
      </w:r>
    </w:p>
    <w:p>
      <w:pPr>
        <w:spacing w:after="100" w:line="252" w:lineRule="auto"/>
      </w:pPr>
      <w:r>
        <w:t>Alle folgenden Zahlen sind ein eigenständig entwickeltes Beispielszenario. Sie ersetzen weder persönliche Budgetangaben noch Nachweise zu Eigenmitteln, Angebotspreisen oder Aufträgen. Betriebsjahr 1 läuft vom 09.12.2026 bis 08.12.2027, Jahr 2 vom 09.12.2027 bis 08.12.2028 und Jahr 3 vom 09.12.2028 bis 08.12.2029. Die Monatsplanung nutzt zwölf Betriebsmonate ab Gründung, keine Kalenderjahre.</w:t>
      </w:r>
    </w:p>
    <w:p>
      <w:pPr>
        <w:pStyle w:val="berschrift2"/>
        <w:numPr>
          <w:numId w:val="0"/>
        </w:numPr>
        <w:spacing w:before="200" w:after="100"/>
      </w:pPr>
      <w:r>
        <w:t>Umsatzplanung</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Leistungsbereich</w:t>
            </w:r>
          </w:p>
        </w:tc>
        <w:tc>
          <w:tcPr>
            <w:tcW w:type="dxa" w:w="2268"/>
          </w:tcPr>
          <w:p>
            <w:pPr>
              <w:spacing w:after="40" w:before="40"/>
            </w:pPr>
            <w:r>
              <w:rPr>
                <w:b/>
                <w:sz w:val="18"/>
              </w:rPr>
              <w:t>Tage Jahr 1</w:t>
            </w:r>
          </w:p>
        </w:tc>
        <w:tc>
          <w:tcPr>
            <w:tcW w:type="dxa" w:w="2268"/>
          </w:tcPr>
          <w:p>
            <w:pPr>
              <w:spacing w:after="40" w:before="40"/>
            </w:pPr>
            <w:r>
              <w:rPr>
                <w:b/>
                <w:sz w:val="18"/>
              </w:rPr>
              <w:t>Tage Jahr 2</w:t>
            </w:r>
          </w:p>
        </w:tc>
        <w:tc>
          <w:tcPr>
            <w:tcW w:type="dxa" w:w="2268"/>
          </w:tcPr>
          <w:p>
            <w:pPr>
              <w:spacing w:after="40" w:before="40"/>
            </w:pPr>
            <w:r>
              <w:rPr>
                <w:b/>
                <w:sz w:val="18"/>
              </w:rPr>
              <w:t>Tage Jahr 3</w:t>
            </w:r>
          </w:p>
        </w:tc>
      </w:tr>
      <w:tr>
        <w:trPr>
          <w:cantSplit/>
        </w:trPr>
        <w:tc>
          <w:tcPr>
            <w:tcW w:type="dxa" w:w="2268"/>
          </w:tcPr>
          <w:p>
            <w:pPr>
              <w:spacing w:after="40" w:before="40"/>
            </w:pPr>
            <w:r>
              <w:rPr>
                <w:b w:val="0"/>
                <w:sz w:val="18"/>
              </w:rPr>
              <w:t>Futures and Transformation Advisory</w:t>
            </w:r>
          </w:p>
        </w:tc>
        <w:tc>
          <w:tcPr>
            <w:tcW w:type="dxa" w:w="2268"/>
          </w:tcPr>
          <w:p>
            <w:pPr>
              <w:spacing w:after="40" w:before="40"/>
            </w:pPr>
            <w:r>
              <w:rPr>
                <w:b w:val="0"/>
                <w:sz w:val="18"/>
              </w:rPr>
              <w:t>24</w:t>
            </w:r>
          </w:p>
        </w:tc>
        <w:tc>
          <w:tcPr>
            <w:tcW w:type="dxa" w:w="2268"/>
          </w:tcPr>
          <w:p>
            <w:pPr>
              <w:spacing w:after="40" w:before="40"/>
            </w:pPr>
            <w:r>
              <w:rPr>
                <w:b w:val="0"/>
                <w:sz w:val="18"/>
              </w:rPr>
              <w:t>32</w:t>
            </w:r>
          </w:p>
        </w:tc>
        <w:tc>
          <w:tcPr>
            <w:tcW w:type="dxa" w:w="2268"/>
          </w:tcPr>
          <w:p>
            <w:pPr>
              <w:spacing w:after="40" w:before="40"/>
            </w:pPr>
            <w:r>
              <w:rPr>
                <w:b w:val="0"/>
                <w:sz w:val="18"/>
              </w:rPr>
              <w:t>36</w:t>
            </w:r>
          </w:p>
        </w:tc>
      </w:tr>
      <w:tr>
        <w:trPr>
          <w:cantSplit/>
        </w:trPr>
        <w:tc>
          <w:tcPr>
            <w:tcW w:type="dxa" w:w="2268"/>
          </w:tcPr>
          <w:p>
            <w:pPr>
              <w:spacing w:after="40" w:before="40"/>
            </w:pPr>
            <w:r>
              <w:rPr>
                <w:b w:val="0"/>
                <w:sz w:val="18"/>
              </w:rPr>
              <w:t>Participatory Lab and Experience Delivery</w:t>
            </w:r>
          </w:p>
        </w:tc>
        <w:tc>
          <w:tcPr>
            <w:tcW w:type="dxa" w:w="2268"/>
          </w:tcPr>
          <w:p>
            <w:pPr>
              <w:spacing w:after="40" w:before="40"/>
            </w:pPr>
            <w:r>
              <w:rPr>
                <w:b w:val="0"/>
                <w:sz w:val="18"/>
              </w:rPr>
              <w:t>24</w:t>
            </w:r>
          </w:p>
        </w:tc>
        <w:tc>
          <w:tcPr>
            <w:tcW w:type="dxa" w:w="2268"/>
          </w:tcPr>
          <w:p>
            <w:pPr>
              <w:spacing w:after="40" w:before="40"/>
            </w:pPr>
            <w:r>
              <w:rPr>
                <w:b w:val="0"/>
                <w:sz w:val="18"/>
              </w:rPr>
              <w:t>34</w:t>
            </w:r>
          </w:p>
        </w:tc>
        <w:tc>
          <w:tcPr>
            <w:tcW w:type="dxa" w:w="2268"/>
          </w:tcPr>
          <w:p>
            <w:pPr>
              <w:spacing w:after="40" w:before="40"/>
            </w:pPr>
            <w:r>
              <w:rPr>
                <w:b w:val="0"/>
                <w:sz w:val="18"/>
              </w:rPr>
              <w:t>42</w:t>
            </w:r>
          </w:p>
        </w:tc>
      </w:tr>
      <w:tr>
        <w:trPr>
          <w:cantSplit/>
        </w:trPr>
        <w:tc>
          <w:tcPr>
            <w:tcW w:type="dxa" w:w="2268"/>
          </w:tcPr>
          <w:p>
            <w:pPr>
              <w:spacing w:after="40" w:before="40"/>
            </w:pPr>
            <w:r>
              <w:rPr>
                <w:b w:val="0"/>
                <w:sz w:val="18"/>
              </w:rPr>
              <w:t>Capability Building and Method Transfer</w:t>
            </w:r>
          </w:p>
        </w:tc>
        <w:tc>
          <w:tcPr>
            <w:tcW w:type="dxa" w:w="2268"/>
          </w:tcPr>
          <w:p>
            <w:pPr>
              <w:spacing w:after="40" w:before="40"/>
            </w:pPr>
            <w:r>
              <w:rPr>
                <w:b w:val="0"/>
                <w:sz w:val="18"/>
              </w:rPr>
              <w:t>18</w:t>
            </w:r>
          </w:p>
        </w:tc>
        <w:tc>
          <w:tcPr>
            <w:tcW w:type="dxa" w:w="2268"/>
          </w:tcPr>
          <w:p>
            <w:pPr>
              <w:spacing w:after="40" w:before="40"/>
            </w:pPr>
            <w:r>
              <w:rPr>
                <w:b w:val="0"/>
                <w:sz w:val="18"/>
              </w:rPr>
              <w:t>24</w:t>
            </w:r>
          </w:p>
        </w:tc>
        <w:tc>
          <w:tcPr>
            <w:tcW w:type="dxa" w:w="2268"/>
          </w:tcPr>
          <w:p>
            <w:pPr>
              <w:spacing w:after="40" w:before="40"/>
            </w:pPr>
            <w:r>
              <w:rPr>
                <w:b w:val="0"/>
                <w:sz w:val="18"/>
              </w:rPr>
              <w:t>30</w:t>
            </w:r>
          </w:p>
        </w:tc>
      </w:tr>
      <w:tr>
        <w:trPr>
          <w:cantSplit/>
        </w:trPr>
        <w:tc>
          <w:tcPr>
            <w:tcW w:type="dxa" w:w="2268"/>
          </w:tcPr>
          <w:p>
            <w:pPr>
              <w:spacing w:after="40" w:before="40"/>
            </w:pPr>
            <w:r>
              <w:rPr>
                <w:b w:val="0"/>
                <w:sz w:val="18"/>
              </w:rPr>
              <w:t>Summe</w:t>
            </w:r>
          </w:p>
        </w:tc>
        <w:tc>
          <w:tcPr>
            <w:tcW w:type="dxa" w:w="2268"/>
          </w:tcPr>
          <w:p>
            <w:pPr>
              <w:spacing w:after="40" w:before="40"/>
            </w:pPr>
            <w:r>
              <w:rPr>
                <w:b w:val="0"/>
                <w:sz w:val="18"/>
              </w:rPr>
              <w:t>66</w:t>
            </w:r>
          </w:p>
        </w:tc>
        <w:tc>
          <w:tcPr>
            <w:tcW w:type="dxa" w:w="2268"/>
          </w:tcPr>
          <w:p>
            <w:pPr>
              <w:spacing w:after="40" w:before="40"/>
            </w:pPr>
            <w:r>
              <w:rPr>
                <w:b w:val="0"/>
                <w:sz w:val="18"/>
              </w:rPr>
              <w:t>90</w:t>
            </w:r>
          </w:p>
        </w:tc>
        <w:tc>
          <w:tcPr>
            <w:tcW w:type="dxa" w:w="2268"/>
          </w:tcPr>
          <w:p>
            <w:pPr>
              <w:spacing w:after="40" w:before="40"/>
            </w:pPr>
            <w:r>
              <w:rPr>
                <w:b w:val="0"/>
                <w:sz w:val="18"/>
              </w:rPr>
              <w:t>108</w:t>
            </w:r>
          </w:p>
        </w:tc>
      </w:tr>
    </w:tbl>
    <w:p>
      <w:pPr>
        <w:spacing w:after="100" w:line="252" w:lineRule="auto"/>
      </w:pPr>
      <w:r>
        <w:t>Ein möglicher Auftragsmix im ersten Jahr wäre vier Advisory-Sprints à sechs Tage, drei Labs à acht Tage und drei Transferprogramme à sechs Tage. Das sind zehn projektbezogene Beauftragungen, nicht zwingend zehn unterschiedliche Kunden. Es bestehen dafür in dieser Planung keine bestätigten Buchungen. Jahr 2 und 3 setzen sowohl steigende Auslastung als auch einen auf 950 € bzw. 1.000 € steigenden durchschnittlichen Tagessatz voraus.</w:t>
      </w:r>
    </w:p>
    <w:p>
      <w:pPr>
        <w:pStyle w:val="berschrift2"/>
        <w:numPr>
          <w:numId w:val="0"/>
        </w:numPr>
        <w:spacing w:before="200" w:after="100"/>
      </w:pPr>
      <w:r>
        <w:t>Betriebliche Kosten</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Kostenposition, netto / Jahr</w:t>
            </w:r>
          </w:p>
        </w:tc>
        <w:tc>
          <w:tcPr>
            <w:tcW w:type="dxa" w:w="2268"/>
          </w:tcPr>
          <w:p>
            <w:pPr>
              <w:spacing w:after="40" w:before="40"/>
            </w:pPr>
            <w:r>
              <w:rPr>
                <w:b/>
                <w:sz w:val="18"/>
              </w:rPr>
              <w:t>Jahr 1</w:t>
            </w:r>
          </w:p>
        </w:tc>
        <w:tc>
          <w:tcPr>
            <w:tcW w:type="dxa" w:w="2268"/>
          </w:tcPr>
          <w:p>
            <w:pPr>
              <w:spacing w:after="40" w:before="40"/>
            </w:pPr>
            <w:r>
              <w:rPr>
                <w:b/>
                <w:sz w:val="18"/>
              </w:rPr>
              <w:t>Jahr 2</w:t>
            </w:r>
          </w:p>
        </w:tc>
        <w:tc>
          <w:tcPr>
            <w:tcW w:type="dxa" w:w="2268"/>
          </w:tcPr>
          <w:p>
            <w:pPr>
              <w:spacing w:after="40" w:before="40"/>
            </w:pPr>
            <w:r>
              <w:rPr>
                <w:b/>
                <w:sz w:val="18"/>
              </w:rPr>
              <w:t>Jahr 3</w:t>
            </w:r>
          </w:p>
        </w:tc>
      </w:tr>
      <w:tr>
        <w:trPr>
          <w:cantSplit/>
        </w:trPr>
        <w:tc>
          <w:tcPr>
            <w:tcW w:type="dxa" w:w="2268"/>
          </w:tcPr>
          <w:p>
            <w:pPr>
              <w:spacing w:after="40" w:before="40"/>
            </w:pPr>
            <w:r>
              <w:rPr>
                <w:b w:val="0"/>
                <w:sz w:val="18"/>
              </w:rPr>
              <w:t>Software, IT, Daten, Kommunikation</w:t>
            </w:r>
          </w:p>
        </w:tc>
        <w:tc>
          <w:tcPr>
            <w:tcW w:type="dxa" w:w="2268"/>
          </w:tcPr>
          <w:p>
            <w:pPr>
              <w:spacing w:after="40" w:before="40"/>
            </w:pPr>
            <w:r>
              <w:rPr>
                <w:b w:val="0"/>
                <w:sz w:val="18"/>
              </w:rPr>
              <w:t>2400</w:t>
            </w:r>
          </w:p>
        </w:tc>
        <w:tc>
          <w:tcPr>
            <w:tcW w:type="dxa" w:w="2268"/>
          </w:tcPr>
          <w:p>
            <w:pPr>
              <w:spacing w:after="40" w:before="40"/>
            </w:pPr>
            <w:r>
              <w:rPr>
                <w:b w:val="0"/>
                <w:sz w:val="18"/>
              </w:rPr>
              <w:t>2700</w:t>
            </w:r>
          </w:p>
        </w:tc>
        <w:tc>
          <w:tcPr>
            <w:tcW w:type="dxa" w:w="2268"/>
          </w:tcPr>
          <w:p>
            <w:pPr>
              <w:spacing w:after="40" w:before="40"/>
            </w:pPr>
            <w:r>
              <w:rPr>
                <w:b w:val="0"/>
                <w:sz w:val="18"/>
              </w:rPr>
              <w:t>3000</w:t>
            </w:r>
          </w:p>
        </w:tc>
      </w:tr>
      <w:tr>
        <w:trPr>
          <w:cantSplit/>
        </w:trPr>
        <w:tc>
          <w:tcPr>
            <w:tcW w:type="dxa" w:w="2268"/>
          </w:tcPr>
          <w:p>
            <w:pPr>
              <w:spacing w:after="40" w:before="40"/>
            </w:pPr>
            <w:r>
              <w:rPr>
                <w:b w:val="0"/>
                <w:sz w:val="18"/>
              </w:rPr>
              <w:t>Marketing, Netzwerk und Vertrieb</w:t>
            </w:r>
          </w:p>
        </w:tc>
        <w:tc>
          <w:tcPr>
            <w:tcW w:type="dxa" w:w="2268"/>
          </w:tcPr>
          <w:p>
            <w:pPr>
              <w:spacing w:after="40" w:before="40"/>
            </w:pPr>
            <w:r>
              <w:rPr>
                <w:b w:val="0"/>
                <w:sz w:val="18"/>
              </w:rPr>
              <w:t>2400</w:t>
            </w:r>
          </w:p>
        </w:tc>
        <w:tc>
          <w:tcPr>
            <w:tcW w:type="dxa" w:w="2268"/>
          </w:tcPr>
          <w:p>
            <w:pPr>
              <w:spacing w:after="40" w:before="40"/>
            </w:pPr>
            <w:r>
              <w:rPr>
                <w:b w:val="0"/>
                <w:sz w:val="18"/>
              </w:rPr>
              <w:t>3000</w:t>
            </w:r>
          </w:p>
        </w:tc>
        <w:tc>
          <w:tcPr>
            <w:tcW w:type="dxa" w:w="2268"/>
          </w:tcPr>
          <w:p>
            <w:pPr>
              <w:spacing w:after="40" w:before="40"/>
            </w:pPr>
            <w:r>
              <w:rPr>
                <w:b w:val="0"/>
                <w:sz w:val="18"/>
              </w:rPr>
              <w:t>3600</w:t>
            </w:r>
          </w:p>
        </w:tc>
      </w:tr>
      <w:tr>
        <w:trPr>
          <w:cantSplit/>
        </w:trPr>
        <w:tc>
          <w:tcPr>
            <w:tcW w:type="dxa" w:w="2268"/>
          </w:tcPr>
          <w:p>
            <w:pPr>
              <w:spacing w:after="40" w:before="40"/>
            </w:pPr>
            <w:r>
              <w:rPr>
                <w:b w:val="0"/>
                <w:sz w:val="18"/>
              </w:rPr>
              <w:t>Steuerberatung, Buchhaltung, Recht</w:t>
            </w:r>
          </w:p>
        </w:tc>
        <w:tc>
          <w:tcPr>
            <w:tcW w:type="dxa" w:w="2268"/>
          </w:tcPr>
          <w:p>
            <w:pPr>
              <w:spacing w:after="40" w:before="40"/>
            </w:pPr>
            <w:r>
              <w:rPr>
                <w:b w:val="0"/>
                <w:sz w:val="18"/>
              </w:rPr>
              <w:t>2400</w:t>
            </w:r>
          </w:p>
        </w:tc>
        <w:tc>
          <w:tcPr>
            <w:tcW w:type="dxa" w:w="2268"/>
          </w:tcPr>
          <w:p>
            <w:pPr>
              <w:spacing w:after="40" w:before="40"/>
            </w:pPr>
            <w:r>
              <w:rPr>
                <w:b w:val="0"/>
                <w:sz w:val="18"/>
              </w:rPr>
              <w:t>3000</w:t>
            </w:r>
          </w:p>
        </w:tc>
        <w:tc>
          <w:tcPr>
            <w:tcW w:type="dxa" w:w="2268"/>
          </w:tcPr>
          <w:p>
            <w:pPr>
              <w:spacing w:after="40" w:before="40"/>
            </w:pPr>
            <w:r>
              <w:rPr>
                <w:b w:val="0"/>
                <w:sz w:val="18"/>
              </w:rPr>
              <w:t>3600</w:t>
            </w:r>
          </w:p>
        </w:tc>
      </w:tr>
      <w:tr>
        <w:trPr>
          <w:cantSplit/>
        </w:trPr>
        <w:tc>
          <w:tcPr>
            <w:tcW w:type="dxa" w:w="2268"/>
          </w:tcPr>
          <w:p>
            <w:pPr>
              <w:spacing w:after="40" w:before="40"/>
            </w:pPr>
            <w:r>
              <w:rPr>
                <w:b w:val="0"/>
                <w:sz w:val="18"/>
              </w:rPr>
              <w:t>Betriebliche Versicherungen</w:t>
            </w:r>
          </w:p>
        </w:tc>
        <w:tc>
          <w:tcPr>
            <w:tcW w:type="dxa" w:w="2268"/>
          </w:tcPr>
          <w:p>
            <w:pPr>
              <w:spacing w:after="40" w:before="40"/>
            </w:pPr>
            <w:r>
              <w:rPr>
                <w:b w:val="0"/>
                <w:sz w:val="18"/>
              </w:rPr>
              <w:t>1200</w:t>
            </w:r>
          </w:p>
        </w:tc>
        <w:tc>
          <w:tcPr>
            <w:tcW w:type="dxa" w:w="2268"/>
          </w:tcPr>
          <w:p>
            <w:pPr>
              <w:spacing w:after="40" w:before="40"/>
            </w:pPr>
            <w:r>
              <w:rPr>
                <w:b w:val="0"/>
                <w:sz w:val="18"/>
              </w:rPr>
              <w:t>1500</w:t>
            </w:r>
          </w:p>
        </w:tc>
        <w:tc>
          <w:tcPr>
            <w:tcW w:type="dxa" w:w="2268"/>
          </w:tcPr>
          <w:p>
            <w:pPr>
              <w:spacing w:after="40" w:before="40"/>
            </w:pPr>
            <w:r>
              <w:rPr>
                <w:b w:val="0"/>
                <w:sz w:val="18"/>
              </w:rPr>
              <w:t>1800</w:t>
            </w:r>
          </w:p>
        </w:tc>
      </w:tr>
      <w:tr>
        <w:trPr>
          <w:cantSplit/>
        </w:trPr>
        <w:tc>
          <w:tcPr>
            <w:tcW w:type="dxa" w:w="2268"/>
          </w:tcPr>
          <w:p>
            <w:pPr>
              <w:spacing w:after="40" w:before="40"/>
            </w:pPr>
            <w:r>
              <w:rPr>
                <w:b w:val="0"/>
                <w:sz w:val="18"/>
              </w:rPr>
              <w:t>Betrieblich getragene Reise-/Raumkosten</w:t>
            </w:r>
          </w:p>
        </w:tc>
        <w:tc>
          <w:tcPr>
            <w:tcW w:type="dxa" w:w="2268"/>
          </w:tcPr>
          <w:p>
            <w:pPr>
              <w:spacing w:after="40" w:before="40"/>
            </w:pPr>
            <w:r>
              <w:rPr>
                <w:b w:val="0"/>
                <w:sz w:val="18"/>
              </w:rPr>
              <w:t>2400</w:t>
            </w:r>
          </w:p>
        </w:tc>
        <w:tc>
          <w:tcPr>
            <w:tcW w:type="dxa" w:w="2268"/>
          </w:tcPr>
          <w:p>
            <w:pPr>
              <w:spacing w:after="40" w:before="40"/>
            </w:pPr>
            <w:r>
              <w:rPr>
                <w:b w:val="0"/>
                <w:sz w:val="18"/>
              </w:rPr>
              <w:t>3600</w:t>
            </w:r>
          </w:p>
        </w:tc>
        <w:tc>
          <w:tcPr>
            <w:tcW w:type="dxa" w:w="2268"/>
          </w:tcPr>
          <w:p>
            <w:pPr>
              <w:spacing w:after="40" w:before="40"/>
            </w:pPr>
            <w:r>
              <w:rPr>
                <w:b w:val="0"/>
                <w:sz w:val="18"/>
              </w:rPr>
              <w:t>4800</w:t>
            </w:r>
          </w:p>
        </w:tc>
      </w:tr>
      <w:tr>
        <w:trPr>
          <w:cantSplit/>
        </w:trPr>
        <w:tc>
          <w:tcPr>
            <w:tcW w:type="dxa" w:w="2268"/>
          </w:tcPr>
          <w:p>
            <w:pPr>
              <w:spacing w:after="40" w:before="40"/>
            </w:pPr>
            <w:r>
              <w:rPr>
                <w:b w:val="0"/>
                <w:sz w:val="18"/>
              </w:rPr>
              <w:t>Weiterbildung, Materialien, Sonstiges</w:t>
            </w:r>
          </w:p>
        </w:tc>
        <w:tc>
          <w:tcPr>
            <w:tcW w:type="dxa" w:w="2268"/>
          </w:tcPr>
          <w:p>
            <w:pPr>
              <w:spacing w:after="40" w:before="40"/>
            </w:pPr>
            <w:r>
              <w:rPr>
                <w:b w:val="0"/>
                <w:sz w:val="18"/>
              </w:rPr>
              <w:t>3600</w:t>
            </w:r>
          </w:p>
        </w:tc>
        <w:tc>
          <w:tcPr>
            <w:tcW w:type="dxa" w:w="2268"/>
          </w:tcPr>
          <w:p>
            <w:pPr>
              <w:spacing w:after="40" w:before="40"/>
            </w:pPr>
            <w:r>
              <w:rPr>
                <w:b w:val="0"/>
                <w:sz w:val="18"/>
              </w:rPr>
              <w:t>4200</w:t>
            </w:r>
          </w:p>
        </w:tc>
        <w:tc>
          <w:tcPr>
            <w:tcW w:type="dxa" w:w="2268"/>
          </w:tcPr>
          <w:p>
            <w:pPr>
              <w:spacing w:after="40" w:before="40"/>
            </w:pPr>
            <w:r>
              <w:rPr>
                <w:b w:val="0"/>
                <w:sz w:val="18"/>
              </w:rPr>
              <w:t>4800</w:t>
            </w:r>
          </w:p>
        </w:tc>
      </w:tr>
      <w:tr>
        <w:trPr>
          <w:cantSplit/>
        </w:trPr>
        <w:tc>
          <w:tcPr>
            <w:tcW w:type="dxa" w:w="2268"/>
          </w:tcPr>
          <w:p>
            <w:pPr>
              <w:spacing w:after="40" w:before="40"/>
            </w:pPr>
            <w:r>
              <w:rPr>
                <w:b w:val="0"/>
                <w:sz w:val="18"/>
              </w:rPr>
              <w:t>Summe betriebliche Aufwendungen</w:t>
            </w:r>
          </w:p>
        </w:tc>
        <w:tc>
          <w:tcPr>
            <w:tcW w:type="dxa" w:w="2268"/>
          </w:tcPr>
          <w:p>
            <w:pPr>
              <w:spacing w:after="40" w:before="40"/>
            </w:pPr>
            <w:r>
              <w:rPr>
                <w:b w:val="0"/>
                <w:sz w:val="18"/>
              </w:rPr>
              <w:t>14400</w:t>
            </w:r>
          </w:p>
        </w:tc>
        <w:tc>
          <w:tcPr>
            <w:tcW w:type="dxa" w:w="2268"/>
          </w:tcPr>
          <w:p>
            <w:pPr>
              <w:spacing w:after="40" w:before="40"/>
            </w:pPr>
            <w:r>
              <w:rPr>
                <w:b w:val="0"/>
                <w:sz w:val="18"/>
              </w:rPr>
              <w:t>18000</w:t>
            </w:r>
          </w:p>
        </w:tc>
        <w:tc>
          <w:tcPr>
            <w:tcW w:type="dxa" w:w="2268"/>
          </w:tcPr>
          <w:p>
            <w:pPr>
              <w:spacing w:after="40" w:before="40"/>
            </w:pPr>
            <w:r>
              <w:rPr>
                <w:b w:val="0"/>
                <w:sz w:val="18"/>
              </w:rPr>
              <w:t>21600</w:t>
            </w:r>
          </w:p>
        </w:tc>
      </w:tr>
    </w:tbl>
    <w:p>
      <w:pPr>
        <w:spacing w:after="100" w:line="252" w:lineRule="auto"/>
      </w:pPr>
      <w:r>
        <w:t>Persönliche Kranken-/Pflegeversicherung, Einkommensteuer und Lebenshaltung sind keine betrieblichen Aufwendungen dieser Tabelle. Kundenseitig zusätzlich erstattete Projektkosten sind weder als Kosten noch als Umsatz eingeplant. Größere Investitionen, Abschreibungen und die spätere umsatzsteuerliche Behandlung müssen nach Konkretisierung ergänzt werden; die Jahresübersicht ist eine vereinfachte Überschussplanung, keine Bilanz.</w:t>
      </w:r>
    </w:p>
    <w:p>
      <w:pPr>
        <w:spacing w:after="100" w:line="252" w:lineRule="auto"/>
      </w:pPr>
      <w:r>
        <w:t>Ergebnisübersicht: Jahr 1: 59.400 € Umsatz − 14.400 € Aufwendungen = 45.000 €. Jahr 2: 85.500 € − 18.000 € = 67.500 €. Jahr 3: 108.000 € − 21.600 € = 86.400 €. Alle Ergebnisse vor persönlichen Steuern; siehe auch die Tabelle im Executive Summary.</w:t>
      </w:r>
    </w:p>
    <w:p>
      <w:pPr>
        <w:pStyle w:val="berschrift1"/>
        <w:pageBreakBefore/>
        <w:numPr>
          <w:numId w:val="0"/>
        </w:numPr>
        <w:spacing w:before="200" w:after="100"/>
      </w:pPr>
      <w:r>
        <w:t>Finanzierung und monatliche Liquidität</w:t>
      </w:r>
    </w:p>
    <w:p>
      <w:pPr>
        <w:pStyle w:val="berschrift2"/>
        <w:numPr>
          <w:numId w:val="0"/>
        </w:numPr>
        <w:spacing w:before="200" w:after="100"/>
      </w:pPr>
      <w:r>
        <w:t>Kapitalbedarf und Finanzierungsannahme</w:t>
      </w:r>
    </w:p>
    <w:tbl>
      <w:tblPr>
        <w:tblW w:type="auto" w:w="0"/>
        <w:tblLook w:firstColumn="1" w:firstRow="1" w:lastColumn="0" w:lastRow="0" w:noHBand="0" w:noVBand="1" w:val="04A0"/>
      </w:tblPr>
      <w:tblGrid>
        <w:gridCol w:w="4536"/>
        <w:gridCol w:w="4536"/>
      </w:tblGrid>
      <w:tr>
        <w:trPr>
          <w:cantSplit/>
          <w:tblHeader/>
        </w:trPr>
        <w:tc>
          <w:tcPr>
            <w:tcW w:type="dxa" w:w="4536"/>
          </w:tcPr>
          <w:p>
            <w:pPr>
              <w:spacing w:after="40" w:before="40"/>
            </w:pPr>
            <w:r>
              <w:rPr>
                <w:b/>
                <w:sz w:val="18"/>
              </w:rPr>
              <w:t>Einmalige Verwendung / Reserve</w:t>
            </w:r>
          </w:p>
        </w:tc>
        <w:tc>
          <w:tcPr>
            <w:tcW w:type="dxa" w:w="4536"/>
          </w:tcPr>
          <w:p>
            <w:pPr>
              <w:spacing w:after="40" w:before="40"/>
            </w:pPr>
            <w:r>
              <w:rPr>
                <w:b/>
                <w:sz w:val="18"/>
              </w:rPr>
              <w:t>Beispielbetrag</w:t>
            </w:r>
          </w:p>
        </w:tc>
      </w:tr>
      <w:tr>
        <w:trPr>
          <w:cantSplit/>
        </w:trPr>
        <w:tc>
          <w:tcPr>
            <w:tcW w:type="dxa" w:w="4536"/>
          </w:tcPr>
          <w:p>
            <w:pPr>
              <w:spacing w:after="40" w:before="40"/>
            </w:pPr>
            <w:r>
              <w:rPr>
                <w:b w:val="0"/>
                <w:sz w:val="18"/>
              </w:rPr>
              <w:t>IT-/Arbeitsausstattung, konservativ als Startauszahlung</w:t>
            </w:r>
          </w:p>
        </w:tc>
        <w:tc>
          <w:tcPr>
            <w:tcW w:type="dxa" w:w="4536"/>
          </w:tcPr>
          <w:p>
            <w:pPr>
              <w:spacing w:after="40" w:before="40"/>
            </w:pPr>
            <w:r>
              <w:rPr>
                <w:b w:val="0"/>
                <w:sz w:val="18"/>
              </w:rPr>
              <w:t>2.000 €</w:t>
            </w:r>
          </w:p>
        </w:tc>
      </w:tr>
      <w:tr>
        <w:trPr>
          <w:cantSplit/>
        </w:trPr>
        <w:tc>
          <w:tcPr>
            <w:tcW w:type="dxa" w:w="4536"/>
          </w:tcPr>
          <w:p>
            <w:pPr>
              <w:spacing w:after="40" w:before="40"/>
            </w:pPr>
            <w:r>
              <w:rPr>
                <w:b w:val="0"/>
                <w:sz w:val="18"/>
              </w:rPr>
              <w:t>Einrichtung, Beratung, Auftritt und Startkosten</w:t>
            </w:r>
          </w:p>
        </w:tc>
        <w:tc>
          <w:tcPr>
            <w:tcW w:type="dxa" w:w="4536"/>
          </w:tcPr>
          <w:p>
            <w:pPr>
              <w:spacing w:after="40" w:before="40"/>
            </w:pPr>
            <w:r>
              <w:rPr>
                <w:b w:val="0"/>
                <w:sz w:val="18"/>
              </w:rPr>
              <w:t>1.000 €</w:t>
            </w:r>
          </w:p>
        </w:tc>
      </w:tr>
      <w:tr>
        <w:trPr>
          <w:cantSplit/>
        </w:trPr>
        <w:tc>
          <w:tcPr>
            <w:tcW w:type="dxa" w:w="4536"/>
          </w:tcPr>
          <w:p>
            <w:pPr>
              <w:spacing w:after="40" w:before="40"/>
            </w:pPr>
            <w:r>
              <w:rPr>
                <w:b w:val="0"/>
                <w:sz w:val="18"/>
              </w:rPr>
              <w:t>Verfügbare betriebliche Startliquidität nach Startauszahlungen</w:t>
            </w:r>
          </w:p>
        </w:tc>
        <w:tc>
          <w:tcPr>
            <w:tcW w:type="dxa" w:w="4536"/>
          </w:tcPr>
          <w:p>
            <w:pPr>
              <w:spacing w:after="40" w:before="40"/>
            </w:pPr>
            <w:r>
              <w:rPr>
                <w:b w:val="0"/>
                <w:sz w:val="18"/>
              </w:rPr>
              <w:t>20.000 €</w:t>
            </w:r>
          </w:p>
        </w:tc>
      </w:tr>
      <w:tr>
        <w:trPr>
          <w:cantSplit/>
        </w:trPr>
        <w:tc>
          <w:tcPr>
            <w:tcW w:type="dxa" w:w="4536"/>
          </w:tcPr>
          <w:p>
            <w:pPr>
              <w:spacing w:after="40" w:before="40"/>
            </w:pPr>
            <w:r>
              <w:rPr>
                <w:b w:val="0"/>
                <w:sz w:val="18"/>
              </w:rPr>
              <w:t>Gesamter angenommener Finanzierungsbedarf</w:t>
            </w:r>
          </w:p>
        </w:tc>
        <w:tc>
          <w:tcPr>
            <w:tcW w:type="dxa" w:w="4536"/>
          </w:tcPr>
          <w:p>
            <w:pPr>
              <w:spacing w:after="40" w:before="40"/>
            </w:pPr>
            <w:r>
              <w:rPr>
                <w:b w:val="0"/>
                <w:sz w:val="18"/>
              </w:rPr>
              <w:t>23.000 €</w:t>
            </w:r>
          </w:p>
        </w:tc>
      </w:tr>
    </w:tbl>
    <w:p>
      <w:pPr>
        <w:spacing w:after="100" w:line="252" w:lineRule="auto"/>
      </w:pPr>
      <w:r>
        <w:t>Als reine Rechenannahme werden 23.000 € Eigenmittel unterstellt. Ihre tatsächliche Verfügbarkeit ist offen und muss nachgewiesen oder durch eine realistische alternative Finanzierung ersetzt werden. Es wird keine Fremdfinanzierung als zugesagt behandelt. Der Gründungszuschuss ist im Szenario nicht enthalten.</w:t>
      </w:r>
    </w:p>
    <w:p>
      <w:pPr>
        <w:spacing w:after="100" w:line="252" w:lineRule="auto"/>
      </w:pPr>
      <w:r>
        <w:t>Privater Bedarf: beispielhaft 1.800 € Lebenshaltung und 600 € persönliche Kranken-/Pflegeversicherung monatlich, zusammen 2.400 €. Der tatsächliche Bedarf kann deutlich abweichen. Steuerreserve: pauschal 25 % des kumulierten positiven Betriebsergebnisses, als gebundene Liquidität behandelt; keine individuelle Steuerberechnung. Vereinfachung: Rechnung und Zahlung erfolgen im selben Monat, Betriebsausgaben monatlich 1.200 €. Verzögerte Zahlungseingänge werden im Risikoszenario betrachtet.</w:t>
      </w:r>
    </w:p>
    <w:p>
      <w:pPr>
        <w:pStyle w:val="berschrift2"/>
        <w:numPr>
          <w:numId w:val="0"/>
        </w:numPr>
        <w:spacing w:before="200" w:after="100"/>
      </w:pPr>
      <w:r>
        <w:t>Jahr 1: verfügbare Liquidität nach Reserven</w:t>
      </w:r>
    </w:p>
    <w:tbl>
      <w:tblPr>
        <w:tblW w:type="auto" w:w="0"/>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Pr>
          <w:p>
            <w:pPr>
              <w:spacing w:after="40" w:before="40"/>
            </w:pPr>
            <w:r>
              <w:rPr>
                <w:b/>
                <w:sz w:val="18"/>
              </w:rPr>
              <w:t>Monat</w:t>
            </w:r>
          </w:p>
        </w:tc>
        <w:tc>
          <w:tcPr>
            <w:tcW w:type="dxa" w:w="1512"/>
          </w:tcPr>
          <w:p>
            <w:pPr>
              <w:spacing w:after="40" w:before="40"/>
            </w:pPr>
            <w:r>
              <w:rPr>
                <w:b/>
                <w:sz w:val="18"/>
              </w:rPr>
              <w:t>Einzahlung</w:t>
            </w:r>
          </w:p>
        </w:tc>
        <w:tc>
          <w:tcPr>
            <w:tcW w:type="dxa" w:w="1512"/>
          </w:tcPr>
          <w:p>
            <w:pPr>
              <w:spacing w:after="40" w:before="40"/>
            </w:pPr>
            <w:r>
              <w:rPr>
                <w:b/>
                <w:sz w:val="18"/>
              </w:rPr>
              <w:t>Betrieb</w:t>
            </w:r>
          </w:p>
        </w:tc>
        <w:tc>
          <w:tcPr>
            <w:tcW w:type="dxa" w:w="1512"/>
          </w:tcPr>
          <w:p>
            <w:pPr>
              <w:spacing w:after="40" w:before="40"/>
            </w:pPr>
            <w:r>
              <w:rPr>
                <w:b/>
                <w:sz w:val="18"/>
              </w:rPr>
              <w:t>Privat inkl. KV</w:t>
            </w:r>
          </w:p>
        </w:tc>
        <w:tc>
          <w:tcPr>
            <w:tcW w:type="dxa" w:w="1512"/>
          </w:tcPr>
          <w:p>
            <w:pPr>
              <w:spacing w:after="40" w:before="40"/>
            </w:pPr>
            <w:r>
              <w:rPr>
                <w:b/>
                <w:sz w:val="18"/>
              </w:rPr>
              <w:t>Steuerreserve¹</w:t>
            </w:r>
          </w:p>
        </w:tc>
        <w:tc>
          <w:tcPr>
            <w:tcW w:type="dxa" w:w="1512"/>
          </w:tcPr>
          <w:p>
            <w:pPr>
              <w:spacing w:after="40" w:before="40"/>
            </w:pPr>
            <w:r>
              <w:rPr>
                <w:b/>
                <w:sz w:val="18"/>
              </w:rPr>
              <w:t>Restliquidität</w:t>
            </w:r>
          </w:p>
        </w:tc>
      </w:tr>
      <w:tr>
        <w:trPr>
          <w:cantSplit/>
        </w:trPr>
        <w:tc>
          <w:tcPr>
            <w:tcW w:type="dxa" w:w="1512"/>
          </w:tcPr>
          <w:p>
            <w:pPr>
              <w:spacing w:after="40" w:before="40"/>
            </w:pPr>
            <w:r>
              <w:rPr>
                <w:b w:val="0"/>
                <w:sz w:val="18"/>
              </w:rPr>
              <w:t>1</w:t>
            </w:r>
          </w:p>
        </w:tc>
        <w:tc>
          <w:tcPr>
            <w:tcW w:type="dxa" w:w="1512"/>
          </w:tcPr>
          <w:p>
            <w:pPr>
              <w:spacing w:after="40" w:before="40"/>
            </w:pPr>
            <w:r>
              <w:rPr>
                <w:b w:val="0"/>
                <w:sz w:val="18"/>
              </w:rPr>
              <w:t>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0 €</w:t>
            </w:r>
          </w:p>
        </w:tc>
        <w:tc>
          <w:tcPr>
            <w:tcW w:type="dxa" w:w="1512"/>
          </w:tcPr>
          <w:p>
            <w:pPr>
              <w:spacing w:after="40" w:before="40"/>
            </w:pPr>
            <w:r>
              <w:rPr>
                <w:b w:val="0"/>
                <w:sz w:val="18"/>
              </w:rPr>
              <w:t>16.400 €</w:t>
            </w:r>
          </w:p>
        </w:tc>
      </w:tr>
      <w:tr>
        <w:trPr>
          <w:cantSplit/>
        </w:trPr>
        <w:tc>
          <w:tcPr>
            <w:tcW w:type="dxa" w:w="1512"/>
          </w:tcPr>
          <w:p>
            <w:pPr>
              <w:spacing w:after="40" w:before="40"/>
            </w:pPr>
            <w:r>
              <w:rPr>
                <w:b w:val="0"/>
                <w:sz w:val="18"/>
              </w:rPr>
              <w:t>2</w:t>
            </w:r>
          </w:p>
        </w:tc>
        <w:tc>
          <w:tcPr>
            <w:tcW w:type="dxa" w:w="1512"/>
          </w:tcPr>
          <w:p>
            <w:pPr>
              <w:spacing w:after="40" w:before="40"/>
            </w:pPr>
            <w:r>
              <w:rPr>
                <w:b w:val="0"/>
                <w:sz w:val="18"/>
              </w:rPr>
              <w:t>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0 €</w:t>
            </w:r>
          </w:p>
        </w:tc>
        <w:tc>
          <w:tcPr>
            <w:tcW w:type="dxa" w:w="1512"/>
          </w:tcPr>
          <w:p>
            <w:pPr>
              <w:spacing w:after="40" w:before="40"/>
            </w:pPr>
            <w:r>
              <w:rPr>
                <w:b w:val="0"/>
                <w:sz w:val="18"/>
              </w:rPr>
              <w:t>12.800 €</w:t>
            </w:r>
          </w:p>
        </w:tc>
      </w:tr>
      <w:tr>
        <w:trPr>
          <w:cantSplit/>
        </w:trPr>
        <w:tc>
          <w:tcPr>
            <w:tcW w:type="dxa" w:w="1512"/>
          </w:tcPr>
          <w:p>
            <w:pPr>
              <w:spacing w:after="40" w:before="40"/>
            </w:pPr>
            <w:r>
              <w:rPr>
                <w:b w:val="0"/>
                <w:sz w:val="18"/>
              </w:rPr>
              <w:t>3</w:t>
            </w:r>
          </w:p>
        </w:tc>
        <w:tc>
          <w:tcPr>
            <w:tcW w:type="dxa" w:w="1512"/>
          </w:tcPr>
          <w:p>
            <w:pPr>
              <w:spacing w:after="40" w:before="40"/>
            </w:pPr>
            <w:r>
              <w:rPr>
                <w:b w:val="0"/>
                <w:sz w:val="18"/>
              </w:rPr>
              <w:t>1.800 €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0 €</w:t>
            </w:r>
          </w:p>
        </w:tc>
        <w:tc>
          <w:tcPr>
            <w:tcW w:type="dxa" w:w="1512"/>
          </w:tcPr>
          <w:p>
            <w:pPr>
              <w:spacing w:after="40" w:before="40"/>
            </w:pPr>
            <w:r>
              <w:rPr>
                <w:b w:val="0"/>
                <w:sz w:val="18"/>
              </w:rPr>
              <w:t>11.000 €</w:t>
            </w:r>
          </w:p>
        </w:tc>
      </w:tr>
      <w:tr>
        <w:trPr>
          <w:cantSplit/>
        </w:trPr>
        <w:tc>
          <w:tcPr>
            <w:tcW w:type="dxa" w:w="1512"/>
          </w:tcPr>
          <w:p>
            <w:pPr>
              <w:spacing w:after="40" w:before="40"/>
            </w:pPr>
            <w:r>
              <w:rPr>
                <w:b w:val="0"/>
                <w:sz w:val="18"/>
              </w:rPr>
              <w:t>4</w:t>
            </w:r>
          </w:p>
        </w:tc>
        <w:tc>
          <w:tcPr>
            <w:tcW w:type="dxa" w:w="1512"/>
          </w:tcPr>
          <w:p>
            <w:pPr>
              <w:spacing w:after="40" w:before="40"/>
            </w:pPr>
            <w:r>
              <w:rPr>
                <w:b w:val="0"/>
                <w:sz w:val="18"/>
              </w:rPr>
              <w:t>2.700 €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0 €</w:t>
            </w:r>
          </w:p>
        </w:tc>
        <w:tc>
          <w:tcPr>
            <w:tcW w:type="dxa" w:w="1512"/>
          </w:tcPr>
          <w:p>
            <w:pPr>
              <w:spacing w:after="40" w:before="40"/>
            </w:pPr>
            <w:r>
              <w:rPr>
                <w:b w:val="0"/>
                <w:sz w:val="18"/>
              </w:rPr>
              <w:t>10.100 €</w:t>
            </w:r>
          </w:p>
        </w:tc>
      </w:tr>
      <w:tr>
        <w:trPr>
          <w:cantSplit/>
        </w:trPr>
        <w:tc>
          <w:tcPr>
            <w:tcW w:type="dxa" w:w="1512"/>
          </w:tcPr>
          <w:p>
            <w:pPr>
              <w:spacing w:after="40" w:before="40"/>
            </w:pPr>
            <w:r>
              <w:rPr>
                <w:b w:val="0"/>
                <w:sz w:val="18"/>
              </w:rPr>
              <w:t>5</w:t>
            </w:r>
          </w:p>
        </w:tc>
        <w:tc>
          <w:tcPr>
            <w:tcW w:type="dxa" w:w="1512"/>
          </w:tcPr>
          <w:p>
            <w:pPr>
              <w:spacing w:after="40" w:before="40"/>
            </w:pPr>
            <w:r>
              <w:rPr>
                <w:b w:val="0"/>
                <w:sz w:val="18"/>
              </w:rPr>
              <w:t>3.600 €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525 €</w:t>
            </w:r>
          </w:p>
        </w:tc>
        <w:tc>
          <w:tcPr>
            <w:tcW w:type="dxa" w:w="1512"/>
          </w:tcPr>
          <w:p>
            <w:pPr>
              <w:spacing w:after="40" w:before="40"/>
            </w:pPr>
            <w:r>
              <w:rPr>
                <w:b w:val="0"/>
                <w:sz w:val="18"/>
              </w:rPr>
              <w:t>9.575 €</w:t>
            </w:r>
          </w:p>
        </w:tc>
      </w:tr>
      <w:tr>
        <w:trPr>
          <w:cantSplit/>
        </w:trPr>
        <w:tc>
          <w:tcPr>
            <w:tcW w:type="dxa" w:w="1512"/>
          </w:tcPr>
          <w:p>
            <w:pPr>
              <w:spacing w:after="40" w:before="40"/>
            </w:pPr>
            <w:r>
              <w:rPr>
                <w:b w:val="0"/>
                <w:sz w:val="18"/>
              </w:rPr>
              <w:t>6</w:t>
            </w:r>
          </w:p>
        </w:tc>
        <w:tc>
          <w:tcPr>
            <w:tcW w:type="dxa" w:w="1512"/>
          </w:tcPr>
          <w:p>
            <w:pPr>
              <w:spacing w:after="40" w:before="40"/>
            </w:pPr>
            <w:r>
              <w:rPr>
                <w:b w:val="0"/>
                <w:sz w:val="18"/>
              </w:rPr>
              <w:t>4.500 €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825 €</w:t>
            </w:r>
          </w:p>
        </w:tc>
        <w:tc>
          <w:tcPr>
            <w:tcW w:type="dxa" w:w="1512"/>
          </w:tcPr>
          <w:p>
            <w:pPr>
              <w:spacing w:after="40" w:before="40"/>
            </w:pPr>
            <w:r>
              <w:rPr>
                <w:b w:val="0"/>
                <w:sz w:val="18"/>
              </w:rPr>
              <w:t>9.650 €</w:t>
            </w:r>
          </w:p>
        </w:tc>
      </w:tr>
      <w:tr>
        <w:trPr>
          <w:cantSplit/>
        </w:trPr>
        <w:tc>
          <w:tcPr>
            <w:tcW w:type="dxa" w:w="1512"/>
          </w:tcPr>
          <w:p>
            <w:pPr>
              <w:spacing w:after="40" w:before="40"/>
            </w:pPr>
            <w:r>
              <w:rPr>
                <w:b w:val="0"/>
                <w:sz w:val="18"/>
              </w:rPr>
              <w:t>7</w:t>
            </w:r>
          </w:p>
        </w:tc>
        <w:tc>
          <w:tcPr>
            <w:tcW w:type="dxa" w:w="1512"/>
          </w:tcPr>
          <w:p>
            <w:pPr>
              <w:spacing w:after="40" w:before="40"/>
            </w:pPr>
            <w:r>
              <w:rPr>
                <w:b w:val="0"/>
                <w:sz w:val="18"/>
              </w:rPr>
              <w:t>5.400 €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1.050 €</w:t>
            </w:r>
          </w:p>
        </w:tc>
        <w:tc>
          <w:tcPr>
            <w:tcW w:type="dxa" w:w="1512"/>
          </w:tcPr>
          <w:p>
            <w:pPr>
              <w:spacing w:after="40" w:before="40"/>
            </w:pPr>
            <w:r>
              <w:rPr>
                <w:b w:val="0"/>
                <w:sz w:val="18"/>
              </w:rPr>
              <w:t>10.400 €</w:t>
            </w:r>
          </w:p>
        </w:tc>
      </w:tr>
      <w:tr>
        <w:trPr>
          <w:cantSplit/>
        </w:trPr>
        <w:tc>
          <w:tcPr>
            <w:tcW w:type="dxa" w:w="1512"/>
          </w:tcPr>
          <w:p>
            <w:pPr>
              <w:spacing w:after="40" w:before="40"/>
            </w:pPr>
            <w:r>
              <w:rPr>
                <w:b w:val="0"/>
                <w:sz w:val="18"/>
              </w:rPr>
              <w:t>8</w:t>
            </w:r>
          </w:p>
        </w:tc>
        <w:tc>
          <w:tcPr>
            <w:tcW w:type="dxa" w:w="1512"/>
          </w:tcPr>
          <w:p>
            <w:pPr>
              <w:spacing w:after="40" w:before="40"/>
            </w:pPr>
            <w:r>
              <w:rPr>
                <w:b w:val="0"/>
                <w:sz w:val="18"/>
              </w:rPr>
              <w:t>6.300 €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1.275 €</w:t>
            </w:r>
          </w:p>
        </w:tc>
        <w:tc>
          <w:tcPr>
            <w:tcW w:type="dxa" w:w="1512"/>
          </w:tcPr>
          <w:p>
            <w:pPr>
              <w:spacing w:after="40" w:before="40"/>
            </w:pPr>
            <w:r>
              <w:rPr>
                <w:b w:val="0"/>
                <w:sz w:val="18"/>
              </w:rPr>
              <w:t>11.825 €</w:t>
            </w:r>
          </w:p>
        </w:tc>
      </w:tr>
      <w:tr>
        <w:trPr>
          <w:cantSplit/>
        </w:trPr>
        <w:tc>
          <w:tcPr>
            <w:tcW w:type="dxa" w:w="1512"/>
          </w:tcPr>
          <w:p>
            <w:pPr>
              <w:spacing w:after="40" w:before="40"/>
            </w:pPr>
            <w:r>
              <w:rPr>
                <w:b w:val="0"/>
                <w:sz w:val="18"/>
              </w:rPr>
              <w:t>9</w:t>
            </w:r>
          </w:p>
        </w:tc>
        <w:tc>
          <w:tcPr>
            <w:tcW w:type="dxa" w:w="1512"/>
          </w:tcPr>
          <w:p>
            <w:pPr>
              <w:spacing w:after="40" w:before="40"/>
            </w:pPr>
            <w:r>
              <w:rPr>
                <w:b w:val="0"/>
                <w:sz w:val="18"/>
              </w:rPr>
              <w:t>7.200 €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1.500 €</w:t>
            </w:r>
          </w:p>
        </w:tc>
        <w:tc>
          <w:tcPr>
            <w:tcW w:type="dxa" w:w="1512"/>
          </w:tcPr>
          <w:p>
            <w:pPr>
              <w:spacing w:after="40" w:before="40"/>
            </w:pPr>
            <w:r>
              <w:rPr>
                <w:b w:val="0"/>
                <w:sz w:val="18"/>
              </w:rPr>
              <w:t>13.925 €</w:t>
            </w:r>
          </w:p>
        </w:tc>
      </w:tr>
      <w:tr>
        <w:trPr>
          <w:cantSplit/>
        </w:trPr>
        <w:tc>
          <w:tcPr>
            <w:tcW w:type="dxa" w:w="1512"/>
          </w:tcPr>
          <w:p>
            <w:pPr>
              <w:spacing w:after="40" w:before="40"/>
            </w:pPr>
            <w:r>
              <w:rPr>
                <w:b w:val="0"/>
                <w:sz w:val="18"/>
              </w:rPr>
              <w:t>10</w:t>
            </w:r>
          </w:p>
        </w:tc>
        <w:tc>
          <w:tcPr>
            <w:tcW w:type="dxa" w:w="1512"/>
          </w:tcPr>
          <w:p>
            <w:pPr>
              <w:spacing w:after="40" w:before="40"/>
            </w:pPr>
            <w:r>
              <w:rPr>
                <w:b w:val="0"/>
                <w:sz w:val="18"/>
              </w:rPr>
              <w:t>8.100 €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1.725 €</w:t>
            </w:r>
          </w:p>
        </w:tc>
        <w:tc>
          <w:tcPr>
            <w:tcW w:type="dxa" w:w="1512"/>
          </w:tcPr>
          <w:p>
            <w:pPr>
              <w:spacing w:after="40" w:before="40"/>
            </w:pPr>
            <w:r>
              <w:rPr>
                <w:b w:val="0"/>
                <w:sz w:val="18"/>
              </w:rPr>
              <w:t>16.700 €</w:t>
            </w:r>
          </w:p>
        </w:tc>
      </w:tr>
      <w:tr>
        <w:trPr>
          <w:cantSplit/>
        </w:trPr>
        <w:tc>
          <w:tcPr>
            <w:tcW w:type="dxa" w:w="1512"/>
          </w:tcPr>
          <w:p>
            <w:pPr>
              <w:spacing w:after="40" w:before="40"/>
            </w:pPr>
            <w:r>
              <w:rPr>
                <w:b w:val="0"/>
                <w:sz w:val="18"/>
              </w:rPr>
              <w:t>11</w:t>
            </w:r>
          </w:p>
        </w:tc>
        <w:tc>
          <w:tcPr>
            <w:tcW w:type="dxa" w:w="1512"/>
          </w:tcPr>
          <w:p>
            <w:pPr>
              <w:spacing w:after="40" w:before="40"/>
            </w:pPr>
            <w:r>
              <w:rPr>
                <w:b w:val="0"/>
                <w:sz w:val="18"/>
              </w:rPr>
              <w:t>9.000 €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1.950 €</w:t>
            </w:r>
          </w:p>
        </w:tc>
        <w:tc>
          <w:tcPr>
            <w:tcW w:type="dxa" w:w="1512"/>
          </w:tcPr>
          <w:p>
            <w:pPr>
              <w:spacing w:after="40" w:before="40"/>
            </w:pPr>
            <w:r>
              <w:rPr>
                <w:b w:val="0"/>
                <w:sz w:val="18"/>
              </w:rPr>
              <w:t>20.150 €</w:t>
            </w:r>
          </w:p>
        </w:tc>
      </w:tr>
      <w:tr>
        <w:trPr>
          <w:cantSplit/>
        </w:trPr>
        <w:tc>
          <w:tcPr>
            <w:tcW w:type="dxa" w:w="1512"/>
          </w:tcPr>
          <w:p>
            <w:pPr>
              <w:spacing w:after="40" w:before="40"/>
            </w:pPr>
            <w:r>
              <w:rPr>
                <w:b w:val="0"/>
                <w:sz w:val="18"/>
              </w:rPr>
              <w:t>12</w:t>
            </w:r>
          </w:p>
        </w:tc>
        <w:tc>
          <w:tcPr>
            <w:tcW w:type="dxa" w:w="1512"/>
          </w:tcPr>
          <w:p>
            <w:pPr>
              <w:spacing w:after="40" w:before="40"/>
            </w:pPr>
            <w:r>
              <w:rPr>
                <w:b w:val="0"/>
                <w:sz w:val="18"/>
              </w:rPr>
              <w:t>10.800 €</w:t>
            </w:r>
          </w:p>
        </w:tc>
        <w:tc>
          <w:tcPr>
            <w:tcW w:type="dxa" w:w="1512"/>
          </w:tcPr>
          <w:p>
            <w:pPr>
              <w:spacing w:after="40" w:before="40"/>
            </w:pPr>
            <w:r>
              <w:rPr>
                <w:b w:val="0"/>
                <w:sz w:val="18"/>
              </w:rPr>
              <w:t>1.200 €</w:t>
            </w:r>
          </w:p>
        </w:tc>
        <w:tc>
          <w:tcPr>
            <w:tcW w:type="dxa" w:w="1512"/>
          </w:tcPr>
          <w:p>
            <w:pPr>
              <w:spacing w:after="40" w:before="40"/>
            </w:pPr>
            <w:r>
              <w:rPr>
                <w:b w:val="0"/>
                <w:sz w:val="18"/>
              </w:rPr>
              <w:t>2.400 €</w:t>
            </w:r>
          </w:p>
        </w:tc>
        <w:tc>
          <w:tcPr>
            <w:tcW w:type="dxa" w:w="1512"/>
          </w:tcPr>
          <w:p>
            <w:pPr>
              <w:spacing w:after="40" w:before="40"/>
            </w:pPr>
            <w:r>
              <w:rPr>
                <w:b w:val="0"/>
                <w:sz w:val="18"/>
              </w:rPr>
              <w:t>2.400 €</w:t>
            </w:r>
          </w:p>
        </w:tc>
        <w:tc>
          <w:tcPr>
            <w:tcW w:type="dxa" w:w="1512"/>
          </w:tcPr>
          <w:p>
            <w:pPr>
              <w:spacing w:after="40" w:before="40"/>
            </w:pPr>
            <w:r>
              <w:rPr>
                <w:b w:val="0"/>
                <w:sz w:val="18"/>
              </w:rPr>
              <w:t>24.950 €</w:t>
            </w:r>
          </w:p>
        </w:tc>
      </w:tr>
    </w:tbl>
    <w:p>
      <w:pPr>
        <w:spacing w:after="100" w:line="252" w:lineRule="auto"/>
      </w:pPr>
      <w:r>
        <w:t>¹ Monatliche Zuführung zur Steuerreserve. Anfangsliquidität: 20.000 €. Niedrigster Bestand: 9.575 €. Endbestand: 24.950 €. Der private Bedarf beträgt jährlich 28.800 €; die Steuerreserve 11.250 €. Startauszahlungen von 3.000 € sind bereits vor Monat 1 abgezogen. Alle Beträge ohne Umsatzsteuer; eine gesonderte Umsatzsteuerliquidität ist nach Klärung des Status zu ergänzen.</w:t>
      </w:r>
    </w:p>
    <w:p>
      <w:pPr>
        <w:pStyle w:val="berschrift1"/>
        <w:pageBreakBefore/>
        <w:numPr>
          <w:numId w:val="0"/>
        </w:numPr>
        <w:spacing w:before="200" w:after="100"/>
      </w:pPr>
      <w:r>
        <w:t>Tragfähigkeit, Risiken und Umsetzung</w:t>
      </w:r>
    </w:p>
    <w:p>
      <w:pPr>
        <w:pStyle w:val="berschrift2"/>
        <w:numPr>
          <w:numId w:val="0"/>
        </w:numPr>
        <w:spacing w:before="200" w:after="100"/>
      </w:pPr>
      <w:r>
        <w:t>Tragfähigkeitslogik und Sensitivität</w:t>
      </w:r>
    </w:p>
    <w:p>
      <w:pPr>
        <w:spacing w:after="100" w:line="252" w:lineRule="auto"/>
      </w:pPr>
      <w:r>
        <w:t>Im Basisszenario stehen aus 45.000 € Jahresergebnis nach einer pauschalen Steuerreserve von 11.250 € noch 33.750 € für Privatentnahmen zur Verfügung. Nach 28.800 € privatem Bedarf verbleiben 4.950 €. Das ist eine rechnerische Deckung unter den gewählten Annahmen, keine bestätigte Tragfähigkeit.</w:t>
      </w:r>
    </w:p>
    <w:p>
      <w:pPr>
        <w:spacing w:after="100" w:line="252" w:lineRule="auto"/>
      </w:pPr>
      <w:r>
        <w:t>Bei 900 € pro Tag und 14.400 € Jahreskosten decken 16 abrechenbare Tage nur die betrieblichen Kosten. Für 28.800 € Privatbedarf nach 25 % Steuerreserve wären rechnerisch mindestens 59 Tage bzw. 53.100 € Jahresumsatz erforderlich. Unvorhergesehene Ausgaben, Altersvorsorge und tatsächliche Steuer-/Versicherungsbeträge können diesen Bedarf erhöhen.</w:t>
      </w:r>
    </w:p>
    <w:tbl>
      <w:tblPr>
        <w:tblW w:type="auto" w:w="0"/>
        <w:tblLook w:firstColumn="1" w:firstRow="1" w:lastColumn="0" w:lastRow="0" w:noHBand="0" w:noVBand="1" w:val="04A0"/>
      </w:tblPr>
      <w:tblGrid>
        <w:gridCol w:w="2268"/>
        <w:gridCol w:w="2268"/>
        <w:gridCol w:w="2268"/>
        <w:gridCol w:w="2268"/>
      </w:tblGrid>
      <w:tr>
        <w:trPr>
          <w:cantSplit/>
          <w:tblHeader/>
        </w:trPr>
        <w:tc>
          <w:tcPr>
            <w:tcW w:type="dxa" w:w="2268"/>
          </w:tcPr>
          <w:p>
            <w:pPr>
              <w:spacing w:after="40" w:before="40"/>
            </w:pPr>
            <w:r>
              <w:rPr>
                <w:b/>
                <w:sz w:val="18"/>
              </w:rPr>
              <w:t>Szenario Jahr 1</w:t>
            </w:r>
          </w:p>
        </w:tc>
        <w:tc>
          <w:tcPr>
            <w:tcW w:type="dxa" w:w="2268"/>
          </w:tcPr>
          <w:p>
            <w:pPr>
              <w:spacing w:after="40" w:before="40"/>
            </w:pPr>
            <w:r>
              <w:rPr>
                <w:b/>
                <w:sz w:val="18"/>
              </w:rPr>
              <w:t>Umsatz</w:t>
            </w:r>
          </w:p>
        </w:tc>
        <w:tc>
          <w:tcPr>
            <w:tcW w:type="dxa" w:w="2268"/>
          </w:tcPr>
          <w:p>
            <w:pPr>
              <w:spacing w:after="40" w:before="40"/>
            </w:pPr>
            <w:r>
              <w:rPr>
                <w:b/>
                <w:sz w:val="18"/>
              </w:rPr>
              <w:t>Ergebnis</w:t>
            </w:r>
          </w:p>
        </w:tc>
        <w:tc>
          <w:tcPr>
            <w:tcW w:type="dxa" w:w="2268"/>
          </w:tcPr>
          <w:p>
            <w:pPr>
              <w:spacing w:after="40" w:before="40"/>
            </w:pPr>
            <w:r>
              <w:rPr>
                <w:b/>
                <w:sz w:val="18"/>
              </w:rPr>
              <w:t>Nach 25 % Reserve und Privatbedarf</w:t>
            </w:r>
          </w:p>
        </w:tc>
      </w:tr>
      <w:tr>
        <w:trPr>
          <w:cantSplit/>
        </w:trPr>
        <w:tc>
          <w:tcPr>
            <w:tcW w:type="dxa" w:w="2268"/>
          </w:tcPr>
          <w:p>
            <w:pPr>
              <w:spacing w:after="40" w:before="40"/>
            </w:pPr>
            <w:r>
              <w:rPr>
                <w:b w:val="0"/>
                <w:sz w:val="18"/>
              </w:rPr>
              <w:t>Basis: 66 Tage × 900 €</w:t>
            </w:r>
          </w:p>
        </w:tc>
        <w:tc>
          <w:tcPr>
            <w:tcW w:type="dxa" w:w="2268"/>
          </w:tcPr>
          <w:p>
            <w:pPr>
              <w:spacing w:after="40" w:before="40"/>
            </w:pPr>
            <w:r>
              <w:rPr>
                <w:b w:val="0"/>
                <w:sz w:val="18"/>
              </w:rPr>
              <w:t>59.400 €</w:t>
            </w:r>
          </w:p>
        </w:tc>
        <w:tc>
          <w:tcPr>
            <w:tcW w:type="dxa" w:w="2268"/>
          </w:tcPr>
          <w:p>
            <w:pPr>
              <w:spacing w:after="40" w:before="40"/>
            </w:pPr>
            <w:r>
              <w:rPr>
                <w:b w:val="0"/>
                <w:sz w:val="18"/>
              </w:rPr>
              <w:t>45.000 €</w:t>
            </w:r>
          </w:p>
        </w:tc>
        <w:tc>
          <w:tcPr>
            <w:tcW w:type="dxa" w:w="2268"/>
          </w:tcPr>
          <w:p>
            <w:pPr>
              <w:spacing w:after="40" w:before="40"/>
            </w:pPr>
            <w:r>
              <w:rPr>
                <w:b w:val="0"/>
                <w:sz w:val="18"/>
              </w:rPr>
              <w:t>4.950 €</w:t>
            </w:r>
          </w:p>
        </w:tc>
      </w:tr>
      <w:tr>
        <w:trPr>
          <w:cantSplit/>
        </w:trPr>
        <w:tc>
          <w:tcPr>
            <w:tcW w:type="dxa" w:w="2268"/>
          </w:tcPr>
          <w:p>
            <w:pPr>
              <w:spacing w:after="40" w:before="40"/>
            </w:pPr>
            <w:r>
              <w:rPr>
                <w:b w:val="0"/>
                <w:sz w:val="18"/>
              </w:rPr>
              <w:t>Weniger Auslastung: 50 Tage × 900 €</w:t>
            </w:r>
          </w:p>
        </w:tc>
        <w:tc>
          <w:tcPr>
            <w:tcW w:type="dxa" w:w="2268"/>
          </w:tcPr>
          <w:p>
            <w:pPr>
              <w:spacing w:after="40" w:before="40"/>
            </w:pPr>
            <w:r>
              <w:rPr>
                <w:b w:val="0"/>
                <w:sz w:val="18"/>
              </w:rPr>
              <w:t>45.000 €</w:t>
            </w:r>
          </w:p>
        </w:tc>
        <w:tc>
          <w:tcPr>
            <w:tcW w:type="dxa" w:w="2268"/>
          </w:tcPr>
          <w:p>
            <w:pPr>
              <w:spacing w:after="40" w:before="40"/>
            </w:pPr>
            <w:r>
              <w:rPr>
                <w:b w:val="0"/>
                <w:sz w:val="18"/>
              </w:rPr>
              <w:t>30.600 €</w:t>
            </w:r>
          </w:p>
        </w:tc>
        <w:tc>
          <w:tcPr>
            <w:tcW w:type="dxa" w:w="2268"/>
          </w:tcPr>
          <w:p>
            <w:pPr>
              <w:spacing w:after="40" w:before="40"/>
            </w:pPr>
            <w:r>
              <w:rPr>
                <w:b w:val="0"/>
                <w:sz w:val="18"/>
              </w:rPr>
              <w:t>-5.850 €</w:t>
            </w:r>
          </w:p>
        </w:tc>
      </w:tr>
      <w:tr>
        <w:trPr>
          <w:cantSplit/>
        </w:trPr>
        <w:tc>
          <w:tcPr>
            <w:tcW w:type="dxa" w:w="2268"/>
          </w:tcPr>
          <w:p>
            <w:pPr>
              <w:spacing w:after="40" w:before="40"/>
            </w:pPr>
            <w:r>
              <w:rPr>
                <w:b w:val="0"/>
                <w:sz w:val="18"/>
              </w:rPr>
              <w:t>Honorar −10 %: 66 Tage × 810 €</w:t>
            </w:r>
          </w:p>
        </w:tc>
        <w:tc>
          <w:tcPr>
            <w:tcW w:type="dxa" w:w="2268"/>
          </w:tcPr>
          <w:p>
            <w:pPr>
              <w:spacing w:after="40" w:before="40"/>
            </w:pPr>
            <w:r>
              <w:rPr>
                <w:b w:val="0"/>
                <w:sz w:val="18"/>
              </w:rPr>
              <w:t>53.460 €</w:t>
            </w:r>
          </w:p>
        </w:tc>
        <w:tc>
          <w:tcPr>
            <w:tcW w:type="dxa" w:w="2268"/>
          </w:tcPr>
          <w:p>
            <w:pPr>
              <w:spacing w:after="40" w:before="40"/>
            </w:pPr>
            <w:r>
              <w:rPr>
                <w:b w:val="0"/>
                <w:sz w:val="18"/>
              </w:rPr>
              <w:t>39.060 €</w:t>
            </w:r>
          </w:p>
        </w:tc>
        <w:tc>
          <w:tcPr>
            <w:tcW w:type="dxa" w:w="2268"/>
          </w:tcPr>
          <w:p>
            <w:pPr>
              <w:spacing w:after="40" w:before="40"/>
            </w:pPr>
            <w:r>
              <w:rPr>
                <w:b w:val="0"/>
                <w:sz w:val="18"/>
              </w:rPr>
              <w:t>495 €</w:t>
            </w:r>
          </w:p>
        </w:tc>
      </w:tr>
    </w:tbl>
    <w:p>
      <w:pPr>
        <w:spacing w:after="100" w:line="252" w:lineRule="auto"/>
      </w:pPr>
      <w:r>
        <w:t>Die niedrigere Auslastung würde einen jährlichen Fehlbetrag von 5.850 € im privaten Deckungsmodell erzeugen. Wird bei unverändertem Kosten- und Privatprofil jede Kundenzahlung um einen Monat verschoben, sinkt die niedrigste Liquidität im ersten Jahr auf 5.000 €; der Bestand am Jahresende beträgt 14.150 € nach weiterhin reservierter Jahressteuer von 11.250 €. Eine Forderung von 10.800 € aus Monat 12 geht dann erst in Monat 13 ein. Tatsächliche Steuerzeitpunkte und Zahlungsziele sind gesondert zu planen.</w:t>
      </w:r>
    </w:p>
    <w:p>
      <w:pPr>
        <w:pStyle w:val="berschrift2"/>
        <w:numPr>
          <w:numId w:val="0"/>
        </w:numPr>
        <w:spacing w:before="200" w:after="100"/>
      </w:pPr>
      <w:r>
        <w:t>Wesentliche Risiken und Gegenmaßnahmen</w:t>
      </w:r>
    </w:p>
    <w:p>
      <w:pPr>
        <w:pStyle w:val="Listenabsatz"/>
        <w:spacing w:after="100" w:line="252" w:lineRule="auto"/>
      </w:pPr>
      <w:r>
        <w:t>Lange Vergabe- und Verkaufszyklen: mehrere Zielgruppen, frühzeitige Pipeline und keine Kapazitätsbindung ohne schriftlichen Auftrag.</w:t>
      </w:r>
    </w:p>
    <w:p>
      <w:pPr>
        <w:pStyle w:val="Listenabsatz"/>
        <w:spacing w:after="100" w:line="252" w:lineRule="auto"/>
      </w:pPr>
      <w:r>
        <w:t>Abhängigkeit von Einzelkunden oder Förderprojekten: kleinere Einstiegsangebote, mehrere Auftraggeber und regelmäßige Konzentrationsprüfung.</w:t>
      </w:r>
    </w:p>
    <w:p>
      <w:pPr>
        <w:pStyle w:val="Listenabsatz"/>
        <w:spacing w:after="100" w:line="252" w:lineRule="auto"/>
      </w:pPr>
      <w:r>
        <w:t>Krankheit oder Überlastung: Reservetage, klare Leistungsgrenzen und ein qualifiziertes Kooperationsnetzwerk.</w:t>
      </w:r>
    </w:p>
    <w:p>
      <w:pPr>
        <w:pStyle w:val="Listenabsatz"/>
        <w:spacing w:after="100" w:line="252" w:lineRule="auto"/>
      </w:pPr>
      <w:r>
        <w:t>Unbezahlte Vorbereitung oder unklare Nutzungsrechte: Leistungsumfang und Änderungen schriftlich festhalten; Materialien und Rechte gesondert regeln.</w:t>
      </w:r>
    </w:p>
    <w:p>
      <w:pPr>
        <w:pStyle w:val="Listenabsatz"/>
        <w:spacing w:after="100" w:line="252" w:lineRule="auto"/>
      </w:pPr>
      <w:r>
        <w:t>Unzureichende Eigenmittel oder höherer Privatbedarf: Finanzierung vor Start sichern, Entnahmen realistisch anpassen und Liquiditätsplanung neu rechnen.</w:t>
      </w:r>
    </w:p>
    <w:p>
      <w:pPr>
        <w:pStyle w:val="berschrift2"/>
        <w:numPr>
          <w:numId w:val="0"/>
        </w:numPr>
        <w:spacing w:before="200" w:after="100"/>
      </w:pPr>
      <w:r>
        <w:t>Umsetzungsplan</w:t>
      </w:r>
    </w:p>
    <w:p>
      <w:pPr>
        <w:spacing w:after="100" w:line="252" w:lineRule="auto"/>
      </w:pPr>
      <w:r>
        <w:t>Vor dem geplanten Start am 09.12.2026 in Stavenhagen: Fördervoraussetzungen und Status klären; tatsächlichen Privatbedarf, Versicherungen und Eigenmittel nachweisen. Monat 1–2: Leistungsblätter, Vertragsgrundlagen, zehn Bedarfsgespräche und erste Angebote. Monat 3–6: erste bezahlte Piloten, Evaluation und Preisprüfung. Monat 7–12: wiederkehrende Auftraggeber, dokumentierte Transferangebote und monatlicher Soll-Ist-Abgleich. Standardisierung oder Lizenzierung erst nach validierter Nachfrage.</w:t>
      </w:r>
    </w:p>
    <w:p>
      <w:pPr>
        <w:pStyle w:val="berschrift1"/>
        <w:pageBreakBefore/>
        <w:numPr>
          <w:numId w:val="0"/>
        </w:numPr>
        <w:spacing w:before="200" w:after="100"/>
      </w:pPr>
      <w:r>
        <w:t>Anlagen und offene Nachweise</w:t>
      </w:r>
    </w:p>
    <w:p>
      <w:pPr>
        <w:pStyle w:val="berschrift2"/>
        <w:numPr>
          <w:numId w:val="0"/>
        </w:numPr>
        <w:spacing w:before="200" w:after="100"/>
      </w:pPr>
      <w:r>
        <w:t>Für die finale Einreichung zu ergänzen</w:t>
      </w:r>
    </w:p>
    <w:p>
      <w:pPr>
        <w:pStyle w:val="Listenabsatz"/>
        <w:spacing w:after="100" w:line="252" w:lineRule="auto"/>
      </w:pPr>
      <w:r>
        <w:t>Geplanter Start 09.12.2026 und Sitz Stavenhagen: vollständige Kontaktdaten, Geschäftsanschrift und Tätigkeitsstatus seit April 2026 ergänzen.</w:t>
      </w:r>
    </w:p>
    <w:p>
      <w:pPr>
        <w:pStyle w:val="Listenabsatz"/>
        <w:spacing w:after="100" w:line="252" w:lineRule="auto"/>
      </w:pPr>
      <w:r>
        <w:t>Entscheidung zur Rechtsform sowie steuerliche Einordnung und Umsatzsteuerbehandlung.</w:t>
      </w:r>
    </w:p>
    <w:p>
      <w:pPr>
        <w:pStyle w:val="Listenabsatz"/>
        <w:spacing w:after="100" w:line="252" w:lineRule="auto"/>
      </w:pPr>
      <w:r>
        <w:t>Tatsächliche Eigenmittel und gegebenenfalls schriftliche Finanzierungszusagen; die Beispielannahme von 23.000 € ersetzen oder bestätigen.</w:t>
      </w:r>
    </w:p>
    <w:p>
      <w:pPr>
        <w:pStyle w:val="Listenabsatz"/>
        <w:spacing w:after="100" w:line="252" w:lineRule="auto"/>
      </w:pPr>
      <w:r>
        <w:t>Persönlicher Haushaltsplan einschließlich Wohnen, Versicherungen, Altersvorsorge, Unterhalt und vorhandener Verpflichtungen.</w:t>
      </w:r>
    </w:p>
    <w:p>
      <w:pPr>
        <w:pStyle w:val="Listenabsatz"/>
        <w:spacing w:after="100" w:line="252" w:lineRule="auto"/>
      </w:pPr>
      <w:r>
        <w:t>Dokumentierte Bedarfsgespräche, Vergleichspreise, Angebote, Absichtserklärungen oder Aufträge – soweit tatsächlich vorhanden.</w:t>
      </w:r>
    </w:p>
    <w:p>
      <w:pPr>
        <w:pStyle w:val="Listenabsatz"/>
        <w:spacing w:after="100" w:line="252" w:lineRule="auto"/>
      </w:pPr>
      <w:r>
        <w:t>Kostenangebote zu Versicherungen, Software, Steuerberatung, Ausstattung und ggf. Räumen.</w:t>
      </w:r>
    </w:p>
    <w:p>
      <w:pPr>
        <w:pStyle w:val="Listenabsatz"/>
        <w:spacing w:after="100" w:line="252" w:lineRule="auto"/>
      </w:pPr>
      <w:r>
        <w:t>Aktualisierte monatliche Liquiditätsplanung mit realen Zahlungszielen, Steuern und optional bewilligtem Gründungszuschuss.</w:t>
      </w:r>
    </w:p>
    <w:p>
      <w:pPr>
        <w:pStyle w:val="Listenabsatz"/>
        <w:spacing w:after="100" w:line="252" w:lineRule="auto"/>
      </w:pPr>
      <w:r>
        <w:t>CV, Abschluss- und Weiterbildungsnachweise sowie freigegebene Arbeitsproben oder Referenzen.</w:t>
      </w:r>
    </w:p>
    <w:p>
      <w:pPr>
        <w:pStyle w:val="berschrift2"/>
        <w:numPr>
          <w:numId w:val="0"/>
        </w:numPr>
        <w:spacing w:before="200" w:after="100"/>
      </w:pPr>
      <w:r>
        <w:t>Grundlagen und Abgrenzung</w:t>
      </w:r>
    </w:p>
    <w:p>
      <w:pPr>
        <w:spacing w:after="100" w:line="252" w:lineRule="auto"/>
      </w:pPr>
      <w:r>
        <w:t>Inhaltliche Grundlagen: bereitgestellter Ausgangs-CV „CV_No Name.pdf“; korrigierter englischer CV-Text vom 27. Oktober 2026; die vom Auftraggeber bereitgestellte Positionierung „Business Positioning“. Strukturvorlage: „Businessplan_Max-Muster.docx“. Die Vorlage dient ausschließlich dem Aufbau; Namen, Sitz, Finanzwerte, Gründungsdatum und Geschäftsmerkmale des Musterunternehmens wurden nicht übernommen.</w:t>
      </w:r>
    </w:p>
    <w:p>
      <w:pPr>
        <w:spacing w:after="100" w:line="252" w:lineRule="auto"/>
      </w:pPr>
      <w:r>
        <w:t>Die im CV genannten Netzwerkrollen mit „Now“ werden für diesen Plan als laut Vorlage fortlaufende Erfahrung verstanden. Deren aktueller Umfang und etwaige vertragliche Bindungen sind vor Einreichung zu bestätigen. Unter Begutachtung stehende Publikationen werden nicht als bereits veröffentlichte Nachweise behandelt.</w:t>
      </w:r>
    </w:p>
    <w:p>
      <w:pPr>
        <w:spacing w:after="100" w:line="252" w:lineRule="auto"/>
      </w:pPr>
      <w:r>
        <w:t>Es wurden keine externen Marktstudien, aktuellen Wettbewerberpreise oder verbindlichen Förderentscheidungen recherchiert. Marktannahmen sind deshalb ausdrücklich als zu validierende Hypothesen formuliert. Alle Finanzwerte sind Modellannahmen; eine Förderung oder ein wirtschaftlicher Erfolg wird nicht zugesichert.</w:t>
      </w:r>
    </w:p>
    <w:p>
      <w:pPr>
        <w:spacing w:after="100" w:line="252" w:lineRule="auto"/>
      </w:pPr>
      <w:r>
        <w:t>Ort / Datum: __________________________</w:t>
      </w:r>
    </w:p>
    <w:p>
      <w:pPr>
        <w:spacing w:after="100" w:line="252" w:lineRule="auto"/>
      </w:pPr>
      <w:r>
        <w:t>Dr. Mahsa Motlagh: __________________________</w:t>
      </w:r>
    </w:p>
    <w:sectPr w:rsidR="00D22281">
      <w:footerReference w:type="default" r:id="rId10"/>
      <w:headerReference w:type="default" r:id="rId13"/>
      <w:pgSz w:w="11906" w:h="16838"/>
      <w:pgMar w:top="1191" w:right="1417" w:bottom="1077" w:left="1417"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5493" w14:textId="77777777" w:rsidR="00D46F53" w:rsidRDefault="00D46F53">
      <w:pPr>
        <w:spacing w:after="0" w:line="240" w:lineRule="auto"/>
      </w:pPr>
      <w:r>
        <w:separator/>
      </w:r>
    </w:p>
  </w:endnote>
  <w:endnote w:type="continuationSeparator" w:id="0">
    <w:p w14:paraId="1A0332B4" w14:textId="77777777" w:rsidR="00D46F53" w:rsidRDefault="00D4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374B110-EE74-4A2B-B52A-14D0D6DD09F7}"/>
    <w:embedBold r:id="rId2" w:fontKey="{CB958ABE-9A3F-497C-B015-42FB5C8ACD02}"/>
    <w:embedItalic r:id="rId3" w:fontKey="{60885EFF-F794-4299-A904-7155B2A6989F}"/>
  </w:font>
  <w:font w:name="Cambria">
    <w:panose1 w:val="02040503050406030204"/>
    <w:charset w:val="00"/>
    <w:family w:val="roman"/>
    <w:pitch w:val="variable"/>
    <w:sig w:usb0="E00006FF" w:usb1="420024FF" w:usb2="02000000" w:usb3="00000000" w:csb0="0000019F" w:csb1="00000000"/>
    <w:embedRegular r:id="rId4" w:fontKey="{1138A90F-9475-4827-9D88-C6BEA8343E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0044" w14:textId="77777777" w:rsidR="00D22281"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546110F" w14:textId="77777777" w:rsidR="00D22281" w:rsidRDefault="00D22281">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6F80" w14:textId="7E67F41C" w:rsidR="00D22281"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fldChar w:fldCharType="begin"/>
    </w:r>
    <w:r>
      <w:rPr>
        <w:color w:val="000000"/>
      </w:rPr>
      <w:instrText>PAGE</w:instrText>
    </w:r>
    <w:r>
      <w:rPr>
        <w:color w:val="000000"/>
      </w:rPr>
      <w:fldChar w:fldCharType="separate"/>
    </w:r>
    <w:r w:rsidR="00EB1162">
      <w:rPr>
        <w:noProof/>
        <w:color w:val="000000"/>
      </w:rPr>
      <w:t>2</w:t>
    </w:r>
    <w:r>
      <w:rPr>
        <w:color w:val="000000"/>
      </w:rPr>
      <w:fldChar w:fldCharType="end"/>
    </w:r>
  </w:p>
  <w:p w14:paraId="0C4849F6" w14:textId="77777777" w:rsidR="00D22281" w:rsidRDefault="00D22281">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888C" w14:textId="1602EC10" w:rsidR="00D22281" w:rsidRDefault="00000000">
    <w:pPr>
      <w:pBdr>
        <w:top w:val="nil"/>
        <w:left w:val="nil"/>
        <w:bottom w:val="nil"/>
        <w:right w:val="nil"/>
        <w:between w:val="nil"/>
      </w:pBdr>
      <w:tabs>
        <w:tab w:val="center" w:pos="4536"/>
        <w:tab w:val="right" w:pos="9072"/>
      </w:tabs>
      <w:spacing w:after="0" w:line="240" w:lineRule="auto"/>
      <w:jc w:val="right"/>
      <w:rPr>
        <w:color w:val="000000"/>
      </w:rPr>
    </w:pPr>
    <w:r>
      <w:rPr>
        <w:sz w:val="16"/>
      </w:rPr>
      <w:t xml:space="preserve">Businessplan · Dr. Mahsa Motlagh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D1BA" w14:textId="77777777" w:rsidR="00D46F53" w:rsidRDefault="00D46F53">
      <w:pPr>
        <w:spacing w:after="0" w:line="240" w:lineRule="auto"/>
      </w:pPr>
      <w:r>
        <w:separator/>
      </w:r>
    </w:p>
  </w:footnote>
  <w:footnote w:type="continuationSeparator" w:id="0">
    <w:p w14:paraId="399FCE41" w14:textId="77777777" w:rsidR="00D46F53" w:rsidRDefault="00D46F5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9DD"/>
    <w:multiLevelType w:val="multilevel"/>
    <w:tmpl w:val="678AA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CC2299"/>
    <w:multiLevelType w:val="multilevel"/>
    <w:tmpl w:val="04E64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9D3A46"/>
    <w:multiLevelType w:val="hybridMultilevel"/>
    <w:tmpl w:val="7F463B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7C20CC"/>
    <w:multiLevelType w:val="hybridMultilevel"/>
    <w:tmpl w:val="ED4645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9251E6"/>
    <w:multiLevelType w:val="multilevel"/>
    <w:tmpl w:val="31587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7024CB"/>
    <w:multiLevelType w:val="multilevel"/>
    <w:tmpl w:val="56C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F292A"/>
    <w:multiLevelType w:val="multilevel"/>
    <w:tmpl w:val="B086A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F54BD0"/>
    <w:multiLevelType w:val="multilevel"/>
    <w:tmpl w:val="338292FE"/>
    <w:lvl w:ilvl="0">
      <w:start w:val="1"/>
      <w:numFmt w:val="decimal"/>
      <w:pStyle w:val="berschrift1"/>
      <w:lvlText w:val="%1."/>
      <w:lvlJc w:val="left"/>
      <w:pPr>
        <w:ind w:left="720" w:hanging="360"/>
      </w:pPr>
    </w:lvl>
    <w:lvl w:ilvl="1">
      <w:start w:val="1"/>
      <w:numFmt w:val="decimal"/>
      <w:pStyle w:val="berschrift2"/>
      <w:lvlText w:val="%1.%2."/>
      <w:lvlJc w:val="left"/>
      <w:pPr>
        <w:ind w:left="1080" w:hanging="720"/>
      </w:pPr>
    </w:lvl>
    <w:lvl w:ilvl="2">
      <w:start w:val="1"/>
      <w:numFmt w:val="decimal"/>
      <w:pStyle w:val="berschrift3"/>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D667A4D"/>
    <w:multiLevelType w:val="multilevel"/>
    <w:tmpl w:val="795C1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7B0800"/>
    <w:multiLevelType w:val="multilevel"/>
    <w:tmpl w:val="4072C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C07517"/>
    <w:multiLevelType w:val="hybridMultilevel"/>
    <w:tmpl w:val="A372B8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D14715"/>
    <w:multiLevelType w:val="multilevel"/>
    <w:tmpl w:val="726642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A76617"/>
    <w:multiLevelType w:val="multilevel"/>
    <w:tmpl w:val="85C0BD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D114F1"/>
    <w:multiLevelType w:val="hybridMultilevel"/>
    <w:tmpl w:val="18C800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7825E10"/>
    <w:multiLevelType w:val="multilevel"/>
    <w:tmpl w:val="BDE21B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DC76D18"/>
    <w:multiLevelType w:val="multilevel"/>
    <w:tmpl w:val="C2CEE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4C765AB"/>
    <w:multiLevelType w:val="multilevel"/>
    <w:tmpl w:val="52700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B3A4F5A"/>
    <w:multiLevelType w:val="multilevel"/>
    <w:tmpl w:val="D21401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563AF1"/>
    <w:multiLevelType w:val="multilevel"/>
    <w:tmpl w:val="CFC68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58A13DB"/>
    <w:multiLevelType w:val="hybridMultilevel"/>
    <w:tmpl w:val="D8305F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64D445D"/>
    <w:multiLevelType w:val="multilevel"/>
    <w:tmpl w:val="F2D68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1074C95"/>
    <w:multiLevelType w:val="hybridMultilevel"/>
    <w:tmpl w:val="5B8A3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9821649"/>
    <w:multiLevelType w:val="multilevel"/>
    <w:tmpl w:val="400C6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E5C27F5"/>
    <w:multiLevelType w:val="hybridMultilevel"/>
    <w:tmpl w:val="3514CA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5DA2280"/>
    <w:multiLevelType w:val="hybridMultilevel"/>
    <w:tmpl w:val="66F66A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C67706D"/>
    <w:multiLevelType w:val="hybridMultilevel"/>
    <w:tmpl w:val="98CAF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D2449E2"/>
    <w:multiLevelType w:val="multilevel"/>
    <w:tmpl w:val="52088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24D4BE4"/>
    <w:multiLevelType w:val="multilevel"/>
    <w:tmpl w:val="6C3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43999"/>
    <w:multiLevelType w:val="multilevel"/>
    <w:tmpl w:val="CEA87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E1773E"/>
    <w:multiLevelType w:val="multilevel"/>
    <w:tmpl w:val="9072E2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E2645C0"/>
    <w:multiLevelType w:val="multilevel"/>
    <w:tmpl w:val="20724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0146544">
    <w:abstractNumId w:val="15"/>
  </w:num>
  <w:num w:numId="2" w16cid:durableId="243606774">
    <w:abstractNumId w:val="7"/>
  </w:num>
  <w:num w:numId="3" w16cid:durableId="152068249">
    <w:abstractNumId w:val="29"/>
  </w:num>
  <w:num w:numId="4" w16cid:durableId="1226985088">
    <w:abstractNumId w:val="20"/>
  </w:num>
  <w:num w:numId="5" w16cid:durableId="1556115224">
    <w:abstractNumId w:val="30"/>
  </w:num>
  <w:num w:numId="6" w16cid:durableId="1115757621">
    <w:abstractNumId w:val="4"/>
  </w:num>
  <w:num w:numId="7" w16cid:durableId="413478450">
    <w:abstractNumId w:val="8"/>
  </w:num>
  <w:num w:numId="8" w16cid:durableId="892810875">
    <w:abstractNumId w:val="26"/>
  </w:num>
  <w:num w:numId="9" w16cid:durableId="1603562133">
    <w:abstractNumId w:val="11"/>
  </w:num>
  <w:num w:numId="10" w16cid:durableId="1161970585">
    <w:abstractNumId w:val="17"/>
  </w:num>
  <w:num w:numId="11" w16cid:durableId="600601940">
    <w:abstractNumId w:val="14"/>
  </w:num>
  <w:num w:numId="12" w16cid:durableId="2105877801">
    <w:abstractNumId w:val="18"/>
  </w:num>
  <w:num w:numId="13" w16cid:durableId="1763837773">
    <w:abstractNumId w:val="1"/>
  </w:num>
  <w:num w:numId="14" w16cid:durableId="163716034">
    <w:abstractNumId w:val="16"/>
  </w:num>
  <w:num w:numId="15" w16cid:durableId="2090223403">
    <w:abstractNumId w:val="6"/>
  </w:num>
  <w:num w:numId="16" w16cid:durableId="1223905328">
    <w:abstractNumId w:val="28"/>
  </w:num>
  <w:num w:numId="17" w16cid:durableId="2134908760">
    <w:abstractNumId w:val="22"/>
  </w:num>
  <w:num w:numId="18" w16cid:durableId="846939933">
    <w:abstractNumId w:val="9"/>
  </w:num>
  <w:num w:numId="19" w16cid:durableId="1867869336">
    <w:abstractNumId w:val="12"/>
  </w:num>
  <w:num w:numId="20" w16cid:durableId="607199892">
    <w:abstractNumId w:val="0"/>
  </w:num>
  <w:num w:numId="21" w16cid:durableId="360205529">
    <w:abstractNumId w:val="5"/>
  </w:num>
  <w:num w:numId="22" w16cid:durableId="980621191">
    <w:abstractNumId w:val="27"/>
  </w:num>
  <w:num w:numId="23" w16cid:durableId="1237396219">
    <w:abstractNumId w:val="3"/>
  </w:num>
  <w:num w:numId="24" w16cid:durableId="1488325708">
    <w:abstractNumId w:val="23"/>
  </w:num>
  <w:num w:numId="25" w16cid:durableId="1821269703">
    <w:abstractNumId w:val="21"/>
  </w:num>
  <w:num w:numId="26" w16cid:durableId="1740056504">
    <w:abstractNumId w:val="24"/>
  </w:num>
  <w:num w:numId="27" w16cid:durableId="1003708504">
    <w:abstractNumId w:val="25"/>
  </w:num>
  <w:num w:numId="28" w16cid:durableId="1042554169">
    <w:abstractNumId w:val="19"/>
  </w:num>
  <w:num w:numId="29" w16cid:durableId="746222199">
    <w:abstractNumId w:val="10"/>
  </w:num>
  <w:num w:numId="30" w16cid:durableId="1545677403">
    <w:abstractNumId w:val="13"/>
  </w:num>
  <w:num w:numId="31" w16cid:durableId="1992639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81"/>
    <w:rsid w:val="00007CE3"/>
    <w:rsid w:val="000745D4"/>
    <w:rsid w:val="00083491"/>
    <w:rsid w:val="001C1C13"/>
    <w:rsid w:val="001C1E5B"/>
    <w:rsid w:val="00255484"/>
    <w:rsid w:val="00324198"/>
    <w:rsid w:val="00330346"/>
    <w:rsid w:val="003562B2"/>
    <w:rsid w:val="00370FCB"/>
    <w:rsid w:val="003B67C9"/>
    <w:rsid w:val="004231D2"/>
    <w:rsid w:val="00440B5C"/>
    <w:rsid w:val="00464E47"/>
    <w:rsid w:val="004C42EE"/>
    <w:rsid w:val="00626032"/>
    <w:rsid w:val="0066193F"/>
    <w:rsid w:val="006E2977"/>
    <w:rsid w:val="0078590D"/>
    <w:rsid w:val="007953C6"/>
    <w:rsid w:val="008436D7"/>
    <w:rsid w:val="00863789"/>
    <w:rsid w:val="00926DDD"/>
    <w:rsid w:val="009C46C2"/>
    <w:rsid w:val="00A233A1"/>
    <w:rsid w:val="00BA35C8"/>
    <w:rsid w:val="00BC77D2"/>
    <w:rsid w:val="00C1452D"/>
    <w:rsid w:val="00CD6E7B"/>
    <w:rsid w:val="00CF7F0A"/>
    <w:rsid w:val="00D2023C"/>
    <w:rsid w:val="00D22281"/>
    <w:rsid w:val="00D46F53"/>
    <w:rsid w:val="00D77851"/>
    <w:rsid w:val="00DA0D40"/>
    <w:rsid w:val="00DA7C32"/>
    <w:rsid w:val="00E20971"/>
    <w:rsid w:val="00EB1162"/>
    <w:rsid w:val="00F22FB3"/>
    <w:rsid w:val="00FE26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5FC7"/>
  <w15:docId w15:val="{A0B8A484-A084-4874-ACA8-F36681407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 w:eastAsia="es-MX"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00EB1162"/>
    <w:pPr>
      <w:keepNext/>
      <w:keepLines/>
      <w:numPr>
        <w:numId w:val="2"/>
      </w:numPr>
      <w:spacing w:after="80"/>
      <w:ind w:left="426" w:hanging="426"/>
      <w:outlineLvl w:val="0"/>
    </w:pPr>
    <w:rPr>
      <w:color w:val="2F5496"/>
      <w:sz w:val="28"/>
      <w:szCs w:val="28"/>
    </w:rPr>
  </w:style>
  <w:style w:type="paragraph" w:styleId="berschrift2">
    <w:name w:val="heading 2"/>
    <w:basedOn w:val="Standard"/>
    <w:next w:val="Standard"/>
    <w:uiPriority w:val="9"/>
    <w:unhideWhenUsed/>
    <w:qFormat/>
    <w:rsid w:val="00EB1162"/>
    <w:pPr>
      <w:keepNext/>
      <w:keepLines/>
      <w:numPr>
        <w:ilvl w:val="1"/>
        <w:numId w:val="2"/>
      </w:numPr>
      <w:spacing w:before="360" w:after="80"/>
      <w:ind w:left="709"/>
      <w:outlineLvl w:val="1"/>
    </w:pPr>
    <w:rPr>
      <w:color w:val="2F5496"/>
      <w:sz w:val="28"/>
      <w:szCs w:val="28"/>
    </w:rPr>
  </w:style>
  <w:style w:type="paragraph" w:styleId="berschrift3">
    <w:name w:val="heading 3"/>
    <w:basedOn w:val="Standard"/>
    <w:next w:val="Standard"/>
    <w:uiPriority w:val="9"/>
    <w:unhideWhenUsed/>
    <w:qFormat/>
    <w:rsid w:val="00EB1162"/>
    <w:pPr>
      <w:keepNext/>
      <w:keepLines/>
      <w:numPr>
        <w:ilvl w:val="2"/>
        <w:numId w:val="2"/>
      </w:numPr>
      <w:spacing w:before="160" w:after="80"/>
      <w:ind w:left="709"/>
      <w:outlineLvl w:val="2"/>
    </w:pPr>
    <w:rPr>
      <w:color w:val="2F5496"/>
      <w:sz w:val="28"/>
      <w:szCs w:val="28"/>
      <w:lang w:val="en-US"/>
    </w:rPr>
  </w:style>
  <w:style w:type="paragraph" w:styleId="berschrift4">
    <w:name w:val="heading 4"/>
    <w:basedOn w:val="Standard"/>
    <w:next w:val="Standard"/>
    <w:uiPriority w:val="9"/>
    <w:semiHidden/>
    <w:unhideWhenUsed/>
    <w:qFormat/>
    <w:pPr>
      <w:keepNext/>
      <w:keepLines/>
      <w:spacing w:before="80" w:after="40"/>
      <w:outlineLvl w:val="3"/>
    </w:pPr>
    <w:rPr>
      <w:i/>
      <w:iCs/>
      <w:color w:val="2F5496"/>
    </w:rPr>
  </w:style>
  <w:style w:type="paragraph" w:styleId="berschrift5">
    <w:name w:val="heading 5"/>
    <w:basedOn w:val="Standard"/>
    <w:next w:val="Standard"/>
    <w:uiPriority w:val="9"/>
    <w:semiHidden/>
    <w:unhideWhenUsed/>
    <w:qFormat/>
    <w:pPr>
      <w:keepNext/>
      <w:keepLines/>
      <w:spacing w:before="80" w:after="40"/>
      <w:outlineLvl w:val="4"/>
    </w:pPr>
    <w:rPr>
      <w:color w:val="2F5496"/>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sz w:val="56"/>
      <w:szCs w:val="56"/>
    </w:rPr>
  </w:style>
  <w:style w:type="paragraph" w:styleId="Untertitel">
    <w:name w:val="Subtitle"/>
    <w:basedOn w:val="Standard"/>
    <w:next w:val="Standard"/>
    <w:uiPriority w:val="11"/>
    <w:qFormat/>
    <w:rPr>
      <w:color w:val="595959"/>
      <w:sz w:val="28"/>
      <w:szCs w:val="28"/>
    </w:rPr>
  </w:style>
  <w:style w:type="table" w:customStyle="1" w:styleId="a">
    <w:basedOn w:val="TableNormal"/>
    <w:tblPr>
      <w:tblStyleRowBandSize w:val="1"/>
      <w:tblStyleColBandSize w:val="1"/>
      <w:tblCellMar>
        <w:top w:w="57" w:type="dxa"/>
        <w:left w:w="115" w:type="dxa"/>
        <w:bottom w:w="57" w:type="dxa"/>
        <w:right w:w="115" w:type="dxa"/>
      </w:tblCellMar>
    </w:tblPr>
  </w:style>
  <w:style w:type="table" w:customStyle="1" w:styleId="a0">
    <w:basedOn w:val="TableNormal"/>
    <w:tblPr>
      <w:tblStyleRowBandSize w:val="1"/>
      <w:tblStyleColBandSize w:val="1"/>
      <w:tblCellMar>
        <w:top w:w="57" w:type="dxa"/>
        <w:left w:w="115" w:type="dxa"/>
        <w:bottom w:w="57" w:type="dxa"/>
        <w:right w:w="115" w:type="dxa"/>
      </w:tblCellMar>
    </w:tblPr>
  </w:style>
  <w:style w:type="table" w:customStyle="1" w:styleId="a1">
    <w:basedOn w:val="TableNormal"/>
    <w:tblPr>
      <w:tblStyleRowBandSize w:val="1"/>
      <w:tblStyleColBandSize w:val="1"/>
      <w:tblCellMar>
        <w:top w:w="28" w:type="dxa"/>
        <w:left w:w="115" w:type="dxa"/>
        <w:bottom w:w="28" w:type="dxa"/>
        <w:right w:w="115" w:type="dxa"/>
      </w:tblCellMar>
    </w:tblPr>
  </w:style>
  <w:style w:type="table" w:customStyle="1" w:styleId="a2">
    <w:basedOn w:val="TableNormal"/>
    <w:tblPr>
      <w:tblStyleRowBandSize w:val="1"/>
      <w:tblStyleColBandSize w:val="1"/>
      <w:tblCellMar>
        <w:top w:w="57" w:type="dxa"/>
        <w:left w:w="115" w:type="dxa"/>
        <w:bottom w:w="57" w:type="dxa"/>
        <w:right w:w="115" w:type="dxa"/>
      </w:tblCellMar>
    </w:tblPr>
  </w:style>
  <w:style w:type="character" w:styleId="Hyperlink">
    <w:name w:val="Hyperlink"/>
    <w:basedOn w:val="Absatz-Standardschriftart"/>
    <w:uiPriority w:val="99"/>
    <w:unhideWhenUsed/>
    <w:rsid w:val="00EB1162"/>
    <w:rPr>
      <w:color w:val="0000FF" w:themeColor="hyperlink"/>
      <w:u w:val="single"/>
    </w:rPr>
  </w:style>
  <w:style w:type="character" w:styleId="NichtaufgelsteErwhnung">
    <w:name w:val="Unresolved Mention"/>
    <w:basedOn w:val="Absatz-Standardschriftart"/>
    <w:uiPriority w:val="99"/>
    <w:semiHidden/>
    <w:unhideWhenUsed/>
    <w:rsid w:val="00EB1162"/>
    <w:rPr>
      <w:color w:val="605E5C"/>
      <w:shd w:val="clear" w:color="auto" w:fill="E1DFDD"/>
    </w:rPr>
  </w:style>
  <w:style w:type="paragraph" w:styleId="Listenabsatz">
    <w:name w:val="List Paragraph"/>
    <w:basedOn w:val="Standard"/>
    <w:uiPriority w:val="34"/>
    <w:qFormat/>
    <w:rsid w:val="00BC77D2"/>
    <w:pPr>
      <w:ind w:left="720"/>
      <w:contextualSpacing/>
    </w:pPr>
  </w:style>
  <w:style w:type="paragraph" w:styleId="Inhaltsverzeichnisberschrift">
    <w:name w:val="TOC Heading"/>
    <w:basedOn w:val="berschrift1"/>
    <w:next w:val="Standard"/>
    <w:uiPriority w:val="39"/>
    <w:unhideWhenUsed/>
    <w:qFormat/>
    <w:rsid w:val="003B67C9"/>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styleId="Verzeichnis1">
    <w:name w:val="toc 1"/>
    <w:basedOn w:val="Standard"/>
    <w:next w:val="Standard"/>
    <w:autoRedefine/>
    <w:uiPriority w:val="39"/>
    <w:unhideWhenUsed/>
    <w:rsid w:val="003B67C9"/>
    <w:pPr>
      <w:spacing w:after="100"/>
    </w:pPr>
  </w:style>
  <w:style w:type="paragraph" w:styleId="Verzeichnis2">
    <w:name w:val="toc 2"/>
    <w:basedOn w:val="Standard"/>
    <w:next w:val="Standard"/>
    <w:autoRedefine/>
    <w:uiPriority w:val="39"/>
    <w:unhideWhenUsed/>
    <w:rsid w:val="003B67C9"/>
    <w:pPr>
      <w:spacing w:after="100"/>
      <w:ind w:left="220"/>
    </w:pPr>
  </w:style>
  <w:style w:type="paragraph" w:styleId="Verzeichnis3">
    <w:name w:val="toc 3"/>
    <w:basedOn w:val="Standard"/>
    <w:next w:val="Standard"/>
    <w:autoRedefine/>
    <w:uiPriority w:val="39"/>
    <w:unhideWhenUsed/>
    <w:rsid w:val="003B67C9"/>
    <w:pPr>
      <w:spacing w:after="100"/>
      <w:ind w:left="440"/>
    </w:pPr>
  </w:style>
  <w:style w:type="paragraph" w:styleId="Kopfzeile">
    <w:name w:val="header"/>
    <w:basedOn w:val="Standard"/>
    <w:link w:val="KopfzeileZchn"/>
    <w:uiPriority w:val="99"/>
    <w:unhideWhenUsed/>
    <w:rsid w:val="0066193F"/>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66193F"/>
  </w:style>
  <w:style w:type="paragraph" w:styleId="Fuzeile">
    <w:name w:val="footer"/>
    <w:basedOn w:val="Standard"/>
    <w:link w:val="FuzeileZchn"/>
    <w:uiPriority w:val="99"/>
    <w:unhideWhenUsed/>
    <w:rsid w:val="0066193F"/>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66193F"/>
  </w:style>
  <w:style w:type="paragraph" w:styleId="KeinLeerraum">
    <w:name w:val="No Spacing"/>
    <w:uiPriority w:val="1"/>
    <w:qFormat/>
    <w:rsid w:val="007953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4DA38-A937-42AC-A187-57AE93AEA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2408</Words>
  <Characters>13250</Characters>
  <Application>Microsoft Office Word</Application>
  <DocSecurity>0</DocSecurity>
  <Lines>110</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Krisch</cp:lastModifiedBy>
  <cp:revision>20</cp:revision>
  <dcterms:created xsi:type="dcterms:W3CDTF">2026-02-18T16:11:00Z</dcterms:created>
  <dcterms:modified xsi:type="dcterms:W3CDTF">2026-10-21T07:38:00Z</dcterms:modified>
  <dc:title>Businessplan – Dr. Mahsa Motlagh</dc:title>
  <dc:creator>Dr. Mahsa Motlagh</dc:creator>
  <dc:subject>Gründung einer forschungsbasierten Beratung</dc:subject>
  <dc:description/>
  <cp:keywords/>
</cp:coreProperties>
</file>