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sz w:val="56"/>
          <w:szCs w:val="56"/>
        </w:rPr>
        <w:t xml:space="preserve">FLUX 2.0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Intellectual Property Strategy &amp; Timeline</w:t>
      </w:r>
    </w:p>
    <w:p>
      <w:pPr>
        <w:spacing w:after="480"/>
        <w:jc w:val="center"/>
      </w:pPr>
      <w:r>
        <w:rPr>
          <w:i/>
          <w:iCs/>
          <w:sz w:val="20"/>
          <w:szCs w:val="20"/>
        </w:rPr>
        <w:t xml:space="preserve">Last Updated: November 14, 2025</w:t>
      </w:r>
    </w:p>
    <w:p>
      <w:pPr>
        <w:pStyle w:val="Heading1"/>
      </w:pPr>
      <w:r>
        <w:t xml:space="preserve">Executive Summary</w:t>
      </w:r>
    </w:p>
    <w:p>
      <w:r>
        <w:t xml:space="preserve">This document outlines the intellectual property protection strategy for Flux 2.0, including Freedom to Operate (FTO) analysis and patent filing considerations. The strategy is designed to protect the core innovation—habit-completion-triggered automated money transfers—while maintaining budget efficiency during the development phase.</w:t>
      </w:r>
    </w:p>
    <w:p>
      <w:r>
        <w:t xml:space="preserve"/>
      </w:r>
    </w:p>
    <w:p>
      <w:r>
        <w:rPr>
          <w:b/>
          <w:bCs/>
        </w:rPr>
        <w:t xml:space="preserve">Key IP Milestones:</w:t>
      </w:r>
    </w:p>
    <w:p>
      <w:pPr>
        <w:pStyle w:val="ListParagraph"/>
        <w:numPr>
          <w:ilvl w:val="0"/>
          <w:numId w:val="2"/>
        </w:numPr>
      </w:pPr>
      <w:r>
        <w:t xml:space="preserve">Week 24: Freedom to Operate Analysis ($3-5K)</w:t>
      </w:r>
    </w:p>
    <w:p>
      <w:pPr>
        <w:pStyle w:val="ListParagraph"/>
        <w:numPr>
          <w:ilvl w:val="0"/>
          <w:numId w:val="2"/>
        </w:numPr>
      </w:pPr>
      <w:r>
        <w:t xml:space="preserve">Week 38: Provisional Patent Filing ($5-7K) - Conditional on beta validation</w:t>
      </w:r>
    </w:p>
    <w:p>
      <w:pPr>
        <w:pStyle w:val="ListParagraph"/>
        <w:numPr>
          <w:ilvl w:val="0"/>
          <w:numId w:val="2"/>
        </w:numPr>
      </w:pPr>
      <w:r>
        <w:t xml:space="preserve">Month 15-18: Full Utility Patent Conversion ($20-30K) - Conditional on revenue milestones</w:t>
      </w:r>
    </w:p>
    <w:p>
      <w:r>
        <w:t xml:space="preserve"/>
      </w:r>
    </w:p>
    <w:p>
      <w:r>
        <w:rPr>
          <w:b/>
          <w:bCs/>
        </w:rPr>
        <w:t xml:space="preserve">Total Year 1 IP Investment: </w:t>
      </w:r>
      <w:r>
        <w:t xml:space="preserve">$8-12K</w:t>
      </w:r>
    </w:p>
    <w:p>
      <w:r>
        <w:rPr>
          <w:b/>
          <w:bCs/>
        </w:rPr>
        <w:t xml:space="preserve">Purpose: </w:t>
      </w:r>
      <w:r>
        <w:t xml:space="preserve">Protect $25-45K development investment and establish defensible competitive moat</w:t>
      </w:r>
    </w:p>
    <w:p>
      <w:pPr>
        <w:pStyle w:val="Heading1"/>
      </w:pPr>
      <w:r>
        <w:t xml:space="preserve">Understanding Freedom to Operate (FTO)</w:t>
      </w:r>
    </w:p>
    <w:p>
      <w:pPr>
        <w:pStyle w:val="Heading2"/>
      </w:pPr>
      <w:r>
        <w:t xml:space="preserve">What is Freedom to Operate?</w:t>
      </w:r>
    </w:p>
    <w:p>
      <w:r>
        <w:t xml:space="preserve">Freedom to Operate is a legal analysis that determines whether launching Flux 2.0 would infringe on existing patents. An FTO analysis provides:</w:t>
      </w:r>
    </w:p>
    <w:p>
      <w:pPr>
        <w:pStyle w:val="ListParagraph"/>
        <w:numPr>
          <w:ilvl w:val="0"/>
          <w:numId w:val="2"/>
        </w:numPr>
      </w:pPr>
      <w:r>
        <w:t xml:space="preserve">Identification of relevant patents in the behavior-change and fintech space</w:t>
      </w:r>
    </w:p>
    <w:p>
      <w:pPr>
        <w:pStyle w:val="ListParagraph"/>
        <w:numPr>
          <w:ilvl w:val="0"/>
          <w:numId w:val="2"/>
        </w:numPr>
      </w:pPr>
      <w:r>
        <w:t xml:space="preserve">Assessment of infringement risk for Flux's specific implementation</w:t>
      </w:r>
    </w:p>
    <w:p>
      <w:pPr>
        <w:pStyle w:val="ListParagraph"/>
        <w:numPr>
          <w:ilvl w:val="0"/>
          <w:numId w:val="2"/>
        </w:numPr>
      </w:pPr>
      <w:r>
        <w:t xml:space="preserve">Design-around recommendations if conflicts are found</w:t>
      </w:r>
    </w:p>
    <w:p>
      <w:pPr>
        <w:pStyle w:val="ListParagraph"/>
        <w:numPr>
          <w:ilvl w:val="0"/>
          <w:numId w:val="2"/>
        </w:numPr>
      </w:pPr>
      <w:r>
        <w:t xml:space="preserve">Written legal opinion demonstrating good faith due diligence</w:t>
      </w:r>
    </w:p>
    <w:p>
      <w:pPr>
        <w:pStyle w:val="Heading2"/>
      </w:pPr>
      <w:r>
        <w:t xml:space="preserve">Why FTO Matters for Flux</w:t>
      </w:r>
    </w:p>
    <w:p>
      <w:r>
        <w:rPr>
          <w:b/>
          <w:bCs/>
        </w:rPr>
        <w:t xml:space="preserve">If you DON'T conduct FTO and accidentally infringe:</w:t>
      </w:r>
    </w:p>
    <w:p>
      <w:pPr>
        <w:pStyle w:val="ListParagraph"/>
        <w:numPr>
          <w:ilvl w:val="0"/>
          <w:numId w:val="2"/>
        </w:numPr>
      </w:pPr>
      <w:r>
        <w:t xml:space="preserve">Patent holder can sue for damages and injunctive relief</w:t>
      </w:r>
    </w:p>
    <w:p>
      <w:pPr>
        <w:pStyle w:val="ListParagraph"/>
        <w:numPr>
          <w:ilvl w:val="0"/>
          <w:numId w:val="2"/>
        </w:numPr>
      </w:pPr>
      <w:r>
        <w:t xml:space="preserve">May be forced to shut down transfer features or entire product</w:t>
      </w:r>
    </w:p>
    <w:p>
      <w:pPr>
        <w:pStyle w:val="ListParagraph"/>
        <w:numPr>
          <w:ilvl w:val="0"/>
          <w:numId w:val="2"/>
        </w:numPr>
      </w:pPr>
      <w:r>
        <w:t xml:space="preserve">Legal defense costs: $100K-$1M+</w:t>
      </w:r>
    </w:p>
    <w:p>
      <w:pPr>
        <w:pStyle w:val="ListParagraph"/>
        <w:numPr>
          <w:ilvl w:val="0"/>
          <w:numId w:val="2"/>
        </w:numPr>
      </w:pPr>
      <w:r>
        <w:t xml:space="preserve">"Willful infringement" can triple damages</w:t>
      </w:r>
    </w:p>
    <w:p>
      <w:pPr>
        <w:pStyle w:val="ListParagraph"/>
        <w:numPr>
          <w:ilvl w:val="0"/>
          <w:numId w:val="2"/>
        </w:numPr>
      </w:pPr>
      <w:r>
        <w:t xml:space="preserve">Investors lose confidence; future funding becomes difficult</w:t>
      </w:r>
    </w:p>
    <w:p>
      <w:r>
        <w:t xml:space="preserve"/>
      </w:r>
    </w:p>
    <w:p>
      <w:r>
        <w:rPr>
          <w:b/>
          <w:bCs/>
        </w:rPr>
        <w:t xml:space="preserve">If you DO conduct FTO:</w:t>
      </w:r>
    </w:p>
    <w:p>
      <w:pPr>
        <w:pStyle w:val="ListParagraph"/>
        <w:numPr>
          <w:ilvl w:val="0"/>
          <w:numId w:val="2"/>
        </w:numPr>
      </w:pPr>
      <w:r>
        <w:t xml:space="preserve">Understand risks before major infrastructure investment</w:t>
      </w:r>
    </w:p>
    <w:p>
      <w:pPr>
        <w:pStyle w:val="ListParagraph"/>
        <w:numPr>
          <w:ilvl w:val="0"/>
          <w:numId w:val="2"/>
        </w:numPr>
      </w:pPr>
      <w:r>
        <w:t xml:space="preserve">Can design around problematic patents proactively</w:t>
      </w:r>
    </w:p>
    <w:p>
      <w:pPr>
        <w:pStyle w:val="ListParagraph"/>
        <w:numPr>
          <w:ilvl w:val="0"/>
          <w:numId w:val="2"/>
        </w:numPr>
      </w:pPr>
      <w:r>
        <w:t xml:space="preserve">Demonstrates good faith if later challenged (reduces damages)</w:t>
      </w:r>
    </w:p>
    <w:p>
      <w:pPr>
        <w:pStyle w:val="ListParagraph"/>
        <w:numPr>
          <w:ilvl w:val="0"/>
          <w:numId w:val="2"/>
        </w:numPr>
      </w:pPr>
      <w:r>
        <w:t xml:space="preserve">Provides investor confidence and due diligence documentation</w:t>
      </w:r>
    </w:p>
    <w:p>
      <w:pPr>
        <w:pStyle w:val="Heading1"/>
      </w:pPr>
      <w:r>
        <w:t xml:space="preserve">Current Patent Landscape Analysis</w:t>
      </w:r>
    </w:p>
    <w:p>
      <w:pPr>
        <w:pStyle w:val="Heading2"/>
      </w:pPr>
      <w:r>
        <w:t xml:space="preserve">Competitive Patent Review</w:t>
      </w:r>
    </w:p>
    <w:p>
      <w:r>
        <w:rPr>
          <w:b/>
          <w:bCs/>
        </w:rPr>
        <w:t xml:space="preserve">Acorns (Micro-Investing):</w:t>
      </w:r>
    </w:p>
    <w:p>
      <w:pPr>
        <w:pStyle w:val="ListParagraph"/>
        <w:numPr>
          <w:ilvl w:val="0"/>
          <w:numId w:val="2"/>
        </w:numPr>
      </w:pPr>
      <w:r>
        <w:t xml:space="preserve">23-27 registered patents focused on purchase round-up technology</w:t>
      </w:r>
    </w:p>
    <w:p>
      <w:pPr>
        <w:pStyle w:val="ListParagraph"/>
        <w:numPr>
          <w:ilvl w:val="0"/>
          <w:numId w:val="2"/>
        </w:numPr>
      </w:pPr>
      <w:r>
        <w:t xml:space="preserve">Key patents cover: rounding transactions to nearest dollar, aggregating to minimum threshold, converting to investments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DISTINCTION: </w:t>
      </w:r>
      <w:r>
        <w:t xml:space="preserve">Acorns rounds up purchases automatically; Flux transfers based on habit completion—fundamentally different trigger mechanisms</w:t>
      </w:r>
    </w:p>
    <w:p>
      <w:r>
        <w:t xml:space="preserve"/>
      </w:r>
    </w:p>
    <w:p>
      <w:r>
        <w:rPr>
          <w:b/>
          <w:bCs/>
        </w:rPr>
        <w:t xml:space="preserve">Beeminder &amp; StickK (Behavior Change with Financial Stakes):</w:t>
      </w:r>
    </w:p>
    <w:p>
      <w:pPr>
        <w:pStyle w:val="ListParagraph"/>
        <w:numPr>
          <w:ilvl w:val="0"/>
          <w:numId w:val="2"/>
        </w:numPr>
      </w:pPr>
      <w:r>
        <w:t xml:space="preserve">Beeminder: Charges users' credit cards upon habit failure with escalating penalties</w:t>
      </w:r>
    </w:p>
    <w:p>
      <w:pPr>
        <w:pStyle w:val="ListParagraph"/>
        <w:numPr>
          <w:ilvl w:val="0"/>
          <w:numId w:val="2"/>
        </w:numPr>
      </w:pPr>
      <w:r>
        <w:t xml:space="preserve">StickK: Users pledge money via 'Commitment Contracts' leveraging loss aversion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APPARENT PATENT BARRIERS: </w:t>
      </w:r>
      <w:r>
        <w:t xml:space="preserve">Both operate freely in behavior-change + money space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DISTINCTION: </w:t>
      </w:r>
      <w:r>
        <w:t xml:space="preserve">These use loss aversion (taking money); Flux uses positive reinforcement (earning money through transfers)</w:t>
      </w:r>
    </w:p>
    <w:p>
      <w:pPr>
        <w:pStyle w:val="Heading2"/>
      </w:pPr>
      <w:r>
        <w:t xml:space="preserve">Preliminary Risk Assessment</w:t>
      </w:r>
    </w:p>
    <w:p>
      <w:r>
        <w:rPr>
          <w:b/>
          <w:bCs/>
          <w:color w:val="2D7A2D"/>
        </w:rPr>
        <w:t xml:space="preserve">LOW RISK AREAS:</w:t>
      </w:r>
    </w:p>
    <w:p>
      <w:pPr>
        <w:pStyle w:val="ListParagraph"/>
        <w:numPr>
          <w:ilvl w:val="0"/>
          <w:numId w:val="2"/>
        </w:numPr>
      </w:pPr>
      <w:r>
        <w:t xml:space="preserve">Habit tracking and logging functionality</w:t>
      </w:r>
    </w:p>
    <w:p>
      <w:pPr>
        <w:pStyle w:val="ListParagraph"/>
        <w:numPr>
          <w:ilvl w:val="0"/>
          <w:numId w:val="2"/>
        </w:numPr>
      </w:pPr>
      <w:r>
        <w:t xml:space="preserve">Behavioral scoring algorithms (HHS)</w:t>
      </w:r>
    </w:p>
    <w:p>
      <w:pPr>
        <w:pStyle w:val="ListParagraph"/>
        <w:numPr>
          <w:ilvl w:val="0"/>
          <w:numId w:val="2"/>
        </w:numPr>
      </w:pPr>
      <w:r>
        <w:t xml:space="preserve">Data aggregation for indices</w:t>
      </w:r>
    </w:p>
    <w:p>
      <w:pPr>
        <w:pStyle w:val="ListParagraph"/>
        <w:numPr>
          <w:ilvl w:val="0"/>
          <w:numId w:val="2"/>
        </w:numPr>
      </w:pPr>
      <w:r>
        <w:t xml:space="preserve">Subscription-based business model</w:t>
      </w:r>
    </w:p>
    <w:p>
      <w:r>
        <w:t xml:space="preserve"/>
      </w:r>
    </w:p>
    <w:p>
      <w:r>
        <w:rPr>
          <w:b/>
          <w:bCs/>
          <w:color w:val="D97706"/>
        </w:rPr>
        <w:t xml:space="preserve">MEDIUM RISK AREAS (Require FTO Verification):</w:t>
      </w:r>
    </w:p>
    <w:p>
      <w:pPr>
        <w:pStyle w:val="ListParagraph"/>
        <w:numPr>
          <w:ilvl w:val="0"/>
          <w:numId w:val="2"/>
        </w:numPr>
      </w:pPr>
      <w:r>
        <w:t xml:space="preserve">Automated money transfers triggered by behavior</w:t>
      </w:r>
    </w:p>
    <w:p>
      <w:pPr>
        <w:pStyle w:val="ListParagraph"/>
        <w:numPr>
          <w:ilvl w:val="0"/>
          <w:numId w:val="2"/>
        </w:numPr>
      </w:pPr>
      <w:r>
        <w:t xml:space="preserve">Integration of Plaid + Stripe for checking/savings transfers</w:t>
      </w:r>
    </w:p>
    <w:p>
      <w:pPr>
        <w:pStyle w:val="ListParagraph"/>
        <w:numPr>
          <w:ilvl w:val="0"/>
          <w:numId w:val="2"/>
        </w:numPr>
      </w:pPr>
      <w:r>
        <w:t xml:space="preserve">Real-time transfer automation on habit completion</w:t>
      </w:r>
    </w:p>
    <w:p>
      <w:pPr>
        <w:pStyle w:val="Heading1"/>
      </w:pPr>
      <w:r>
        <w:t xml:space="preserve">IP Timeline &amp; Integration with Development Roadmap</w:t>
      </w:r>
    </w:p>
    <w:p>
      <w:pPr>
        <w:pStyle w:val="Heading2"/>
      </w:pPr>
      <w:r>
        <w:t xml:space="preserve">Phase 4: Week 22-24 (Mid-Banking Infrastructure)</w:t>
      </w:r>
    </w:p>
    <w:p>
      <w:r>
        <w:rPr>
          <w:b/>
          <w:bCs/>
          <w:sz w:val="24"/>
          <w:szCs w:val="24"/>
        </w:rPr>
        <w:t xml:space="preserve">MILESTONE: Freedom to Operate Analysis</w:t>
      </w:r>
    </w:p>
    <w:p>
      <w:r>
        <w:t xml:space="preserve"/>
      </w:r>
    </w:p>
    <w:p>
      <w:r>
        <w:rPr>
          <w:b/>
          <w:bCs/>
        </w:rPr>
        <w:t xml:space="preserve">Timing Rationale:</w:t>
      </w:r>
    </w:p>
    <w:p>
      <w:pPr>
        <w:pStyle w:val="ListParagraph"/>
        <w:numPr>
          <w:ilvl w:val="0"/>
          <w:numId w:val="2"/>
        </w:numPr>
      </w:pPr>
      <w:r>
        <w:t xml:space="preserve">Banking infrastructure specs are finalized and documented</w:t>
      </w:r>
    </w:p>
    <w:p>
      <w:pPr>
        <w:pStyle w:val="ListParagraph"/>
        <w:numPr>
          <w:ilvl w:val="0"/>
          <w:numId w:val="2"/>
        </w:numPr>
      </w:pPr>
      <w:r>
        <w:t xml:space="preserve">$10-20K about to be committed to Plaid/Stripe integration</w:t>
      </w:r>
    </w:p>
    <w:p>
      <w:pPr>
        <w:pStyle w:val="ListParagraph"/>
        <w:numPr>
          <w:ilvl w:val="0"/>
          <w:numId w:val="2"/>
        </w:numPr>
      </w:pPr>
      <w:r>
        <w:t xml:space="preserve">Still 5-8 weeks before beta launch (time to pivot if needed)</w:t>
      </w:r>
    </w:p>
    <w:p>
      <w:pPr>
        <w:pStyle w:val="ListParagraph"/>
        <w:numPr>
          <w:ilvl w:val="0"/>
          <w:numId w:val="2"/>
        </w:numPr>
      </w:pPr>
      <w:r>
        <w:t xml:space="preserve">Critical decision gate before point of no return</w:t>
      </w:r>
    </w:p>
    <w:p>
      <w:r>
        <w:t xml:space="preserve"/>
      </w:r>
    </w:p>
    <w:p>
      <w:r>
        <w:rPr>
          <w:b/>
          <w:bCs/>
        </w:rPr>
        <w:t xml:space="preserve">Investment: </w:t>
      </w:r>
      <w:r>
        <w:t xml:space="preserve">$3-5,000</w:t>
      </w:r>
    </w:p>
    <w:p>
      <w:pPr>
        <w:pStyle w:val="Heading2"/>
      </w:pPr>
      <w:r>
        <w:t xml:space="preserve">Phase 5: Week 36-38 (Late Beta Testing)</w:t>
      </w:r>
    </w:p>
    <w:p>
      <w:r>
        <w:rPr>
          <w:b/>
          <w:bCs/>
          <w:sz w:val="24"/>
          <w:szCs w:val="24"/>
        </w:rPr>
        <w:t xml:space="preserve">MILESTONE: Provisional Patent Filing (Conditional)</w:t>
      </w:r>
    </w:p>
    <w:p>
      <w:r>
        <w:t xml:space="preserve"/>
      </w:r>
    </w:p>
    <w:p>
      <w:r>
        <w:rPr>
          <w:b/>
          <w:bCs/>
        </w:rPr>
        <w:t xml:space="preserve">Timing Rationale:</w:t>
      </w:r>
    </w:p>
    <w:p>
      <w:pPr>
        <w:pStyle w:val="ListParagraph"/>
        <w:numPr>
          <w:ilvl w:val="0"/>
          <w:numId w:val="2"/>
        </w:numPr>
      </w:pPr>
      <w:r>
        <w:t xml:space="preserve">Beta validation complete with 50+ users</w:t>
      </w:r>
    </w:p>
    <w:p>
      <w:pPr>
        <w:pStyle w:val="ListParagraph"/>
        <w:numPr>
          <w:ilvl w:val="0"/>
          <w:numId w:val="2"/>
        </w:numPr>
      </w:pPr>
      <w:r>
        <w:t xml:space="preserve">Retention data confirms product-market fit (60%+ Week 4 retention target)</w:t>
      </w:r>
    </w:p>
    <w:p>
      <w:pPr>
        <w:pStyle w:val="ListParagraph"/>
        <w:numPr>
          <w:ilvl w:val="0"/>
          <w:numId w:val="2"/>
        </w:numPr>
      </w:pPr>
      <w:r>
        <w:t xml:space="preserve">Real user data proves concept works (not just theoretical)</w:t>
      </w:r>
    </w:p>
    <w:p>
      <w:pPr>
        <w:pStyle w:val="ListParagraph"/>
        <w:numPr>
          <w:ilvl w:val="0"/>
          <w:numId w:val="2"/>
        </w:numPr>
      </w:pPr>
      <w:r>
        <w:t xml:space="preserve">BEFORE indices launch (Week 39) and public launch (Week 51)</w:t>
      </w:r>
    </w:p>
    <w:p>
      <w:pPr>
        <w:pStyle w:val="ListParagraph"/>
        <w:numPr>
          <w:ilvl w:val="0"/>
          <w:numId w:val="2"/>
        </w:numPr>
      </w:pPr>
      <w:r>
        <w:t xml:space="preserve">Provides "patent pending" status for marketing</w:t>
      </w:r>
    </w:p>
    <w:p>
      <w:r>
        <w:t xml:space="preserve"/>
      </w:r>
    </w:p>
    <w:p>
      <w:r>
        <w:rPr>
          <w:b/>
          <w:bCs/>
        </w:rPr>
        <w:t xml:space="preserve">Conditional Triggers (File ONLY if):</w:t>
      </w:r>
    </w:p>
    <w:p>
      <w:pPr>
        <w:pStyle w:val="ListParagraph"/>
        <w:numPr>
          <w:ilvl w:val="0"/>
          <w:numId w:val="2"/>
        </w:numPr>
      </w:pPr>
      <w:r>
        <w:t xml:space="preserve">Week 4 retention ≥ 60%</w:t>
      </w:r>
    </w:p>
    <w:p>
      <w:pPr>
        <w:pStyle w:val="ListParagraph"/>
        <w:numPr>
          <w:ilvl w:val="0"/>
          <w:numId w:val="2"/>
        </w:numPr>
      </w:pPr>
      <w:r>
        <w:t xml:space="preserve">Average 15+ activity logs per user per week</w:t>
      </w:r>
    </w:p>
    <w:p>
      <w:pPr>
        <w:pStyle w:val="ListParagraph"/>
        <w:numPr>
          <w:ilvl w:val="0"/>
          <w:numId w:val="2"/>
        </w:numPr>
      </w:pPr>
      <w:r>
        <w:t xml:space="preserve">Positive user feedback on money transfer mechanism</w:t>
      </w:r>
    </w:p>
    <w:p>
      <w:r>
        <w:t xml:space="preserve"/>
      </w:r>
    </w:p>
    <w:p>
      <w:r>
        <w:rPr>
          <w:b/>
          <w:bCs/>
        </w:rPr>
        <w:t xml:space="preserve">Investment: </w:t>
      </w:r>
      <w:r>
        <w:t xml:space="preserve">$5-7,000 (provisional)</w:t>
      </w:r>
    </w:p>
    <w:p>
      <w:pPr>
        <w:pStyle w:val="Heading2"/>
      </w:pPr>
      <w:r>
        <w:t xml:space="preserve">Phase 9: Month 15-18 (Post-Launch Growth)</w:t>
      </w:r>
    </w:p>
    <w:p>
      <w:r>
        <w:rPr>
          <w:b/>
          <w:bCs/>
          <w:sz w:val="24"/>
          <w:szCs w:val="24"/>
        </w:rPr>
        <w:t xml:space="preserve">MILESTONE: Full Utility Patent Conversion (Conditional)</w:t>
      </w:r>
    </w:p>
    <w:p>
      <w:r>
        <w:t xml:space="preserve"/>
      </w:r>
    </w:p>
    <w:p>
      <w:r>
        <w:rPr>
          <w:b/>
          <w:bCs/>
        </w:rPr>
        <w:t xml:space="preserve">Conditional Triggers (Convert ONLY if):</w:t>
      </w:r>
    </w:p>
    <w:p>
      <w:pPr>
        <w:pStyle w:val="ListParagraph"/>
        <w:numPr>
          <w:ilvl w:val="0"/>
          <w:numId w:val="2"/>
        </w:numPr>
      </w:pPr>
      <w:r>
        <w:t xml:space="preserve">Monthly recurring revenue ≥ $10,000</w:t>
      </w:r>
    </w:p>
    <w:p>
      <w:pPr>
        <w:pStyle w:val="ListParagraph"/>
        <w:numPr>
          <w:ilvl w:val="0"/>
          <w:numId w:val="2"/>
        </w:numPr>
      </w:pPr>
      <w:r>
        <w:t xml:space="preserve">Active user base ≥ 1,000 users</w:t>
      </w:r>
    </w:p>
    <w:p>
      <w:pPr>
        <w:pStyle w:val="ListParagraph"/>
        <w:numPr>
          <w:ilvl w:val="0"/>
          <w:numId w:val="2"/>
        </w:numPr>
      </w:pPr>
      <w:r>
        <w:t xml:space="preserve">Indices generating data licensing interest</w:t>
      </w:r>
    </w:p>
    <w:p>
      <w:pPr>
        <w:pStyle w:val="ListParagraph"/>
        <w:numPr>
          <w:ilvl w:val="0"/>
          <w:numId w:val="2"/>
        </w:numPr>
      </w:pPr>
      <w:r>
        <w:t xml:space="preserve">Competitive activity in behavioral fintech space</w:t>
      </w:r>
    </w:p>
    <w:p>
      <w:r>
        <w:t xml:space="preserve"/>
      </w:r>
    </w:p>
    <w:p>
      <w:r>
        <w:rPr>
          <w:b/>
          <w:bCs/>
        </w:rPr>
        <w:t xml:space="preserve">Investment: </w:t>
      </w:r>
      <w:r>
        <w:t xml:space="preserve">$20-30,000 per patent</w:t>
      </w:r>
    </w:p>
    <w:p>
      <w:pPr>
        <w:pStyle w:val="Heading1"/>
      </w:pPr>
      <w:r>
        <w:t xml:space="preserve">Budget Considerations &amp; ROI Analysis</w:t>
      </w:r>
    </w:p>
    <w:p>
      <w:pPr>
        <w:pStyle w:val="Heading2"/>
      </w:pPr>
      <w:r>
        <w:t xml:space="preserve">Year 1 IP Investment Scenarios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Approach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Investment &amp;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Conservative (Recommended)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24: Basic FTO Analysis - $3,000</w:t>
            </w:r>
          </w:p>
          <w:p>
            <w:r>
              <w:t xml:space="preserve">Week 38: Single Provisional Patent - $5,000</w:t>
            </w:r>
          </w:p>
          <w:p>
            <w:r>
              <w:rPr>
                <w:b/>
                <w:bCs/>
              </w:rPr>
              <w:t xml:space="preserve">TOTAL YEAR 1: $8,000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Comprehensive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24: Full FTO Analysis - $8,000</w:t>
            </w:r>
          </w:p>
          <w:p>
            <w:r>
              <w:t xml:space="preserve">Week 38: Three Provisional Patents - $15,000</w:t>
            </w:r>
          </w:p>
          <w:p>
            <w:r>
              <w:rPr>
                <w:b/>
                <w:bCs/>
              </w:rPr>
              <w:t xml:space="preserve">TOTAL YEAR 1: $23,000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Budget-Constrained (High Risk)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24: DIY patent search - $0</w:t>
            </w:r>
          </w:p>
          <w:p>
            <w:r>
              <w:t xml:space="preserve">Week 38: Skip patent filing - $0</w:t>
            </w:r>
          </w:p>
          <w:p>
            <w:r>
              <w:rPr>
                <w:b/>
                <w:bCs/>
              </w:rPr>
              <w:t xml:space="preserve">TOTAL YEAR 1: $0</w:t>
            </w:r>
          </w:p>
          <w:p>
            <w:r>
              <w:rPr>
                <w:i/>
                <w:iCs/>
                <w:color w:val="DC2626"/>
              </w:rPr>
              <w:t xml:space="preserve">⚠ Risk: No infringement protection, no patent pending status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ROI Calculation</w:t>
      </w:r>
    </w:p>
    <w:p>
      <w:r>
        <w:rPr>
          <w:b/>
          <w:bCs/>
        </w:rPr>
        <w:t xml:space="preserve">$8,000 IP Investment protects:</w:t>
      </w:r>
    </w:p>
    <w:p>
      <w:pPr>
        <w:pStyle w:val="ListParagraph"/>
        <w:numPr>
          <w:ilvl w:val="0"/>
          <w:numId w:val="2"/>
        </w:numPr>
      </w:pPr>
      <w:r>
        <w:t xml:space="preserve">$25-45K development costs (already committed)</w:t>
      </w:r>
    </w:p>
    <w:p>
      <w:pPr>
        <w:pStyle w:val="ListParagraph"/>
        <w:numPr>
          <w:ilvl w:val="0"/>
          <w:numId w:val="2"/>
        </w:numPr>
      </w:pPr>
      <w:r>
        <w:t xml:space="preserve">$10-20K banking infrastructure (Phase 4)</w:t>
      </w:r>
    </w:p>
    <w:p>
      <w:pPr>
        <w:pStyle w:val="ListParagraph"/>
        <w:numPr>
          <w:ilvl w:val="0"/>
          <w:numId w:val="2"/>
        </w:numPr>
      </w:pPr>
      <w:r>
        <w:t xml:space="preserve">$15-25K native app development (Phase 5)</w:t>
      </w:r>
    </w:p>
    <w:p>
      <w:pPr>
        <w:pStyle w:val="ListParagraph"/>
        <w:numPr>
          <w:ilvl w:val="0"/>
          <w:numId w:val="2"/>
        </w:numPr>
      </w:pPr>
      <w:r>
        <w:t xml:space="preserve">Future revenue potential (indices licensing = $10K+/month by Month 18)</w:t>
      </w:r>
    </w:p>
    <w:p>
      <w:r>
        <w:t xml:space="preserve"/>
      </w:r>
    </w:p>
    <w:p>
      <w:r>
        <w:rPr>
          <w:b/>
          <w:bCs/>
        </w:rPr>
        <w:t xml:space="preserve">Break-even: </w:t>
      </w:r>
      <w:r>
        <w:t xml:space="preserve">1 month of prevented legal defense OR successful launch to 200 paying users</w:t>
      </w:r>
    </w:p>
    <w:p>
      <w:pPr>
        <w:pStyle w:val="Heading1"/>
      </w:pPr>
      <w:r>
        <w:t xml:space="preserve">Key Recommendations Summary</w:t>
      </w:r>
    </w:p>
    <w:p>
      <w:pPr>
        <w:pStyle w:val="Heading2"/>
      </w:pPr>
      <w:r>
        <w:t xml:space="preserve">For Flux's Current Stage</w:t>
      </w:r>
    </w:p>
    <w:p>
      <w:r>
        <w:rPr>
          <w:b/>
          <w:bCs/>
          <w:color w:val="2D7A2D"/>
          <w:sz w:val="24"/>
          <w:szCs w:val="24"/>
        </w:rPr>
        <w:t xml:space="preserve">DEFINITELY DO: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Freedom to Operate Analysis at Week 24 ($3-5K)</w:t>
      </w:r>
    </w:p>
    <w:p>
      <w:r>
        <w:t xml:space="preserve">Critical insurance before banking infrastructure spend. Protects $25-45K development investment. Enables informed go/no-go decision. Standard investor due diligence expectation.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Provisional Patent Filing at Week 38 ($5-7K) IF beta validates</w:t>
      </w:r>
    </w:p>
    <w:p>
      <w:r>
        <w:t xml:space="preserve">Only file if retention ≥60% and commitment to launch. Provides "patent pending" marketing advantage. Establishes priority date before public launch. Option to convert or abandon based on Year 1 performance.</w:t>
      </w:r>
    </w:p>
    <w:p>
      <w:r>
        <w:t xml:space="preserve"/>
      </w:r>
    </w:p>
    <w:p>
      <w:r>
        <w:rPr>
          <w:b/>
          <w:bCs/>
          <w:color w:val="D97706"/>
          <w:sz w:val="24"/>
          <w:szCs w:val="24"/>
        </w:rPr>
        <w:t xml:space="preserve">CONSIDER: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Trade Secret Documentation Throughout Development</w:t>
      </w:r>
    </w:p>
    <w:p>
      <w:r>
        <w:t xml:space="preserve">Zero cost, immediate implementation. Protects HHS algorithm and indices methodology. Complements patent strategy. Essential for enterprise licensing.</w:t>
      </w:r>
    </w:p>
    <w:p>
      <w:r>
        <w:t xml:space="preserve"/>
      </w:r>
    </w:p>
    <w:p>
      <w:r>
        <w:rPr>
          <w:b/>
          <w:bCs/>
          <w:color w:val="DC2626"/>
          <w:sz w:val="24"/>
          <w:szCs w:val="24"/>
        </w:rPr>
        <w:t xml:space="preserve">AVOID:</w:t>
      </w:r>
    </w:p>
    <w:p>
      <w:pPr>
        <w:pStyle w:val="ListParagraph"/>
        <w:numPr>
          <w:ilvl w:val="0"/>
          <w:numId w:val="2"/>
        </w:numPr>
      </w:pPr>
      <w:r>
        <w:t xml:space="preserve">Comprehensive patent portfolio before validation (&gt;$30K Year 1)</w:t>
      </w:r>
    </w:p>
    <w:p>
      <w:pPr>
        <w:pStyle w:val="ListParagraph"/>
        <w:numPr>
          <w:ilvl w:val="0"/>
          <w:numId w:val="2"/>
        </w:numPr>
      </w:pPr>
      <w:r>
        <w:t xml:space="preserve">International patents before US market proven</w:t>
      </w:r>
    </w:p>
    <w:p>
      <w:pPr>
        <w:pStyle w:val="ListParagraph"/>
        <w:numPr>
          <w:ilvl w:val="0"/>
          <w:numId w:val="2"/>
        </w:numPr>
      </w:pPr>
      <w:r>
        <w:t xml:space="preserve">Patent litigation or enforcement (focus on building product)</w:t>
      </w:r>
    </w:p>
    <w:p>
      <w:pPr>
        <w:pStyle w:val="ListParagraph"/>
        <w:numPr>
          <w:ilvl w:val="0"/>
          <w:numId w:val="2"/>
        </w:numPr>
      </w:pPr>
      <w:r>
        <w:t xml:space="preserve">Overspending on IP at expense of product development</w:t>
      </w:r>
    </w:p>
    <w:p>
      <w:pPr>
        <w:pStyle w:val="Heading1"/>
      </w:pPr>
      <w:r>
        <w:t xml:space="preserve">The Bottom Line</w:t>
      </w:r>
    </w:p>
    <w:p>
      <w:r>
        <w:rPr>
          <w:b/>
          <w:bCs/>
          <w:sz w:val="26"/>
          <w:szCs w:val="26"/>
        </w:rPr>
        <w:t xml:space="preserve">IP Strategy = Risk Management + Competitive Moat</w:t>
      </w:r>
    </w:p>
    <w:p>
      <w:r>
        <w:t xml:space="preserve"/>
      </w:r>
    </w:p>
    <w:p>
      <w:r>
        <w:rPr>
          <w:b/>
          <w:bCs/>
        </w:rPr>
        <w:t xml:space="preserve">Risk Management:</w:t>
      </w:r>
    </w:p>
    <w:p>
      <w:pPr>
        <w:pStyle w:val="ListParagraph"/>
        <w:numPr>
          <w:ilvl w:val="0"/>
          <w:numId w:val="2"/>
        </w:numPr>
      </w:pPr>
      <w:r>
        <w:t xml:space="preserve">FTO protects against infringement lawsuits (defensive)</w:t>
      </w:r>
    </w:p>
    <w:p>
      <w:pPr>
        <w:pStyle w:val="ListParagraph"/>
        <w:numPr>
          <w:ilvl w:val="0"/>
          <w:numId w:val="2"/>
        </w:numPr>
      </w:pPr>
      <w:r>
        <w:t xml:space="preserve">Costs $3-5K to protect $40-70K investment (insurance)</w:t>
      </w:r>
    </w:p>
    <w:p>
      <w:r>
        <w:t xml:space="preserve"/>
      </w:r>
    </w:p>
    <w:p>
      <w:r>
        <w:rPr>
          <w:b/>
          <w:bCs/>
        </w:rPr>
        <w:t xml:space="preserve">Competitive Moat:</w:t>
      </w:r>
    </w:p>
    <w:p>
      <w:pPr>
        <w:pStyle w:val="ListParagraph"/>
        <w:numPr>
          <w:ilvl w:val="0"/>
          <w:numId w:val="2"/>
        </w:numPr>
      </w:pPr>
      <w:r>
        <w:t xml:space="preserve">Patent protects against copycats (offensive)</w:t>
      </w:r>
    </w:p>
    <w:p>
      <w:pPr>
        <w:pStyle w:val="ListParagraph"/>
        <w:numPr>
          <w:ilvl w:val="0"/>
          <w:numId w:val="2"/>
        </w:numPr>
      </w:pPr>
      <w:r>
        <w:t xml:space="preserve">Trade secrets maintain operational advantage</w:t>
      </w:r>
    </w:p>
    <w:p>
      <w:pPr>
        <w:pStyle w:val="ListParagraph"/>
        <w:numPr>
          <w:ilvl w:val="0"/>
          <w:numId w:val="2"/>
        </w:numPr>
      </w:pPr>
      <w:r>
        <w:t xml:space="preserve">First-mover advantage builds network effects</w:t>
      </w:r>
    </w:p>
    <w:p>
      <w:r>
        <w:t xml:space="preserve"/>
      </w:r>
    </w:p>
    <w:p>
      <w:r>
        <w:rPr>
          <w:b/>
          <w:bCs/>
        </w:rPr>
        <w:t xml:space="preserve">Total Year 1 Investment: </w:t>
      </w:r>
      <w:r>
        <w:rPr>
          <w:b/>
          <w:bCs/>
          <w:color w:val="2E5C8A"/>
          <w:sz w:val="26"/>
          <w:szCs w:val="26"/>
        </w:rPr>
        <w:t xml:space="preserve">$8-12K</w:t>
      </w:r>
    </w:p>
    <w:p>
      <w:r>
        <w:rPr>
          <w:b/>
          <w:bCs/>
        </w:rPr>
        <w:t xml:space="preserve">Expected Value: </w:t>
      </w:r>
      <w:r>
        <w:t xml:space="preserve">Protects development investment + enables "patent pending" marketing + establishes priority for future conversion</w:t>
      </w:r>
    </w:p>
    <w:p>
      <w:r>
        <w:t xml:space="preserve"/>
      </w:r>
    </w:p>
    <w:p>
      <w:r>
        <w:rPr>
          <w:b/>
          <w:bCs/>
        </w:rPr>
        <w:t xml:space="preserve">Budget Allocation Recommendation:</w:t>
      </w:r>
    </w:p>
    <w:p>
      <w:pPr>
        <w:pStyle w:val="ListParagraph"/>
        <w:numPr>
          <w:ilvl w:val="0"/>
          <w:numId w:val="2"/>
        </w:numPr>
      </w:pPr>
      <w:r>
        <w:t xml:space="preserve">85% toward product development and user acquisition</w:t>
      </w:r>
    </w:p>
    <w:p>
      <w:pPr>
        <w:pStyle w:val="ListParagraph"/>
        <w:numPr>
          <w:ilvl w:val="0"/>
          <w:numId w:val="2"/>
        </w:numPr>
      </w:pPr>
      <w:r>
        <w:t xml:space="preserve">10-15% toward IP protection (FTO + provisional patent)</w:t>
      </w:r>
    </w:p>
    <w:p>
      <w:pPr>
        <w:pStyle w:val="ListParagraph"/>
        <w:numPr>
          <w:ilvl w:val="0"/>
          <w:numId w:val="2"/>
        </w:numPr>
      </w:pPr>
      <w:r>
        <w:t xml:space="preserve">Balance toward operational expenses and contingencies</w:t>
      </w:r>
    </w:p>
    <w:p>
      <w:r>
        <w:t xml:space="preserve"/>
      </w:r>
    </w:p>
    <w:p>
      <w:r>
        <w:rPr>
          <w:b/>
          <w:bCs/>
        </w:rPr>
        <w:t xml:space="preserve">Next Action Items:</w:t>
      </w:r>
    </w:p>
    <w:p>
      <w:pPr>
        <w:pStyle w:val="ListParagraph"/>
        <w:numPr>
          <w:ilvl w:val="0"/>
          <w:numId w:val="3"/>
        </w:numPr>
      </w:pPr>
      <w:r>
        <w:t xml:space="preserve">Add $8-12K to Phase 4-5 budget for IP protection</w:t>
      </w:r>
    </w:p>
    <w:p>
      <w:pPr>
        <w:pStyle w:val="ListParagraph"/>
        <w:numPr>
          <w:ilvl w:val="0"/>
          <w:numId w:val="3"/>
        </w:numPr>
      </w:pPr>
      <w:r>
        <w:t xml:space="preserve">Research and shortlist 2-3 patent attorneys with fintech experience</w:t>
      </w:r>
    </w:p>
    <w:p>
      <w:pPr>
        <w:pStyle w:val="ListParagraph"/>
        <w:numPr>
          <w:ilvl w:val="0"/>
          <w:numId w:val="3"/>
        </w:numPr>
      </w:pPr>
      <w:r>
        <w:t xml:space="preserve">Begin documenting technical specifications for FTO preparation</w:t>
      </w:r>
    </w:p>
    <w:p>
      <w:pPr>
        <w:pStyle w:val="ListParagraph"/>
        <w:numPr>
          <w:ilvl w:val="0"/>
          <w:numId w:val="3"/>
        </w:numPr>
      </w:pPr>
      <w:r>
        <w:t xml:space="preserve">Set calendar reminders for Week 24 FTO and Week 38 patent decision gates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i/>
          <w:iCs/>
          <w:color w:val="2E5C8A"/>
          <w:sz w:val="24"/>
          <w:szCs w:val="24"/>
        </w:rPr>
        <w:t xml:space="preserve">Ready to protect the Bloomberg Terminal for habits.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40"/>
      <w:outlineLvl w:val="1"/>
    </w:pPr>
    <w:rPr>
      <w:rFonts w:ascii="Arial" w:cs="Arial" w:eastAsia="Arial" w:hAnsi="Arial"/>
      <w:b/>
      <w:bCs/>
      <w:color w:val="4A7BA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2025-11-14T12:39:31.944Z</dcterms:created>
  <dcterms:modified xsi:type="dcterms:W3CDTF">2025-11-14T12:39:31.945Z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