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Habit Tracking App Market Analysis</w:t>
      </w:r>
    </w:p>
    <w:p>
      <w:pPr>
        <w:spacing w:after="360"/>
        <w:jc w:val="center"/>
      </w:pPr>
      <w:r>
        <w:rPr>
          <w:i/>
          <w:iCs/>
          <w:color w:val="666666"/>
          <w:sz w:val="24"/>
          <w:szCs w:val="24"/>
        </w:rPr>
        <w:t xml:space="preserve">TAM/SAM/SOM by Users &amp; Revenue | Historical &amp; Projected Growth (2020-2030)</w:t>
      </w:r>
    </w:p>
    <w:p>
      <w:pPr>
        <w:pStyle w:val="Heading1"/>
      </w:pPr>
      <w:r>
        <w:t xml:space="preserve">Market Definition</w:t>
      </w:r>
    </w:p>
    <w:p>
      <w:pPr>
        <w:spacing w:after="200"/>
      </w:pPr>
      <w:r>
        <w:t xml:space="preserve">This analysis focuses exclusively on pure habit tracking and behavior change applications—standalone apps designed specifically to help users build routines, track goals, and reinforce positive habits across multiple life categories. This includes apps like Habitica, Fabulous, Streaks, Strides, Productive, and Beeminder.</w:t>
      </w:r>
    </w:p>
    <w:p>
      <w:pPr>
        <w:spacing w:after="120"/>
      </w:pPr>
      <w:r>
        <w:rPr>
          <w:b/>
          <w:bCs/>
        </w:rPr>
        <w:t xml:space="preserve">Explicitly excluded:</w:t>
      </w:r>
    </w:p>
    <w:p>
      <w:pPr>
        <w:pStyle w:val="ListParagraph"/>
        <w:numPr>
          <w:ilvl w:val="0"/>
          <w:numId w:val="2"/>
        </w:numPr>
      </w:pPr>
      <w:r>
        <w:t xml:space="preserve">Fitness-only apps (Strava, Fitbit, Peloton)</w:t>
      </w:r>
    </w:p>
    <w:p>
      <w:pPr>
        <w:pStyle w:val="ListParagraph"/>
        <w:numPr>
          <w:ilvl w:val="0"/>
          <w:numId w:val="2"/>
        </w:numPr>
      </w:pPr>
      <w:r>
        <w:t xml:space="preserve">Wellness platforms (Calm, Headspace, meditation-focused)</w:t>
      </w:r>
    </w:p>
    <w:p>
      <w:pPr>
        <w:pStyle w:val="ListParagraph"/>
        <w:numPr>
          <w:ilvl w:val="0"/>
          <w:numId w:val="2"/>
        </w:numPr>
      </w:pPr>
      <w:r>
        <w:t xml:space="preserve">Productivity suites (Notion, Todoist, unless primary use is habit formation)</w:t>
      </w:r>
    </w:p>
    <w:p>
      <w:pPr>
        <w:pStyle w:val="ListParagraph"/>
        <w:numPr>
          <w:ilvl w:val="0"/>
          <w:numId w:val="2"/>
        </w:numPr>
        <w:spacing w:after="200"/>
      </w:pPr>
      <w:r>
        <w:t xml:space="preserve">Financial apps (budgeting tools, savings apps without behavioral tracking)</w:t>
      </w:r>
    </w:p>
    <w:p>
      <w:pPr>
        <w:spacing w:after="360"/>
      </w:pPr>
      <w:r>
        <w:rPr>
          <w:b/>
          <w:bCs/>
        </w:rPr>
        <w:t xml:space="preserve">Market scope: </w:t>
      </w:r>
      <w:r>
        <w:t xml:space="preserve">Apps where the core value proposition is habit formation and behavioral tracking across multiple life domains (fitness, productivity, nutrition, financial habits, social habits, wellness routines).</w:t>
      </w:r>
    </w:p>
    <w:p>
      <w:pPr>
        <w:pStyle w:val="Heading1"/>
      </w:pPr>
      <w:r>
        <w:t xml:space="preserve">TAM/SAM/SOM Framework (2025)</w:t>
      </w:r>
    </w:p>
    <w:p>
      <w:pPr>
        <w:pStyle w:val="Heading2"/>
      </w:pPr>
      <w:r>
        <w:t xml:space="preserve">Revenue-Based Market Sizing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8EFF7" w:val="clear"/>
          </w:tcPr>
          <w:p>
            <w:pPr>
              <w:jc w:val="center"/>
            </w:pPr>
            <w:r>
              <w:rPr>
                <w:b/>
                <w:bCs/>
                <w:sz w:val="22"/>
                <w:szCs w:val="22"/>
              </w:rPr>
              <w:t xml:space="preserve">Market Level</w:t>
            </w:r>
          </w:p>
        </w:tc>
        <w:tc>
          <w:tcPr>
            <w:tcW w:type="dxa" w:w="2340"/>
            <w:tcBorders>
              <w:top w:val="single" w:color="CCCCCC" w:sz="1"/>
              <w:left w:val="single" w:color="CCCCCC" w:sz="1"/>
              <w:bottom w:val="single" w:color="CCCCCC" w:sz="1"/>
              <w:right w:val="single" w:color="CCCCCC" w:sz="1"/>
            </w:tcBorders>
            <w:shd w:fill="E8EFF7" w:val="clear"/>
          </w:tcPr>
          <w:p>
            <w:pPr>
              <w:jc w:val="center"/>
            </w:pPr>
            <w:r>
              <w:rPr>
                <w:b/>
                <w:bCs/>
                <w:sz w:val="22"/>
                <w:szCs w:val="22"/>
              </w:rPr>
              <w:t xml:space="preserve">Definition</w:t>
            </w:r>
          </w:p>
        </w:tc>
        <w:tc>
          <w:tcPr>
            <w:tcW w:type="dxa" w:w="2340"/>
            <w:tcBorders>
              <w:top w:val="single" w:color="CCCCCC" w:sz="1"/>
              <w:left w:val="single" w:color="CCCCCC" w:sz="1"/>
              <w:bottom w:val="single" w:color="CCCCCC" w:sz="1"/>
              <w:right w:val="single" w:color="CCCCCC" w:sz="1"/>
            </w:tcBorders>
            <w:shd w:fill="E8EFF7" w:val="clear"/>
          </w:tcPr>
          <w:p>
            <w:pPr>
              <w:jc w:val="center"/>
            </w:pPr>
            <w:r>
              <w:rPr>
                <w:b/>
                <w:bCs/>
                <w:sz w:val="22"/>
                <w:szCs w:val="22"/>
              </w:rPr>
              <w:t xml:space="preserve">Market Size (2025)</w:t>
            </w:r>
          </w:p>
        </w:tc>
        <w:tc>
          <w:tcPr>
            <w:tcW w:type="dxa" w:w="2340"/>
            <w:tcBorders>
              <w:top w:val="single" w:color="CCCCCC" w:sz="1"/>
              <w:left w:val="single" w:color="CCCCCC" w:sz="1"/>
              <w:bottom w:val="single" w:color="CCCCCC" w:sz="1"/>
              <w:right w:val="single" w:color="CCCCCC" w:sz="1"/>
            </w:tcBorders>
            <w:shd w:fill="E8EFF7" w:val="clear"/>
          </w:tcPr>
          <w:p>
            <w:pPr>
              <w:jc w:val="center"/>
            </w:pPr>
            <w:r>
              <w:rPr>
                <w:b/>
                <w:bCs/>
                <w:sz w:val="22"/>
                <w:szCs w:val="22"/>
              </w:rPr>
              <w:t xml:space="preserve">CAGR (2025-2030)</w:t>
            </w:r>
          </w:p>
        </w:tc>
      </w:tr>
      <w:tr>
        <w:tc>
          <w:tcPr>
            <w:tcW w:type="dxa" w:w="2340"/>
            <w:tcBorders>
              <w:top w:val="single" w:color="CCCCCC" w:sz="1"/>
              <w:left w:val="single" w:color="CCCCCC" w:sz="1"/>
              <w:bottom w:val="single" w:color="CCCCCC" w:sz="1"/>
              <w:right w:val="single" w:color="CCCCCC" w:sz="1"/>
            </w:tcBorders>
          </w:tcPr>
          <w:p>
            <w:r>
              <w:rPr>
                <w:b/>
                <w:bCs/>
              </w:rPr>
              <w:t xml:space="preserve">TAM</w:t>
            </w:r>
          </w:p>
        </w:tc>
        <w:tc>
          <w:tcPr>
            <w:tcW w:type="dxa" w:w="2340"/>
            <w:tcBorders>
              <w:top w:val="single" w:color="CCCCCC" w:sz="1"/>
              <w:left w:val="single" w:color="CCCCCC" w:sz="1"/>
              <w:bottom w:val="single" w:color="CCCCCC" w:sz="1"/>
              <w:right w:val="single" w:color="CCCCCC" w:sz="1"/>
            </w:tcBorders>
          </w:tcPr>
          <w:p>
            <w:r>
              <w:t xml:space="preserve">Global pure habit tracking app revenue</w:t>
            </w:r>
          </w:p>
        </w:tc>
        <w:tc>
          <w:tcPr>
            <w:tcW w:type="dxa" w:w="2340"/>
            <w:tcBorders>
              <w:top w:val="single" w:color="CCCCCC" w:sz="1"/>
              <w:left w:val="single" w:color="CCCCCC" w:sz="1"/>
              <w:bottom w:val="single" w:color="CCCCCC" w:sz="1"/>
              <w:right w:val="single" w:color="CCCCCC" w:sz="1"/>
            </w:tcBorders>
            <w:shd w:fill="FFF4E6" w:val="clear"/>
          </w:tcPr>
          <w:p>
            <w:pPr>
              <w:jc w:val="center"/>
            </w:pPr>
            <w:r>
              <w:rPr>
                <w:b/>
                <w:bCs/>
              </w:rPr>
              <w:t xml:space="preserve">$1.9B</w:t>
            </w:r>
          </w:p>
        </w:tc>
        <w:tc>
          <w:tcPr>
            <w:tcW w:type="dxa" w:w="2340"/>
            <w:tcBorders>
              <w:top w:val="single" w:color="CCCCCC" w:sz="1"/>
              <w:left w:val="single" w:color="CCCCCC" w:sz="1"/>
              <w:bottom w:val="single" w:color="CCCCCC" w:sz="1"/>
              <w:right w:val="single" w:color="CCCCCC" w:sz="1"/>
            </w:tcBorders>
          </w:tcPr>
          <w:p>
            <w:pPr>
              <w:jc w:val="center"/>
            </w:pPr>
            <w:r>
              <w:t xml:space="preserve">14.2%</w:t>
            </w:r>
          </w:p>
        </w:tc>
      </w:tr>
      <w:tr>
        <w:tc>
          <w:tcPr>
            <w:tcW w:type="dxa" w:w="2340"/>
            <w:tcBorders>
              <w:top w:val="single" w:color="CCCCCC" w:sz="1"/>
              <w:left w:val="single" w:color="CCCCCC" w:sz="1"/>
              <w:bottom w:val="single" w:color="CCCCCC" w:sz="1"/>
              <w:right w:val="single" w:color="CCCCCC" w:sz="1"/>
            </w:tcBorders>
          </w:tcPr>
          <w:p>
            <w:r>
              <w:rPr>
                <w:b/>
                <w:bCs/>
              </w:rPr>
              <w:t xml:space="preserve">SAM</w:t>
            </w:r>
          </w:p>
        </w:tc>
        <w:tc>
          <w:tcPr>
            <w:tcW w:type="dxa" w:w="2340"/>
            <w:tcBorders>
              <w:top w:val="single" w:color="CCCCCC" w:sz="1"/>
              <w:left w:val="single" w:color="CCCCCC" w:sz="1"/>
              <w:bottom w:val="single" w:color="CCCCCC" w:sz="1"/>
              <w:right w:val="single" w:color="CCCCCC" w:sz="1"/>
            </w:tcBorders>
          </w:tcPr>
          <w:p>
            <w:r>
              <w:t xml:space="preserve">North America habit tracking revenue (40% of global)</w:t>
            </w:r>
          </w:p>
        </w:tc>
        <w:tc>
          <w:tcPr>
            <w:tcW w:type="dxa" w:w="2340"/>
            <w:tcBorders>
              <w:top w:val="single" w:color="CCCCCC" w:sz="1"/>
              <w:left w:val="single" w:color="CCCCCC" w:sz="1"/>
              <w:bottom w:val="single" w:color="CCCCCC" w:sz="1"/>
              <w:right w:val="single" w:color="CCCCCC" w:sz="1"/>
            </w:tcBorders>
            <w:shd w:fill="FFF4E6" w:val="clear"/>
          </w:tcPr>
          <w:p>
            <w:pPr>
              <w:jc w:val="center"/>
            </w:pPr>
            <w:r>
              <w:rPr>
                <w:b/>
                <w:bCs/>
              </w:rPr>
              <w:t xml:space="preserve">$760M</w:t>
            </w:r>
          </w:p>
        </w:tc>
        <w:tc>
          <w:tcPr>
            <w:tcW w:type="dxa" w:w="2340"/>
            <w:tcBorders>
              <w:top w:val="single" w:color="CCCCCC" w:sz="1"/>
              <w:left w:val="single" w:color="CCCCCC" w:sz="1"/>
              <w:bottom w:val="single" w:color="CCCCCC" w:sz="1"/>
              <w:right w:val="single" w:color="CCCCCC" w:sz="1"/>
            </w:tcBorders>
          </w:tcPr>
          <w:p>
            <w:pPr>
              <w:jc w:val="center"/>
            </w:pPr>
            <w:r>
              <w:t xml:space="preserve">15.0%</w:t>
            </w:r>
          </w:p>
        </w:tc>
      </w:tr>
      <w:tr>
        <w:tc>
          <w:tcPr>
            <w:tcW w:type="dxa" w:w="2340"/>
            <w:tcBorders>
              <w:top w:val="single" w:color="CCCCCC" w:sz="1"/>
              <w:left w:val="single" w:color="CCCCCC" w:sz="1"/>
              <w:bottom w:val="single" w:color="CCCCCC" w:sz="1"/>
              <w:right w:val="single" w:color="CCCCCC" w:sz="1"/>
            </w:tcBorders>
          </w:tcPr>
          <w:p>
            <w:r>
              <w:rPr>
                <w:b/>
                <w:bCs/>
              </w:rPr>
              <w:t xml:space="preserve">SOM</w:t>
            </w:r>
          </w:p>
        </w:tc>
        <w:tc>
          <w:tcPr>
            <w:tcW w:type="dxa" w:w="2340"/>
            <w:tcBorders>
              <w:top w:val="single" w:color="CCCCCC" w:sz="1"/>
              <w:left w:val="single" w:color="CCCCCC" w:sz="1"/>
              <w:bottom w:val="single" w:color="CCCCCC" w:sz="1"/>
              <w:right w:val="single" w:color="CCCCCC" w:sz="1"/>
            </w:tcBorders>
          </w:tcPr>
          <w:p>
            <w:r>
              <w:t xml:space="preserve">Flux's realistic revenue capture at scale</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rPr>
              <w:t xml:space="preserve">$1.8-3.36M</w:t>
            </w:r>
          </w:p>
        </w:tc>
        <w:tc>
          <w:tcPr>
            <w:tcW w:type="dxa" w:w="2340"/>
            <w:tcBorders>
              <w:top w:val="single" w:color="CCCCCC" w:sz="1"/>
              <w:left w:val="single" w:color="CCCCCC" w:sz="1"/>
              <w:bottom w:val="single" w:color="CCCCCC" w:sz="1"/>
              <w:right w:val="single" w:color="CCCCCC" w:sz="1"/>
            </w:tcBorders>
          </w:tcPr>
          <w:p>
            <w:pPr>
              <w:jc w:val="center"/>
            </w:pPr>
            <w:r>
              <w:t xml:space="preserve">—</w:t>
            </w:r>
          </w:p>
        </w:tc>
      </w:tr>
    </w:tbl>
    <w:p>
      <w:pPr>
        <w:spacing w:before="200" w:after="120"/>
      </w:pPr>
      <w:r>
        <w:rPr>
          <w:b/>
          <w:bCs/>
        </w:rPr>
        <w:t xml:space="preserve">Market calculation methodology:</w:t>
      </w:r>
    </w:p>
    <w:p>
      <w:pPr>
        <w:pStyle w:val="ListParagraph"/>
        <w:numPr>
          <w:ilvl w:val="0"/>
          <w:numId w:val="2"/>
        </w:numPr>
      </w:pPr>
      <w:r>
        <w:rPr>
          <w:b/>
          <w:bCs/>
        </w:rPr>
        <w:t xml:space="preserve">TAM: </w:t>
      </w:r>
      <w:r>
        <w:t xml:space="preserve">Global habit tracking app market valued at $1.9B (2025), projected to reach $5.5B by 2033 at 14.2% CAGR</w:t>
      </w:r>
    </w:p>
    <w:p>
      <w:pPr>
        <w:pStyle w:val="ListParagraph"/>
        <w:numPr>
          <w:ilvl w:val="0"/>
          <w:numId w:val="2"/>
        </w:numPr>
      </w:pPr>
      <w:r>
        <w:rPr>
          <w:b/>
          <w:bCs/>
        </w:rPr>
        <w:t xml:space="preserve">SAM: </w:t>
      </w:r>
      <w:r>
        <w:t xml:space="preserve">North America represents 40% of global market = $760M (2025), growing to $1.53B (2030) at 15% CAGR</w:t>
      </w:r>
    </w:p>
    <w:p>
      <w:pPr>
        <w:pStyle w:val="ListParagraph"/>
        <w:numPr>
          <w:ilvl w:val="0"/>
          <w:numId w:val="2"/>
        </w:numPr>
        <w:spacing w:after="360"/>
      </w:pPr>
      <w:r>
        <w:rPr>
          <w:b/>
          <w:bCs/>
        </w:rPr>
        <w:t xml:space="preserve">SOM: </w:t>
      </w:r>
      <w:r>
        <w:t xml:space="preserve">Flux's realistic revenue at 55K-110K paying users generating $1.8-3.36M ARR (0.24-0.44% of SAM)</w:t>
      </w:r>
    </w:p>
    <w:p>
      <w:pPr>
        <w:pStyle w:val="Heading2"/>
      </w:pPr>
      <w:r>
        <w:t xml:space="preserve">User-Based Market Sizing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8EFF7" w:val="clear"/>
          </w:tcPr>
          <w:p>
            <w:pPr>
              <w:jc w:val="center"/>
            </w:pPr>
            <w:r>
              <w:rPr>
                <w:b/>
                <w:bCs/>
                <w:sz w:val="22"/>
                <w:szCs w:val="22"/>
              </w:rPr>
              <w:t xml:space="preserve">Market Level</w:t>
            </w:r>
          </w:p>
        </w:tc>
        <w:tc>
          <w:tcPr>
            <w:tcW w:type="dxa" w:w="2340"/>
            <w:tcBorders>
              <w:top w:val="single" w:color="CCCCCC" w:sz="1"/>
              <w:left w:val="single" w:color="CCCCCC" w:sz="1"/>
              <w:bottom w:val="single" w:color="CCCCCC" w:sz="1"/>
              <w:right w:val="single" w:color="CCCCCC" w:sz="1"/>
            </w:tcBorders>
            <w:shd w:fill="E8EFF7" w:val="clear"/>
          </w:tcPr>
          <w:p>
            <w:pPr>
              <w:jc w:val="center"/>
            </w:pPr>
            <w:r>
              <w:rPr>
                <w:b/>
                <w:bCs/>
                <w:sz w:val="22"/>
                <w:szCs w:val="22"/>
              </w:rPr>
              <w:t xml:space="preserve">Active Users (2025)</w:t>
            </w:r>
          </w:p>
        </w:tc>
        <w:tc>
          <w:tcPr>
            <w:tcW w:type="dxa" w:w="2340"/>
            <w:tcBorders>
              <w:top w:val="single" w:color="CCCCCC" w:sz="1"/>
              <w:left w:val="single" w:color="CCCCCC" w:sz="1"/>
              <w:bottom w:val="single" w:color="CCCCCC" w:sz="1"/>
              <w:right w:val="single" w:color="CCCCCC" w:sz="1"/>
            </w:tcBorders>
            <w:shd w:fill="E8EFF7" w:val="clear"/>
          </w:tcPr>
          <w:p>
            <w:pPr>
              <w:jc w:val="center"/>
            </w:pPr>
            <w:r>
              <w:rPr>
                <w:b/>
                <w:bCs/>
                <w:sz w:val="22"/>
                <w:szCs w:val="22"/>
              </w:rPr>
              <w:t xml:space="preserve">ARPU (Annual)</w:t>
            </w:r>
          </w:p>
        </w:tc>
        <w:tc>
          <w:tcPr>
            <w:tcW w:type="dxa" w:w="2340"/>
            <w:tcBorders>
              <w:top w:val="single" w:color="CCCCCC" w:sz="1"/>
              <w:left w:val="single" w:color="CCCCCC" w:sz="1"/>
              <w:bottom w:val="single" w:color="CCCCCC" w:sz="1"/>
              <w:right w:val="single" w:color="CCCCCC" w:sz="1"/>
            </w:tcBorders>
            <w:shd w:fill="E8EFF7" w:val="clear"/>
          </w:tcPr>
          <w:p>
            <w:pPr>
              <w:jc w:val="center"/>
            </w:pPr>
            <w:r>
              <w:rPr>
                <w:b/>
                <w:bCs/>
                <w:sz w:val="22"/>
                <w:szCs w:val="22"/>
              </w:rPr>
              <w:t xml:space="preserve">Premium Conversion</w:t>
            </w:r>
          </w:p>
        </w:tc>
      </w:tr>
      <w:tr>
        <w:tc>
          <w:tcPr>
            <w:tcW w:type="dxa" w:w="2340"/>
            <w:tcBorders>
              <w:top w:val="single" w:color="CCCCCC" w:sz="1"/>
              <w:left w:val="single" w:color="CCCCCC" w:sz="1"/>
              <w:bottom w:val="single" w:color="CCCCCC" w:sz="1"/>
              <w:right w:val="single" w:color="CCCCCC" w:sz="1"/>
            </w:tcBorders>
          </w:tcPr>
          <w:p>
            <w:r>
              <w:rPr>
                <w:b/>
                <w:bCs/>
              </w:rPr>
              <w:t xml:space="preserve">TAM</w:t>
            </w:r>
          </w:p>
        </w:tc>
        <w:tc>
          <w:tcPr>
            <w:tcW w:type="dxa" w:w="2340"/>
            <w:tcBorders>
              <w:top w:val="single" w:color="CCCCCC" w:sz="1"/>
              <w:left w:val="single" w:color="CCCCCC" w:sz="1"/>
              <w:bottom w:val="single" w:color="CCCCCC" w:sz="1"/>
              <w:right w:val="single" w:color="CCCCCC" w:sz="1"/>
            </w:tcBorders>
            <w:shd w:fill="FFF4E6" w:val="clear"/>
          </w:tcPr>
          <w:p>
            <w:pPr>
              <w:jc w:val="center"/>
            </w:pPr>
            <w:r>
              <w:rPr>
                <w:b/>
                <w:bCs/>
              </w:rPr>
              <w:t xml:space="preserve">46M global</w:t>
            </w:r>
          </w:p>
        </w:tc>
        <w:tc>
          <w:tcPr>
            <w:tcW w:type="dxa" w:w="2340"/>
            <w:tcBorders>
              <w:top w:val="single" w:color="CCCCCC" w:sz="1"/>
              <w:left w:val="single" w:color="CCCCCC" w:sz="1"/>
              <w:bottom w:val="single" w:color="CCCCCC" w:sz="1"/>
              <w:right w:val="single" w:color="CCCCCC" w:sz="1"/>
            </w:tcBorders>
          </w:tcPr>
          <w:p>
            <w:pPr>
              <w:jc w:val="center"/>
            </w:pPr>
            <w:r>
              <w:t xml:space="preserve">$41.30/user</w:t>
            </w:r>
          </w:p>
        </w:tc>
        <w:tc>
          <w:tcPr>
            <w:tcW w:type="dxa" w:w="2340"/>
            <w:tcBorders>
              <w:top w:val="single" w:color="CCCCCC" w:sz="1"/>
              <w:left w:val="single" w:color="CCCCCC" w:sz="1"/>
              <w:bottom w:val="single" w:color="CCCCCC" w:sz="1"/>
              <w:right w:val="single" w:color="CCCCCC" w:sz="1"/>
            </w:tcBorders>
          </w:tcPr>
          <w:p>
            <w:pPr>
              <w:jc w:val="center"/>
            </w:pPr>
            <w:r>
              <w:t xml:space="preserve">~10-12%</w:t>
            </w:r>
          </w:p>
        </w:tc>
      </w:tr>
      <w:tr>
        <w:tc>
          <w:tcPr>
            <w:tcW w:type="dxa" w:w="2340"/>
            <w:tcBorders>
              <w:top w:val="single" w:color="CCCCCC" w:sz="1"/>
              <w:left w:val="single" w:color="CCCCCC" w:sz="1"/>
              <w:bottom w:val="single" w:color="CCCCCC" w:sz="1"/>
              <w:right w:val="single" w:color="CCCCCC" w:sz="1"/>
            </w:tcBorders>
          </w:tcPr>
          <w:p>
            <w:r>
              <w:rPr>
                <w:b/>
                <w:bCs/>
              </w:rPr>
              <w:t xml:space="preserve">SAM</w:t>
            </w:r>
          </w:p>
        </w:tc>
        <w:tc>
          <w:tcPr>
            <w:tcW w:type="dxa" w:w="2340"/>
            <w:tcBorders>
              <w:top w:val="single" w:color="CCCCCC" w:sz="1"/>
              <w:left w:val="single" w:color="CCCCCC" w:sz="1"/>
              <w:bottom w:val="single" w:color="CCCCCC" w:sz="1"/>
              <w:right w:val="single" w:color="CCCCCC" w:sz="1"/>
            </w:tcBorders>
            <w:shd w:fill="FFF4E6" w:val="clear"/>
          </w:tcPr>
          <w:p>
            <w:pPr>
              <w:jc w:val="center"/>
            </w:pPr>
            <w:r>
              <w:rPr>
                <w:b/>
                <w:bCs/>
              </w:rPr>
              <w:t xml:space="preserve">18M North America</w:t>
            </w:r>
          </w:p>
        </w:tc>
        <w:tc>
          <w:tcPr>
            <w:tcW w:type="dxa" w:w="2340"/>
            <w:tcBorders>
              <w:top w:val="single" w:color="CCCCCC" w:sz="1"/>
              <w:left w:val="single" w:color="CCCCCC" w:sz="1"/>
              <w:bottom w:val="single" w:color="CCCCCC" w:sz="1"/>
              <w:right w:val="single" w:color="CCCCCC" w:sz="1"/>
            </w:tcBorders>
          </w:tcPr>
          <w:p>
            <w:pPr>
              <w:jc w:val="center"/>
            </w:pPr>
            <w:r>
              <w:t xml:space="preserve">$42.22/user</w:t>
            </w:r>
          </w:p>
        </w:tc>
        <w:tc>
          <w:tcPr>
            <w:tcW w:type="dxa" w:w="2340"/>
            <w:tcBorders>
              <w:top w:val="single" w:color="CCCCCC" w:sz="1"/>
              <w:left w:val="single" w:color="CCCCCC" w:sz="1"/>
              <w:bottom w:val="single" w:color="CCCCCC" w:sz="1"/>
              <w:right w:val="single" w:color="CCCCCC" w:sz="1"/>
            </w:tcBorders>
          </w:tcPr>
          <w:p>
            <w:pPr>
              <w:jc w:val="center"/>
            </w:pPr>
            <w:r>
              <w:t xml:space="preserve">12-15%</w:t>
            </w:r>
          </w:p>
        </w:tc>
      </w:tr>
      <w:tr>
        <w:tc>
          <w:tcPr>
            <w:tcW w:type="dxa" w:w="2340"/>
            <w:tcBorders>
              <w:top w:val="single" w:color="CCCCCC" w:sz="1"/>
              <w:left w:val="single" w:color="CCCCCC" w:sz="1"/>
              <w:bottom w:val="single" w:color="CCCCCC" w:sz="1"/>
              <w:right w:val="single" w:color="CCCCCC" w:sz="1"/>
            </w:tcBorders>
          </w:tcPr>
          <w:p>
            <w:r>
              <w:rPr>
                <w:b/>
                <w:bCs/>
              </w:rPr>
              <w:t xml:space="preserve">SOM</w:t>
            </w:r>
          </w:p>
        </w:tc>
        <w:tc>
          <w:tcPr>
            <w:tcW w:type="dxa" w:w="2340"/>
            <w:tcBorders>
              <w:top w:val="single" w:color="CCCCCC" w:sz="1"/>
              <w:left w:val="single" w:color="CCCCCC" w:sz="1"/>
              <w:bottom w:val="single" w:color="CCCCCC" w:sz="1"/>
              <w:right w:val="single" w:color="CCCCCC" w:sz="1"/>
            </w:tcBorders>
            <w:shd w:fill="E8F5E9" w:val="clear"/>
          </w:tcPr>
          <w:p>
            <w:pPr>
              <w:jc w:val="center"/>
            </w:pPr>
            <w:r>
              <w:rPr>
                <w:b/>
                <w:bCs/>
              </w:rPr>
              <w:t xml:space="preserve">55K-110K users</w:t>
            </w:r>
          </w:p>
        </w:tc>
        <w:tc>
          <w:tcPr>
            <w:tcW w:type="dxa" w:w="2340"/>
            <w:tcBorders>
              <w:top w:val="single" w:color="CCCCCC" w:sz="1"/>
              <w:left w:val="single" w:color="CCCCCC" w:sz="1"/>
              <w:bottom w:val="single" w:color="CCCCCC" w:sz="1"/>
              <w:right w:val="single" w:color="CCCCCC" w:sz="1"/>
            </w:tcBorders>
          </w:tcPr>
          <w:p>
            <w:pPr>
              <w:jc w:val="center"/>
            </w:pPr>
            <w:r>
              <w:t xml:space="preserve">$47.88/user</w:t>
            </w:r>
          </w:p>
        </w:tc>
        <w:tc>
          <w:tcPr>
            <w:tcW w:type="dxa" w:w="2340"/>
            <w:tcBorders>
              <w:top w:val="single" w:color="CCCCCC" w:sz="1"/>
              <w:left w:val="single" w:color="CCCCCC" w:sz="1"/>
              <w:bottom w:val="single" w:color="CCCCCC" w:sz="1"/>
              <w:right w:val="single" w:color="CCCCCC" w:sz="1"/>
            </w:tcBorders>
          </w:tcPr>
          <w:p>
            <w:pPr>
              <w:jc w:val="center"/>
            </w:pPr>
            <w:r>
              <w:t xml:space="preserve">50%</w:t>
            </w:r>
          </w:p>
        </w:tc>
      </w:tr>
    </w:tbl>
    <w:p>
      <w:pPr>
        <w:spacing w:before="200" w:after="120"/>
      </w:pPr>
      <w:r>
        <w:rPr>
          <w:b/>
          <w:bCs/>
        </w:rPr>
        <w:t xml:space="preserve">User calculation assumptions:</w:t>
      </w:r>
    </w:p>
    <w:p>
      <w:pPr>
        <w:pStyle w:val="ListParagraph"/>
        <w:numPr>
          <w:ilvl w:val="0"/>
          <w:numId w:val="2"/>
        </w:numPr>
      </w:pPr>
      <w:r>
        <w:rPr>
          <w:b/>
          <w:bCs/>
        </w:rPr>
        <w:t xml:space="preserve">TAM users: </w:t>
      </w:r>
      <w:r>
        <w:t xml:space="preserve">46M global active users in pure habit tracking apps (Habitica 4M, Fabulous 37M, Streaks/Strides/Productive/Beeminder/others ~5M)</w:t>
      </w:r>
    </w:p>
    <w:p>
      <w:pPr>
        <w:pStyle w:val="ListParagraph"/>
        <w:numPr>
          <w:ilvl w:val="0"/>
          <w:numId w:val="2"/>
        </w:numPr>
      </w:pPr>
      <w:r>
        <w:rPr>
          <w:b/>
          <w:bCs/>
        </w:rPr>
        <w:t xml:space="preserve">SAM users: </w:t>
      </w:r>
      <w:r>
        <w:t xml:space="preserve">North America represents ~39% of global users = 18M active users (67% of US adults aim to improve lifestyle habits)</w:t>
      </w:r>
    </w:p>
    <w:p>
      <w:pPr>
        <w:pStyle w:val="ListParagraph"/>
        <w:numPr>
          <w:ilvl w:val="0"/>
          <w:numId w:val="2"/>
        </w:numPr>
      </w:pPr>
      <w:r>
        <w:rPr>
          <w:b/>
          <w:bCs/>
        </w:rPr>
        <w:t xml:space="preserve">ARPU calculation: </w:t>
      </w:r>
      <w:r>
        <w:t xml:space="preserve">Global ARPU = $1.9B ÷ 46M users = $41.30; North America ARPU = $760M ÷ 18M = $42.22; Flux premium ARPU = $47.88/year ($3.99/month)</w:t>
      </w:r>
    </w:p>
    <w:p>
      <w:pPr>
        <w:pStyle w:val="ListParagraph"/>
        <w:numPr>
          <w:ilvl w:val="0"/>
          <w:numId w:val="2"/>
        </w:numPr>
        <w:spacing w:after="360"/>
      </w:pPr>
      <w:r>
        <w:rPr>
          <w:b/>
          <w:bCs/>
        </w:rPr>
        <w:t xml:space="preserve">SOM capture: </w:t>
      </w:r>
      <w:r>
        <w:t xml:space="preserve">Flux needs 0.31-0.61% of North American users (55K-110K out of 18M) with 50% premium conversion vs. market average 12-15%</w:t>
      </w:r>
    </w:p>
    <w:p>
      <w:pPr>
        <w:pStyle w:val="Callout"/>
        <w:spacing w:before="0" w:after="360"/>
      </w:pPr>
      <w:r>
        <w:t xml:space="preserve">Market entry requirement: 0.31-0.61% of 18M North American pure habit tracker users</w:t>
      </w:r>
    </w:p>
    <w:p>
      <w:pPr>
        <w:pStyle w:val="Heading1"/>
      </w:pPr>
      <w:r>
        <w:t xml:space="preserve">Historical Growth (2020-2025)</w:t>
      </w:r>
    </w:p>
    <w:p>
      <w:pPr>
        <w:pStyle w:val="Heading2"/>
      </w:pPr>
      <w:r>
        <w:t xml:space="preserve">Revenue Growth Trajectory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E8EFF7" w:val="clear"/>
          </w:tcPr>
          <w:p>
            <w:pPr>
              <w:jc w:val="center"/>
            </w:pPr>
            <w:r>
              <w:rPr>
                <w:b/>
                <w:bCs/>
                <w:sz w:val="22"/>
                <w:szCs w:val="22"/>
              </w:rPr>
              <w:t xml:space="preserve">Year</w:t>
            </w:r>
          </w:p>
        </w:tc>
        <w:tc>
          <w:tcPr>
            <w:tcW w:type="dxa" w:w="1560"/>
            <w:tcBorders>
              <w:top w:val="single" w:color="CCCCCC" w:sz="1"/>
              <w:left w:val="single" w:color="CCCCCC" w:sz="1"/>
              <w:bottom w:val="single" w:color="CCCCCC" w:sz="1"/>
              <w:right w:val="single" w:color="CCCCCC" w:sz="1"/>
            </w:tcBorders>
            <w:shd w:fill="E8EFF7" w:val="clear"/>
          </w:tcPr>
          <w:p>
            <w:pPr>
              <w:jc w:val="center"/>
            </w:pPr>
            <w:r>
              <w:rPr>
                <w:b/>
                <w:bCs/>
                <w:sz w:val="22"/>
                <w:szCs w:val="22"/>
              </w:rPr>
              <w:t xml:space="preserve">Global TAM</w:t>
            </w:r>
          </w:p>
        </w:tc>
        <w:tc>
          <w:tcPr>
            <w:tcW w:type="dxa" w:w="1560"/>
            <w:tcBorders>
              <w:top w:val="single" w:color="CCCCCC" w:sz="1"/>
              <w:left w:val="single" w:color="CCCCCC" w:sz="1"/>
              <w:bottom w:val="single" w:color="CCCCCC" w:sz="1"/>
              <w:right w:val="single" w:color="CCCCCC" w:sz="1"/>
            </w:tcBorders>
            <w:shd w:fill="E8EFF7" w:val="clear"/>
          </w:tcPr>
          <w:p>
            <w:pPr>
              <w:jc w:val="center"/>
            </w:pPr>
            <w:r>
              <w:rPr>
                <w:b/>
                <w:bCs/>
                <w:sz w:val="22"/>
                <w:szCs w:val="22"/>
              </w:rPr>
              <w:t xml:space="preserve">YoY Growth</w:t>
            </w:r>
          </w:p>
        </w:tc>
        <w:tc>
          <w:tcPr>
            <w:tcW w:type="dxa" w:w="1560"/>
            <w:tcBorders>
              <w:top w:val="single" w:color="CCCCCC" w:sz="1"/>
              <w:left w:val="single" w:color="CCCCCC" w:sz="1"/>
              <w:bottom w:val="single" w:color="CCCCCC" w:sz="1"/>
              <w:right w:val="single" w:color="CCCCCC" w:sz="1"/>
            </w:tcBorders>
            <w:shd w:fill="E8EFF7" w:val="clear"/>
          </w:tcPr>
          <w:p>
            <w:pPr>
              <w:jc w:val="center"/>
            </w:pPr>
            <w:r>
              <w:rPr>
                <w:b/>
                <w:bCs/>
                <w:sz w:val="22"/>
                <w:szCs w:val="22"/>
              </w:rPr>
              <w:t xml:space="preserve">NA SAM</w:t>
            </w:r>
          </w:p>
        </w:tc>
        <w:tc>
          <w:tcPr>
            <w:tcW w:type="dxa" w:w="1560"/>
            <w:tcBorders>
              <w:top w:val="single" w:color="CCCCCC" w:sz="1"/>
              <w:left w:val="single" w:color="CCCCCC" w:sz="1"/>
              <w:bottom w:val="single" w:color="CCCCCC" w:sz="1"/>
              <w:right w:val="single" w:color="CCCCCC" w:sz="1"/>
            </w:tcBorders>
            <w:shd w:fill="E8EFF7" w:val="clear"/>
          </w:tcPr>
          <w:p>
            <w:pPr>
              <w:jc w:val="center"/>
            </w:pPr>
            <w:r>
              <w:rPr>
                <w:b/>
                <w:bCs/>
                <w:sz w:val="22"/>
                <w:szCs w:val="22"/>
              </w:rPr>
              <w:t xml:space="preserve">YoY Growth</w:t>
            </w:r>
          </w:p>
        </w:tc>
        <w:tc>
          <w:tcPr>
            <w:tcW w:type="dxa" w:w="1560"/>
            <w:tcBorders>
              <w:top w:val="single" w:color="CCCCCC" w:sz="1"/>
              <w:left w:val="single" w:color="CCCCCC" w:sz="1"/>
              <w:bottom w:val="single" w:color="CCCCCC" w:sz="1"/>
              <w:right w:val="single" w:color="CCCCCC" w:sz="1"/>
            </w:tcBorders>
            <w:shd w:fill="E8EFF7" w:val="clear"/>
          </w:tcPr>
          <w:p>
            <w:pPr>
              <w:jc w:val="center"/>
            </w:pPr>
            <w:r>
              <w:rPr>
                <w:b/>
                <w:bCs/>
                <w:sz w:val="22"/>
                <w:szCs w:val="22"/>
              </w:rPr>
              <w:t xml:space="preserve">Key Drivers</w:t>
            </w:r>
          </w:p>
        </w:tc>
      </w:tr>
      <w:tr>
        <w:tc>
          <w:tcPr>
            <w:tcW w:type="dxa" w:w="1560"/>
            <w:tcBorders>
              <w:top w:val="single" w:color="CCCCCC" w:sz="1"/>
              <w:left w:val="single" w:color="CCCCCC" w:sz="1"/>
              <w:bottom w:val="single" w:color="CCCCCC" w:sz="1"/>
              <w:right w:val="single" w:color="CCCCCC" w:sz="1"/>
            </w:tcBorders>
          </w:tcPr>
          <w:p>
            <w:pPr>
              <w:jc w:val="center"/>
            </w:pPr>
            <w:r>
              <w:t xml:space="preserve">2020</w:t>
            </w:r>
          </w:p>
        </w:tc>
        <w:tc>
          <w:tcPr>
            <w:tcW w:type="dxa" w:w="1560"/>
            <w:tcBorders>
              <w:top w:val="single" w:color="CCCCCC" w:sz="1"/>
              <w:left w:val="single" w:color="CCCCCC" w:sz="1"/>
              <w:bottom w:val="single" w:color="CCCCCC" w:sz="1"/>
              <w:right w:val="single" w:color="CCCCCC" w:sz="1"/>
            </w:tcBorders>
          </w:tcPr>
          <w:p>
            <w:pPr>
              <w:jc w:val="center"/>
            </w:pPr>
            <w:r>
              <w:t xml:space="preserve">$850M</w:t>
            </w:r>
          </w:p>
        </w:tc>
        <w:tc>
          <w:tcPr>
            <w:tcW w:type="dxa" w:w="1560"/>
            <w:tcBorders>
              <w:top w:val="single" w:color="CCCCCC" w:sz="1"/>
              <w:left w:val="single" w:color="CCCCCC" w:sz="1"/>
              <w:bottom w:val="single" w:color="CCCCCC" w:sz="1"/>
              <w:right w:val="single" w:color="CCCCCC" w:sz="1"/>
            </w:tcBorders>
          </w:tcPr>
          <w:p>
            <w:pPr>
              <w:jc w:val="center"/>
            </w:pPr>
            <w:r>
              <w:t xml:space="preserve">—</w:t>
            </w:r>
          </w:p>
        </w:tc>
        <w:tc>
          <w:tcPr>
            <w:tcW w:type="dxa" w:w="1560"/>
            <w:tcBorders>
              <w:top w:val="single" w:color="CCCCCC" w:sz="1"/>
              <w:left w:val="single" w:color="CCCCCC" w:sz="1"/>
              <w:bottom w:val="single" w:color="CCCCCC" w:sz="1"/>
              <w:right w:val="single" w:color="CCCCCC" w:sz="1"/>
            </w:tcBorders>
          </w:tcPr>
          <w:p>
            <w:pPr>
              <w:jc w:val="center"/>
            </w:pPr>
            <w:r>
              <w:t xml:space="preserve">$340M</w:t>
            </w:r>
          </w:p>
        </w:tc>
        <w:tc>
          <w:tcPr>
            <w:tcW w:type="dxa" w:w="1560"/>
            <w:tcBorders>
              <w:top w:val="single" w:color="CCCCCC" w:sz="1"/>
              <w:left w:val="single" w:color="CCCCCC" w:sz="1"/>
              <w:bottom w:val="single" w:color="CCCCCC" w:sz="1"/>
              <w:right w:val="single" w:color="CCCCCC" w:sz="1"/>
            </w:tcBorders>
          </w:tcPr>
          <w:p>
            <w:pPr>
              <w:jc w:val="center"/>
            </w:pPr>
            <w:r>
              <w:t xml:space="preserve">—</w:t>
            </w:r>
          </w:p>
        </w:tc>
        <w:tc>
          <w:tcPr>
            <w:tcW w:type="dxa" w:w="1560"/>
            <w:tcBorders>
              <w:top w:val="single" w:color="CCCCCC" w:sz="1"/>
              <w:left w:val="single" w:color="CCCCCC" w:sz="1"/>
              <w:bottom w:val="single" w:color="CCCCCC" w:sz="1"/>
              <w:right w:val="single" w:color="CCCCCC" w:sz="1"/>
            </w:tcBorders>
          </w:tcPr>
          <w:p>
            <w:r>
              <w:t xml:space="preserve">COVID remote work</w:t>
            </w:r>
          </w:p>
        </w:tc>
      </w:tr>
      <w:tr>
        <w:tc>
          <w:tcPr>
            <w:tcW w:type="dxa" w:w="1560"/>
            <w:tcBorders>
              <w:top w:val="single" w:color="CCCCCC" w:sz="1"/>
              <w:left w:val="single" w:color="CCCCCC" w:sz="1"/>
              <w:bottom w:val="single" w:color="CCCCCC" w:sz="1"/>
              <w:right w:val="single" w:color="CCCCCC" w:sz="1"/>
            </w:tcBorders>
          </w:tcPr>
          <w:p>
            <w:pPr>
              <w:jc w:val="center"/>
            </w:pPr>
            <w:r>
              <w:t xml:space="preserve">2021</w:t>
            </w:r>
          </w:p>
        </w:tc>
        <w:tc>
          <w:tcPr>
            <w:tcW w:type="dxa" w:w="1560"/>
            <w:tcBorders>
              <w:top w:val="single" w:color="CCCCCC" w:sz="1"/>
              <w:left w:val="single" w:color="CCCCCC" w:sz="1"/>
              <w:bottom w:val="single" w:color="CCCCCC" w:sz="1"/>
              <w:right w:val="single" w:color="CCCCCC" w:sz="1"/>
            </w:tcBorders>
          </w:tcPr>
          <w:p>
            <w:pPr>
              <w:jc w:val="center"/>
            </w:pPr>
            <w:r>
              <w:t xml:space="preserve">$1.02B</w:t>
            </w:r>
          </w:p>
        </w:tc>
        <w:tc>
          <w:tcPr>
            <w:tcW w:type="dxa" w:w="1560"/>
            <w:tcBorders>
              <w:top w:val="single" w:color="CCCCCC" w:sz="1"/>
              <w:left w:val="single" w:color="CCCCCC" w:sz="1"/>
              <w:bottom w:val="single" w:color="CCCCCC" w:sz="1"/>
              <w:right w:val="single" w:color="CCCCCC" w:sz="1"/>
            </w:tcBorders>
          </w:tcPr>
          <w:p>
            <w:pPr>
              <w:jc w:val="center"/>
            </w:pPr>
            <w:r>
              <w:t xml:space="preserve">+20%</w:t>
            </w:r>
          </w:p>
        </w:tc>
        <w:tc>
          <w:tcPr>
            <w:tcW w:type="dxa" w:w="1560"/>
            <w:tcBorders>
              <w:top w:val="single" w:color="CCCCCC" w:sz="1"/>
              <w:left w:val="single" w:color="CCCCCC" w:sz="1"/>
              <w:bottom w:val="single" w:color="CCCCCC" w:sz="1"/>
              <w:right w:val="single" w:color="CCCCCC" w:sz="1"/>
            </w:tcBorders>
          </w:tcPr>
          <w:p>
            <w:pPr>
              <w:jc w:val="center"/>
            </w:pPr>
            <w:r>
              <w:t xml:space="preserve">$408M</w:t>
            </w:r>
          </w:p>
        </w:tc>
        <w:tc>
          <w:tcPr>
            <w:tcW w:type="dxa" w:w="1560"/>
            <w:tcBorders>
              <w:top w:val="single" w:color="CCCCCC" w:sz="1"/>
              <w:left w:val="single" w:color="CCCCCC" w:sz="1"/>
              <w:bottom w:val="single" w:color="CCCCCC" w:sz="1"/>
              <w:right w:val="single" w:color="CCCCCC" w:sz="1"/>
            </w:tcBorders>
          </w:tcPr>
          <w:p>
            <w:pPr>
              <w:jc w:val="center"/>
            </w:pPr>
            <w:r>
              <w:t xml:space="preserve">+20%</w:t>
            </w:r>
          </w:p>
        </w:tc>
        <w:tc>
          <w:tcPr>
            <w:tcW w:type="dxa" w:w="1560"/>
            <w:tcBorders>
              <w:top w:val="single" w:color="CCCCCC" w:sz="1"/>
              <w:left w:val="single" w:color="CCCCCC" w:sz="1"/>
              <w:bottom w:val="single" w:color="CCCCCC" w:sz="1"/>
              <w:right w:val="single" w:color="CCCCCC" w:sz="1"/>
            </w:tcBorders>
          </w:tcPr>
          <w:p>
            <w:r>
              <w:t xml:space="preserve">Productivity surge</w:t>
            </w:r>
          </w:p>
        </w:tc>
      </w:tr>
      <w:tr>
        <w:tc>
          <w:tcPr>
            <w:tcW w:type="dxa" w:w="1560"/>
            <w:tcBorders>
              <w:top w:val="single" w:color="CCCCCC" w:sz="1"/>
              <w:left w:val="single" w:color="CCCCCC" w:sz="1"/>
              <w:bottom w:val="single" w:color="CCCCCC" w:sz="1"/>
              <w:right w:val="single" w:color="CCCCCC" w:sz="1"/>
            </w:tcBorders>
          </w:tcPr>
          <w:p>
            <w:pPr>
              <w:jc w:val="center"/>
            </w:pPr>
            <w:r>
              <w:t xml:space="preserve">2022</w:t>
            </w:r>
          </w:p>
        </w:tc>
        <w:tc>
          <w:tcPr>
            <w:tcW w:type="dxa" w:w="1560"/>
            <w:tcBorders>
              <w:top w:val="single" w:color="CCCCCC" w:sz="1"/>
              <w:left w:val="single" w:color="CCCCCC" w:sz="1"/>
              <w:bottom w:val="single" w:color="CCCCCC" w:sz="1"/>
              <w:right w:val="single" w:color="CCCCCC" w:sz="1"/>
            </w:tcBorders>
          </w:tcPr>
          <w:p>
            <w:pPr>
              <w:jc w:val="center"/>
            </w:pPr>
            <w:r>
              <w:t xml:space="preserve">$1.28B</w:t>
            </w:r>
          </w:p>
        </w:tc>
        <w:tc>
          <w:tcPr>
            <w:tcW w:type="dxa" w:w="1560"/>
            <w:tcBorders>
              <w:top w:val="single" w:color="CCCCCC" w:sz="1"/>
              <w:left w:val="single" w:color="CCCCCC" w:sz="1"/>
              <w:bottom w:val="single" w:color="CCCCCC" w:sz="1"/>
              <w:right w:val="single" w:color="CCCCCC" w:sz="1"/>
            </w:tcBorders>
          </w:tcPr>
          <w:p>
            <w:pPr>
              <w:jc w:val="center"/>
            </w:pPr>
            <w:r>
              <w:t xml:space="preserve">+25%</w:t>
            </w:r>
          </w:p>
        </w:tc>
        <w:tc>
          <w:tcPr>
            <w:tcW w:type="dxa" w:w="1560"/>
            <w:tcBorders>
              <w:top w:val="single" w:color="CCCCCC" w:sz="1"/>
              <w:left w:val="single" w:color="CCCCCC" w:sz="1"/>
              <w:bottom w:val="single" w:color="CCCCCC" w:sz="1"/>
              <w:right w:val="single" w:color="CCCCCC" w:sz="1"/>
            </w:tcBorders>
          </w:tcPr>
          <w:p>
            <w:pPr>
              <w:jc w:val="center"/>
            </w:pPr>
            <w:r>
              <w:t xml:space="preserve">$512M</w:t>
            </w:r>
          </w:p>
        </w:tc>
        <w:tc>
          <w:tcPr>
            <w:tcW w:type="dxa" w:w="1560"/>
            <w:tcBorders>
              <w:top w:val="single" w:color="CCCCCC" w:sz="1"/>
              <w:left w:val="single" w:color="CCCCCC" w:sz="1"/>
              <w:bottom w:val="single" w:color="CCCCCC" w:sz="1"/>
              <w:right w:val="single" w:color="CCCCCC" w:sz="1"/>
            </w:tcBorders>
          </w:tcPr>
          <w:p>
            <w:pPr>
              <w:jc w:val="center"/>
            </w:pPr>
            <w:r>
              <w:t xml:space="preserve">+25.5%</w:t>
            </w:r>
          </w:p>
        </w:tc>
        <w:tc>
          <w:tcPr>
            <w:tcW w:type="dxa" w:w="1560"/>
            <w:tcBorders>
              <w:top w:val="single" w:color="CCCCCC" w:sz="1"/>
              <w:left w:val="single" w:color="CCCCCC" w:sz="1"/>
              <w:bottom w:val="single" w:color="CCCCCC" w:sz="1"/>
              <w:right w:val="single" w:color="CCCCCC" w:sz="1"/>
            </w:tcBorders>
          </w:tcPr>
          <w:p>
            <w:r>
              <w:t xml:space="preserve">Mental health focus</w:t>
            </w:r>
          </w:p>
        </w:tc>
      </w:tr>
      <w:tr>
        <w:tc>
          <w:tcPr>
            <w:tcW w:type="dxa" w:w="1560"/>
            <w:tcBorders>
              <w:top w:val="single" w:color="CCCCCC" w:sz="1"/>
              <w:left w:val="single" w:color="CCCCCC" w:sz="1"/>
              <w:bottom w:val="single" w:color="CCCCCC" w:sz="1"/>
              <w:right w:val="single" w:color="CCCCCC" w:sz="1"/>
            </w:tcBorders>
          </w:tcPr>
          <w:p>
            <w:pPr>
              <w:jc w:val="center"/>
            </w:pPr>
            <w:r>
              <w:t xml:space="preserve">2023</w:t>
            </w:r>
          </w:p>
        </w:tc>
        <w:tc>
          <w:tcPr>
            <w:tcW w:type="dxa" w:w="1560"/>
            <w:tcBorders>
              <w:top w:val="single" w:color="CCCCCC" w:sz="1"/>
              <w:left w:val="single" w:color="CCCCCC" w:sz="1"/>
              <w:bottom w:val="single" w:color="CCCCCC" w:sz="1"/>
              <w:right w:val="single" w:color="CCCCCC" w:sz="1"/>
            </w:tcBorders>
          </w:tcPr>
          <w:p>
            <w:pPr>
              <w:jc w:val="center"/>
            </w:pPr>
            <w:r>
              <w:t xml:space="preserve">$1.50B</w:t>
            </w:r>
          </w:p>
        </w:tc>
        <w:tc>
          <w:tcPr>
            <w:tcW w:type="dxa" w:w="1560"/>
            <w:tcBorders>
              <w:top w:val="single" w:color="CCCCCC" w:sz="1"/>
              <w:left w:val="single" w:color="CCCCCC" w:sz="1"/>
              <w:bottom w:val="single" w:color="CCCCCC" w:sz="1"/>
              <w:right w:val="single" w:color="CCCCCC" w:sz="1"/>
            </w:tcBorders>
          </w:tcPr>
          <w:p>
            <w:pPr>
              <w:jc w:val="center"/>
            </w:pPr>
            <w:r>
              <w:t xml:space="preserve">+17%</w:t>
            </w:r>
          </w:p>
        </w:tc>
        <w:tc>
          <w:tcPr>
            <w:tcW w:type="dxa" w:w="1560"/>
            <w:tcBorders>
              <w:top w:val="single" w:color="CCCCCC" w:sz="1"/>
              <w:left w:val="single" w:color="CCCCCC" w:sz="1"/>
              <w:bottom w:val="single" w:color="CCCCCC" w:sz="1"/>
              <w:right w:val="single" w:color="CCCCCC" w:sz="1"/>
            </w:tcBorders>
          </w:tcPr>
          <w:p>
            <w:pPr>
              <w:jc w:val="center"/>
            </w:pPr>
            <w:r>
              <w:t xml:space="preserve">$600M</w:t>
            </w:r>
          </w:p>
        </w:tc>
        <w:tc>
          <w:tcPr>
            <w:tcW w:type="dxa" w:w="1560"/>
            <w:tcBorders>
              <w:top w:val="single" w:color="CCCCCC" w:sz="1"/>
              <w:left w:val="single" w:color="CCCCCC" w:sz="1"/>
              <w:bottom w:val="single" w:color="CCCCCC" w:sz="1"/>
              <w:right w:val="single" w:color="CCCCCC" w:sz="1"/>
            </w:tcBorders>
          </w:tcPr>
          <w:p>
            <w:pPr>
              <w:jc w:val="center"/>
            </w:pPr>
            <w:r>
              <w:t xml:space="preserve">+17.2%</w:t>
            </w:r>
          </w:p>
        </w:tc>
        <w:tc>
          <w:tcPr>
            <w:tcW w:type="dxa" w:w="1560"/>
            <w:tcBorders>
              <w:top w:val="single" w:color="CCCCCC" w:sz="1"/>
              <w:left w:val="single" w:color="CCCCCC" w:sz="1"/>
              <w:bottom w:val="single" w:color="CCCCCC" w:sz="1"/>
              <w:right w:val="single" w:color="CCCCCC" w:sz="1"/>
            </w:tcBorders>
          </w:tcPr>
          <w:p>
            <w:r>
              <w:t xml:space="preserve">AI integration wave</w:t>
            </w:r>
          </w:p>
        </w:tc>
      </w:tr>
      <w:tr>
        <w:tc>
          <w:tcPr>
            <w:tcW w:type="dxa" w:w="1560"/>
            <w:tcBorders>
              <w:top w:val="single" w:color="CCCCCC" w:sz="1"/>
              <w:left w:val="single" w:color="CCCCCC" w:sz="1"/>
              <w:bottom w:val="single" w:color="CCCCCC" w:sz="1"/>
              <w:right w:val="single" w:color="CCCCCC" w:sz="1"/>
            </w:tcBorders>
          </w:tcPr>
          <w:p>
            <w:pPr>
              <w:jc w:val="center"/>
            </w:pPr>
            <w:r>
              <w:t xml:space="preserve">2024</w:t>
            </w:r>
          </w:p>
        </w:tc>
        <w:tc>
          <w:tcPr>
            <w:tcW w:type="dxa" w:w="1560"/>
            <w:tcBorders>
              <w:top w:val="single" w:color="CCCCCC" w:sz="1"/>
              <w:left w:val="single" w:color="CCCCCC" w:sz="1"/>
              <w:bottom w:val="single" w:color="CCCCCC" w:sz="1"/>
              <w:right w:val="single" w:color="CCCCCC" w:sz="1"/>
            </w:tcBorders>
          </w:tcPr>
          <w:p>
            <w:pPr>
              <w:jc w:val="center"/>
            </w:pPr>
            <w:r>
              <w:t xml:space="preserve">$1.70B</w:t>
            </w:r>
          </w:p>
        </w:tc>
        <w:tc>
          <w:tcPr>
            <w:tcW w:type="dxa" w:w="1560"/>
            <w:tcBorders>
              <w:top w:val="single" w:color="CCCCCC" w:sz="1"/>
              <w:left w:val="single" w:color="CCCCCC" w:sz="1"/>
              <w:bottom w:val="single" w:color="CCCCCC" w:sz="1"/>
              <w:right w:val="single" w:color="CCCCCC" w:sz="1"/>
            </w:tcBorders>
          </w:tcPr>
          <w:p>
            <w:pPr>
              <w:jc w:val="center"/>
            </w:pPr>
            <w:r>
              <w:t xml:space="preserve">+13%</w:t>
            </w:r>
          </w:p>
        </w:tc>
        <w:tc>
          <w:tcPr>
            <w:tcW w:type="dxa" w:w="1560"/>
            <w:tcBorders>
              <w:top w:val="single" w:color="CCCCCC" w:sz="1"/>
              <w:left w:val="single" w:color="CCCCCC" w:sz="1"/>
              <w:bottom w:val="single" w:color="CCCCCC" w:sz="1"/>
              <w:right w:val="single" w:color="CCCCCC" w:sz="1"/>
            </w:tcBorders>
          </w:tcPr>
          <w:p>
            <w:pPr>
              <w:jc w:val="center"/>
            </w:pPr>
            <w:r>
              <w:t xml:space="preserve">$680M</w:t>
            </w:r>
          </w:p>
        </w:tc>
        <w:tc>
          <w:tcPr>
            <w:tcW w:type="dxa" w:w="1560"/>
            <w:tcBorders>
              <w:top w:val="single" w:color="CCCCCC" w:sz="1"/>
              <w:left w:val="single" w:color="CCCCCC" w:sz="1"/>
              <w:bottom w:val="single" w:color="CCCCCC" w:sz="1"/>
              <w:right w:val="single" w:color="CCCCCC" w:sz="1"/>
            </w:tcBorders>
          </w:tcPr>
          <w:p>
            <w:pPr>
              <w:jc w:val="center"/>
            </w:pPr>
            <w:r>
              <w:t xml:space="preserve">+13.3%</w:t>
            </w:r>
          </w:p>
        </w:tc>
        <w:tc>
          <w:tcPr>
            <w:tcW w:type="dxa" w:w="1560"/>
            <w:tcBorders>
              <w:top w:val="single" w:color="CCCCCC" w:sz="1"/>
              <w:left w:val="single" w:color="CCCCCC" w:sz="1"/>
              <w:bottom w:val="single" w:color="CCCCCC" w:sz="1"/>
              <w:right w:val="single" w:color="CCCCCC" w:sz="1"/>
            </w:tcBorders>
          </w:tcPr>
          <w:p>
            <w:r>
              <w:t xml:space="preserve">Gamification trends</w:t>
            </w:r>
          </w:p>
        </w:tc>
      </w:tr>
      <w:tr>
        <w:tc>
          <w:tcPr>
            <w:tcW w:type="dxa" w:w="1560"/>
            <w:tcBorders>
              <w:top w:val="single" w:color="CCCCCC" w:sz="1"/>
              <w:left w:val="single" w:color="CCCCCC" w:sz="1"/>
              <w:bottom w:val="single" w:color="CCCCCC" w:sz="1"/>
              <w:right w:val="single" w:color="CCCCCC" w:sz="1"/>
            </w:tcBorders>
            <w:shd w:fill="E8F5E9" w:val="clear"/>
          </w:tcPr>
          <w:p>
            <w:pPr>
              <w:jc w:val="center"/>
            </w:pPr>
            <w:r>
              <w:rPr>
                <w:b/>
                <w:bCs/>
              </w:rPr>
              <w:t xml:space="preserve">2025</w:t>
            </w:r>
          </w:p>
        </w:tc>
        <w:tc>
          <w:tcPr>
            <w:tcW w:type="dxa" w:w="1560"/>
            <w:tcBorders>
              <w:top w:val="single" w:color="CCCCCC" w:sz="1"/>
              <w:left w:val="single" w:color="CCCCCC" w:sz="1"/>
              <w:bottom w:val="single" w:color="CCCCCC" w:sz="1"/>
              <w:right w:val="single" w:color="CCCCCC" w:sz="1"/>
            </w:tcBorders>
            <w:shd w:fill="E8F5E9" w:val="clear"/>
          </w:tcPr>
          <w:p>
            <w:pPr>
              <w:jc w:val="center"/>
            </w:pPr>
            <w:r>
              <w:rPr>
                <w:b/>
                <w:bCs/>
              </w:rPr>
              <w:t xml:space="preserve">$1.90B</w:t>
            </w:r>
          </w:p>
        </w:tc>
        <w:tc>
          <w:tcPr>
            <w:tcW w:type="dxa" w:w="1560"/>
            <w:tcBorders>
              <w:top w:val="single" w:color="CCCCCC" w:sz="1"/>
              <w:left w:val="single" w:color="CCCCCC" w:sz="1"/>
              <w:bottom w:val="single" w:color="CCCCCC" w:sz="1"/>
              <w:right w:val="single" w:color="CCCCCC" w:sz="1"/>
            </w:tcBorders>
            <w:shd w:fill="E8F5E9" w:val="clear"/>
          </w:tcPr>
          <w:p>
            <w:pPr>
              <w:jc w:val="center"/>
            </w:pPr>
            <w:r>
              <w:rPr>
                <w:b/>
                <w:bCs/>
              </w:rPr>
              <w:t xml:space="preserve">+12%</w:t>
            </w:r>
          </w:p>
        </w:tc>
        <w:tc>
          <w:tcPr>
            <w:tcW w:type="dxa" w:w="1560"/>
            <w:tcBorders>
              <w:top w:val="single" w:color="CCCCCC" w:sz="1"/>
              <w:left w:val="single" w:color="CCCCCC" w:sz="1"/>
              <w:bottom w:val="single" w:color="CCCCCC" w:sz="1"/>
              <w:right w:val="single" w:color="CCCCCC" w:sz="1"/>
            </w:tcBorders>
            <w:shd w:fill="E8F5E9" w:val="clear"/>
          </w:tcPr>
          <w:p>
            <w:pPr>
              <w:jc w:val="center"/>
            </w:pPr>
            <w:r>
              <w:rPr>
                <w:b/>
                <w:bCs/>
              </w:rPr>
              <w:t xml:space="preserve">$760M</w:t>
            </w:r>
          </w:p>
        </w:tc>
        <w:tc>
          <w:tcPr>
            <w:tcW w:type="dxa" w:w="1560"/>
            <w:tcBorders>
              <w:top w:val="single" w:color="CCCCCC" w:sz="1"/>
              <w:left w:val="single" w:color="CCCCCC" w:sz="1"/>
              <w:bottom w:val="single" w:color="CCCCCC" w:sz="1"/>
              <w:right w:val="single" w:color="CCCCCC" w:sz="1"/>
            </w:tcBorders>
            <w:shd w:fill="E8F5E9" w:val="clear"/>
          </w:tcPr>
          <w:p>
            <w:pPr>
              <w:jc w:val="center"/>
            </w:pPr>
            <w:r>
              <w:rPr>
                <w:b/>
                <w:bCs/>
              </w:rPr>
              <w:t xml:space="preserve">+11.8%</w:t>
            </w:r>
          </w:p>
        </w:tc>
        <w:tc>
          <w:tcPr>
            <w:tcW w:type="dxa" w:w="1560"/>
            <w:tcBorders>
              <w:top w:val="single" w:color="CCCCCC" w:sz="1"/>
              <w:left w:val="single" w:color="CCCCCC" w:sz="1"/>
              <w:bottom w:val="single" w:color="CCCCCC" w:sz="1"/>
              <w:right w:val="single" w:color="CCCCCC" w:sz="1"/>
            </w:tcBorders>
          </w:tcPr>
          <w:p>
            <w:r>
              <w:t xml:space="preserve">Behavioral fintech</w:t>
            </w:r>
          </w:p>
        </w:tc>
      </w:tr>
    </w:tbl>
    <w:p>
      <w:pPr>
        <w:spacing w:before="200" w:after="360"/>
      </w:pPr>
      <w:r>
        <w:rPr>
          <w:b/>
          <w:bCs/>
        </w:rPr>
        <w:t xml:space="preserve">5-year historical growth: </w:t>
      </w:r>
      <w:r>
        <w:t xml:space="preserve">Pure habit tracking market grew 123% from 2020-2025 ($850M → $1.90B), driven by pandemic-induced focus on self-improvement, remote work productivity needs, mental health awareness, and AI/gamification innovation.</w:t>
      </w:r>
    </w:p>
    <w:p>
      <w:pPr>
        <w:pStyle w:val="Heading1"/>
      </w:pPr>
      <w:r>
        <w:t xml:space="preserve">Projected Growth (2025-2030)</w:t>
      </w:r>
    </w:p>
    <w:p>
      <w:pPr>
        <w:spacing w:after="200"/>
      </w:pPr>
      <w:r>
        <w:t xml:space="preserve">The pure habit tracking market is projected to nearly double over the next five years, reaching $3.69B globally and $1.53B in North America by 2030. This 14-15% CAGR is driven by AI coaching maturity, financial accountability integration, wearable ecosystem expansion, and behavioral data licensing opportunities.</w:t>
      </w:r>
    </w:p>
    <w:p>
      <w:pPr>
        <w:pStyle w:val="Callout"/>
        <w:spacing w:before="0" w:after="360"/>
      </w:pPr>
      <w:r>
        <w:t xml:space="preserve">2025-2030: $1.9B → $3.69B global (94% growth) | $760M → $1.53B North America (101% growth)</w:t>
      </w:r>
    </w:p>
    <w:p>
      <w:pPr>
        <w:pStyle w:val="Heading1"/>
      </w:pPr>
      <w:r>
        <w:t xml:space="preserve">Key Market Insights</w:t>
      </w:r>
    </w:p>
    <w:p>
      <w:pPr>
        <w:spacing w:after="120"/>
      </w:pPr>
      <w:r>
        <w:rPr>
          <w:b/>
          <w:bCs/>
        </w:rPr>
        <w:t xml:space="preserve">Critical market characteristics supporting Flux's entry:</w:t>
      </w:r>
    </w:p>
    <w:p>
      <w:pPr>
        <w:pStyle w:val="ListParagraph"/>
        <w:numPr>
          <w:ilvl w:val="0"/>
          <w:numId w:val="2"/>
        </w:numPr>
      </w:pPr>
      <w:r>
        <w:rPr>
          <w:b/>
          <w:bCs/>
        </w:rPr>
        <w:t xml:space="preserve">Fragmented competition: </w:t>
      </w:r>
      <w:r>
        <w:t xml:space="preserve">No dominant player. Habitica (4M), Fabulous (37M), and dozens of smaller apps create addressable switching opportunities.</w:t>
      </w:r>
    </w:p>
    <w:p>
      <w:pPr>
        <w:pStyle w:val="ListParagraph"/>
        <w:numPr>
          <w:ilvl w:val="0"/>
          <w:numId w:val="2"/>
        </w:numPr>
      </w:pPr>
      <w:r>
        <w:rPr>
          <w:b/>
          <w:bCs/>
        </w:rPr>
        <w:t xml:space="preserve">High abandonment: </w:t>
      </w:r>
      <w:r>
        <w:t xml:space="preserve">60-80% abandon within 6 months = 28-37M churned users globally seeking better solutions.</w:t>
      </w:r>
    </w:p>
    <w:p>
      <w:pPr>
        <w:pStyle w:val="ListParagraph"/>
        <w:numPr>
          <w:ilvl w:val="0"/>
          <w:numId w:val="2"/>
        </w:numPr>
      </w:pPr>
      <w:r>
        <w:rPr>
          <w:b/>
          <w:bCs/>
        </w:rPr>
        <w:t xml:space="preserve">Premium opportunity: </w:t>
      </w:r>
      <w:r>
        <w:t xml:space="preserve">Market average 10-12% conversion; Flux targets 50% through superior value (real money + AI + analytics).</w:t>
      </w:r>
    </w:p>
    <w:p>
      <w:pPr>
        <w:pStyle w:val="ListParagraph"/>
        <w:numPr>
          <w:ilvl w:val="0"/>
          <w:numId w:val="2"/>
        </w:numPr>
        <w:spacing w:after="360"/>
      </w:pPr>
      <w:r>
        <w:rPr>
          <w:b/>
          <w:bCs/>
        </w:rPr>
        <w:t xml:space="preserve">ARPU expansion: </w:t>
      </w:r>
      <w:r>
        <w:t xml:space="preserve">Market ARPU $41-42/year; Flux premium $47.88/year justified by financial accountability and behavioral indices.</w:t>
      </w:r>
    </w:p>
    <w:p>
      <w:pPr>
        <w:pStyle w:val="Heading1"/>
      </w:pPr>
      <w:r>
        <w:t xml:space="preserve">Flux's Market Position</w:t>
      </w:r>
    </w:p>
    <w:p>
      <w:pPr>
        <w:pStyle w:val="Callout"/>
        <w:spacing w:before="0" w:after="240"/>
      </w:pPr>
      <w:r>
        <w:t xml:space="preserve">SOM: 0.31-0.61% of 18M North American users = 55K-110K users = $1.8-3.36M ARR</w:t>
      </w:r>
    </w:p>
    <w:p>
      <w:pPr>
        <w:spacing w:after="120"/>
      </w:pPr>
      <w:r>
        <w:rPr>
          <w:b/>
          <w:bCs/>
        </w:rPr>
        <w:t xml:space="preserve">Flux's realistic market capture milestones:</w:t>
      </w:r>
    </w:p>
    <w:p>
      <w:pPr>
        <w:pStyle w:val="ListParagraph"/>
        <w:numPr>
          <w:ilvl w:val="0"/>
          <w:numId w:val="2"/>
        </w:numPr>
      </w:pPr>
      <w:r>
        <w:rPr>
          <w:b/>
          <w:bCs/>
        </w:rPr>
        <w:t xml:space="preserve">Year 1: </w:t>
      </w:r>
      <w:r>
        <w:t xml:space="preserve">3,334 paying users = $200K ARR = 0.019% of North American market</w:t>
      </w:r>
    </w:p>
    <w:p>
      <w:pPr>
        <w:pStyle w:val="ListParagraph"/>
        <w:numPr>
          <w:ilvl w:val="0"/>
          <w:numId w:val="2"/>
        </w:numPr>
      </w:pPr>
      <w:r>
        <w:rPr>
          <w:b/>
          <w:bCs/>
        </w:rPr>
        <w:t xml:space="preserve">Year 2: </w:t>
      </w:r>
      <w:r>
        <w:t xml:space="preserve">10,000 total, 5,000 premium = $240K ARR = 0.056%</w:t>
      </w:r>
    </w:p>
    <w:p>
      <w:pPr>
        <w:pStyle w:val="ListParagraph"/>
        <w:numPr>
          <w:ilvl w:val="0"/>
          <w:numId w:val="2"/>
        </w:numPr>
      </w:pPr>
      <w:r>
        <w:rPr>
          <w:b/>
          <w:bCs/>
        </w:rPr>
        <w:t xml:space="preserve">Year 3: </w:t>
      </w:r>
      <w:r>
        <w:t xml:space="preserve">55K-110K users = $1.8-3.36M ARR = 0.31-0.61%</w:t>
      </w:r>
    </w:p>
    <w:p>
      <w:pPr>
        <w:pStyle w:val="ListParagraph"/>
        <w:numPr>
          <w:ilvl w:val="0"/>
          <w:numId w:val="2"/>
        </w:numPr>
        <w:spacing w:after="100"/>
      </w:pPr>
      <w:r>
        <w:rPr>
          <w:b/>
          <w:bCs/>
        </w:rPr>
        <w:t xml:space="preserve">Year 5: </w:t>
      </w:r>
      <w:r>
        <w:t xml:space="preserve">250K+ users with data licensing = $10-20M ARR = potential acquisition target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788"/>
      <w:sz w:val="52"/>
      <w:szCs w:val="52"/>
    </w:rPr>
  </w:style>
  <w:style w:type="paragraph" w:styleId="Heading1">
    <w:name w:val="Heading 1"/>
    <w:basedOn w:val="Normal"/>
    <w:next w:val="Normal"/>
    <w:qFormat/>
    <w:pPr>
      <w:spacing w:before="240" w:after="120"/>
      <w:outlineLvl w:val="0"/>
    </w:pPr>
    <w:rPr>
      <w:rFonts w:ascii="Arial" w:cs="Arial" w:eastAsia="Arial" w:hAnsi="Arial"/>
      <w:b/>
      <w:bCs/>
      <w:color w:val="1F4788"/>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C5AA0"/>
      <w:sz w:val="26"/>
      <w:szCs w:val="26"/>
    </w:rPr>
  </w:style>
  <w:style w:type="paragraph" w:styleId="Callout">
    <w:name w:val="Callout"/>
    <w:basedOn w:val="Normal"/>
    <w:pPr>
      <w:pBdr>
        <w:top w:val="single" w:color="1F4788" w:sz="6"/>
        <w:bottom w:val="single" w:color="1F4788" w:sz="6"/>
      </w:pBdr>
      <w:spacing w:before="200" w:after="200"/>
      <w:jc w:val="center"/>
    </w:pPr>
    <w:rPr>
      <w:rFonts w:ascii="Arial" w:cs="Arial" w:eastAsia="Arial" w:hAnsi="Arial"/>
      <w:b/>
      <w:bCs/>
      <w:color w:val="1F47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2025-11-23T19:38:25.668Z</dcterms:created>
  <dcterms:modified xsi:type="dcterms:W3CDTF">2025-11-23T19:38:25.669Z</dcterms:modified>
</cp:coreProperties>
</file>

<file path=docProps/custom.xml><?xml version="1.0" encoding="utf-8"?>
<Properties xmlns="http://schemas.openxmlformats.org/officeDocument/2006/custom-properties" xmlns:vt="http://schemas.openxmlformats.org/officeDocument/2006/docPropsVTypes"/>
</file>