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Flux Competitive Analysis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Comprehensive Market Positioning &amp; Differentiation</w:t>
      </w:r>
    </w:p>
    <w:p>
      <w:pPr>
        <w:pStyle w:val="Heading1"/>
      </w:pPr>
      <w:r>
        <w:t xml:space="preserve">Core Features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2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0E3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Flux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Habitica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Streaks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Strides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Beeminder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Qapital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Real Money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0E3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✅ Self-fund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⚠️ Lose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⚠️ Passive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AI Chat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0E3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✅ Yes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Quality Score (HHS)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0E3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✅ Yes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⚠️ Basic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⚠️ Streaks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⚠️ Stats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Behavioral Indices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0E3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✅ Yes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Goal Linking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0E3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✅ Habit→Goal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⚠️ Generic</w:t>
            </w:r>
          </w:p>
        </w:tc>
      </w:tr>
    </w:tbl>
    <w:p>
      <w:pPr>
        <w:spacing w:before="240" w:after="480"/>
      </w:pPr>
      <w:r>
        <w:rPr>
          <w:b/>
          <w:bCs/>
          <w:i/>
          <w:iCs/>
          <w:color w:val="2E5090"/>
          <w:sz w:val="22"/>
          <w:szCs w:val="22"/>
        </w:rPr>
        <w:t xml:space="preserve">Key Insight: Flux is the ONLY app combining habit-triggered money transfers (user's own funds), AI chat, quality scoring, behavioral indices, AND savings goal integration.</w:t>
      </w:r>
    </w:p>
    <w:p>
      <w:pPr>
        <w:pStyle w:val="Heading1"/>
      </w:pPr>
      <w:r>
        <w:t xml:space="preserve">Pricing &amp; Monetization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800"/>
        <w:gridCol w:w="1300"/>
        <w:gridCol w:w="1300"/>
        <w:gridCol w:w="1300"/>
        <w:gridCol w:w="26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Premium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0E3" w:val="clear"/>
          </w:tcPr>
          <w:p>
            <w:r>
              <w:rPr>
                <w:b/>
                <w:bCs/>
                <w:sz w:val="18"/>
                <w:szCs w:val="18"/>
              </w:rPr>
              <w:t xml:space="preserve">Flux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Unlimited habits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$3.99/mo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$38.39/yr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Freemium + Data licensing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Habitica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Full features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$5.00/mo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$47.99/yr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Freemium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Strides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color w:val="CC0000"/>
                <w:sz w:val="18"/>
                <w:szCs w:val="18"/>
              </w:rPr>
              <w:t xml:space="preserve">3 habits limit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$4.99/mo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$29.99/yr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Freemium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Qapital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$3-12/mo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Passive savings rules</w:t>
            </w:r>
          </w:p>
        </w:tc>
      </w:tr>
    </w:tbl>
    <w:p>
      <w:pPr>
        <w:spacing w:before="240" w:after="480"/>
      </w:pPr>
      <w:r>
        <w:rPr>
          <w:b/>
          <w:bCs/>
          <w:i/>
          <w:iCs/>
          <w:color w:val="2E5090"/>
          <w:sz w:val="22"/>
          <w:szCs w:val="22"/>
        </w:rPr>
        <w:t xml:space="preserve">Competitive Advantage: $3.99/month is lowest premium pricing with unlimited free tier. Active habit triggers (Flux) vs. passive spending rules (Qapital).</w:t>
      </w:r>
    </w:p>
    <w:p>
      <w:pPr>
        <w:pStyle w:val="Heading1"/>
      </w:pPr>
      <w:r>
        <w:t xml:space="preserve">Key Differentiators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600"/>
        <w:gridCol w:w="40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Differentiator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Flux Advantage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Self-Funded Transfers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Users transfer THEIR OWN money via habit completion - ONLY app with active habit-triggered self-rewards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BUILD + RESIST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Tracks positive actions AND avoided negatives - competitors focus only on "do this"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AI Chat Interface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Eliminates form fatigue (80%+ drop-off). First-mover, difficult to retrofit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HHS Algorithm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Quality measurement (not just completion). Patent opportunity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Behavioral Indices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Network effects + data licensing revenue. No competitor provides this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Active vs Passive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Intentional habit formation vs. spending-reactive (Qapital/Acorns)</w:t>
            </w:r>
          </w:p>
        </w:tc>
      </w:tr>
    </w:tbl>
    <w:p>
      <w:pPr>
        <w:spacing w:before="480" w:after="240"/>
      </w:pPr>
      <w:r>
        <w:rPr>
          <w:b/>
          <w:bCs/>
          <w:color w:val="2E5090"/>
          <w:sz w:val="24"/>
          <w:szCs w:val="24"/>
        </w:rPr>
        <w:t xml:space="preserve">Bottom Line: Flux creates a NEW CATEGORY at the intersection of behavioral science, financial wellness, and data infrastructure. No competitor combines all these elements.</w:t>
      </w:r>
    </w:p>
    <w:p>
      <w:pPr>
        <w:spacing w:before="240" w:after="240"/>
      </w:pPr>
      <w:r>
        <w:rPr>
          <w:i/>
          <w:iCs/>
          <w:color w:val="666666"/>
          <w:sz w:val="20"/>
          <w:szCs w:val="20"/>
        </w:rPr>
        <w:t xml:space="preserve">See FLUX-COMPETITIVE-COMPARISON-UPDATED.md for complete 9-table analysis with detailed psychological approaches, target audiences, technology stack, and business model scalability.</w:t>
      </w:r>
    </w:p>
    <w:p>
      <w:pPr>
        <w:spacing w:after="480"/>
      </w:pPr>
      <w:r>
        <w:rPr>
          <w:i/>
          <w:iCs/>
          <w:color w:val="999999"/>
          <w:sz w:val="20"/>
          <w:szCs w:val="20"/>
        </w:rPr>
        <w:t xml:space="preserve">Document prepared for Flux Technologies LLC | November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2025-11-20T14:10:40.933Z</dcterms:created>
  <dcterms:modified xsi:type="dcterms:W3CDTF">2025-11-20T14:10:40.934Z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