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25483A"/>
          <w:sz w:val="48"/>
        </w:rPr>
        <w:t>01 · FluxMintDigital Studio Architecture</w:t>
      </w:r>
    </w:p>
    <w:p>
      <w:pPr>
        <w:spacing w:after="100"/>
      </w:pPr>
      <w:r>
        <w:rPr>
          <w:rFonts w:ascii="Aptos" w:hAnsi="Aptos"/>
          <w:color w:val="5C665F"/>
          <w:sz w:val="23"/>
        </w:rPr>
        <w:t>Canonical structural constitution for the FluxMintDigital website Studio</w:t>
      </w:r>
    </w:p>
    <w:p>
      <w:pPr>
        <w:spacing w:after="280"/>
      </w:pPr>
      <w:r>
        <w:rPr>
          <w:rFonts w:ascii="Aptos" w:hAnsi="Aptos"/>
          <w:b/>
          <w:color w:val="B19A5B"/>
          <w:sz w:val="17"/>
        </w:rPr>
        <w:t>v1.0 · September 3, 2026</w:t>
      </w:r>
    </w:p>
    <w:p>
      <w:pPr>
        <w:pStyle w:val="Heading1"/>
      </w:pPr>
      <w:r>
        <w:t>Document Role</w:t>
      </w:r>
    </w:p>
    <w:p>
      <w:pPr>
        <w:pStyle w:val="FMCallout"/>
      </w:pPr>
      <w:r>
        <w:rPr>
          <w:rFonts w:ascii="Aptos" w:hAnsi="Aptos"/>
          <w:i/>
          <w:color w:val="25483A"/>
          <w:sz w:val="21"/>
        </w:rPr>
        <w:t>This document defines what FluxMintDigital is structurally. Lower documents may implement, present, or validate these decisions but may not redefine them.</w:t>
      </w:r>
    </w:p>
    <w:p>
      <w:r>
        <w:t>It governs the Studio metaphor, experiential layer, semantic domains, identity architecture, Room responsibilities, temporal structure, external boundaries, and conceptual invariants.</w:t>
      </w:r>
    </w:p>
    <w:p>
      <w:r>
        <w:rPr>
          <w:rFonts w:ascii="Aptos" w:hAnsi="Aptos"/>
          <w:b/>
          <w:color w:val="1F2522"/>
        </w:rPr>
        <w:t xml:space="preserve">Authority relationship: </w:t>
      </w:r>
      <w:r>
        <w:rPr>
          <w:rFonts w:ascii="Aptos" w:hAnsi="Aptos"/>
          <w:color w:val="1F2522"/>
        </w:rPr>
        <w:t>Highest conceptual authority in the package.</w:t>
      </w:r>
    </w:p>
    <w:p>
      <w:pPr>
        <w:pStyle w:val="Heading1"/>
      </w:pPr>
      <w:r>
        <w:t>1. Governing Purpose</w:t>
      </w:r>
    </w:p>
    <w:p>
      <w:pPr>
        <w:pStyle w:val="FMCallout"/>
      </w:pPr>
      <w:r>
        <w:rPr>
          <w:rFonts w:ascii="Aptos" w:hAnsi="Aptos"/>
          <w:i/>
          <w:color w:val="25483A"/>
          <w:sz w:val="21"/>
        </w:rPr>
        <w:t>FluxMintDigital helps people discover the hidden architecture behind the world around them through exploration, creativity, and practical tools that transform curiosity into clarity.</w:t>
      </w:r>
    </w:p>
    <w:p>
      <w:r>
        <w:t>The website is a Studio: a coherent place where authored knowledge, tools, research, observation, collaboration, and acquisition can coexist without being flattened into a store, agency site, SaaS catalog, or generic blog. The Studio metaphor is used only where it clarifies meaning; ordinary utilities remain conventional and obvious.</w:t>
      </w:r>
    </w:p>
    <w:p>
      <w:pPr>
        <w:pStyle w:val="Heading1"/>
      </w:pPr>
      <w:r>
        <w:t>2. Structural Stack</w:t>
      </w:r>
    </w:p>
    <w:tbl>
      <w:tblPr>
        <w:tblStyle w:val="TableGrid"/>
        <w:tblW w:type="auto" w:w="0"/>
        <w:jc w:val="center"/>
        <w:tblLook w:firstColumn="1" w:firstRow="1" w:lastColumn="0" w:lastRow="0" w:noHBand="0" w:noVBand="1" w:val="04A0"/>
      </w:tblPr>
      <w:tblGrid>
        <w:gridCol w:w="4997"/>
        <w:gridCol w:w="4997"/>
      </w:tblGrid>
      <w:tr>
        <w:trPr>
          <w:cantSplit/>
        </w:trPr>
        <w:tc>
          <w:tcPr>
            <w:tcW w:type="dxa" w:w="2160"/>
            <w:shd w:fill="25483A"/>
            <w:tcMar>
              <w:top w:w="90" w:type="dxa"/>
              <w:start w:w="100" w:type="dxa"/>
              <w:bottom w:w="90" w:type="dxa"/>
              <w:end w:w="100" w:type="dxa"/>
            </w:tcMar>
            <w:vAlign w:val="center"/>
          </w:tcPr>
          <w:p>
            <w:r>
              <w:rPr>
                <w:rFonts w:ascii="Aptos" w:hAnsi="Aptos"/>
                <w:b/>
                <w:color w:val="FFFFFF"/>
                <w:sz w:val="17"/>
              </w:rPr>
              <w:t>Layer</w:t>
            </w:r>
          </w:p>
        </w:tc>
        <w:tc>
          <w:tcPr>
            <w:tcW w:type="dxa" w:w="7488"/>
            <w:shd w:fill="25483A"/>
            <w:tcMar>
              <w:top w:w="90" w:type="dxa"/>
              <w:start w:w="100" w:type="dxa"/>
              <w:bottom w:w="90" w:type="dxa"/>
              <w:end w:w="100" w:type="dxa"/>
            </w:tcMar>
            <w:vAlign w:val="center"/>
          </w:tcPr>
          <w:p>
            <w:r>
              <w:rPr>
                <w:rFonts w:ascii="Aptos" w:hAnsi="Aptos"/>
                <w:b/>
                <w:color w:val="FFFFFF"/>
                <w:sz w:val="17"/>
              </w:rPr>
              <w:t>Canonical structure</w:t>
            </w:r>
          </w:p>
        </w:tc>
      </w:tr>
      <w:tr>
        <w:trPr>
          <w:cantSplit/>
        </w:trPr>
        <w:tc>
          <w:tcPr>
            <w:tcW w:type="dxa" w:w="2160"/>
            <w:tcMar>
              <w:top w:w="90" w:type="dxa"/>
              <w:start w:w="100" w:type="dxa"/>
              <w:bottom w:w="90" w:type="dxa"/>
              <w:end w:w="100" w:type="dxa"/>
            </w:tcMar>
          </w:tcPr>
          <w:p>
            <w:r>
              <w:rPr>
                <w:rFonts w:ascii="Aptos" w:hAnsi="Aptos"/>
                <w:color w:val="1F2522"/>
                <w:sz w:val="17"/>
              </w:rPr>
              <w:t>Experiential</w:t>
            </w:r>
          </w:p>
        </w:tc>
        <w:tc>
          <w:tcPr>
            <w:tcW w:type="dxa" w:w="7488"/>
            <w:tcMar>
              <w:top w:w="90" w:type="dxa"/>
              <w:start w:w="100" w:type="dxa"/>
              <w:bottom w:w="90" w:type="dxa"/>
              <w:end w:w="100" w:type="dxa"/>
            </w:tcMar>
          </w:tcPr>
          <w:p>
            <w:r>
              <w:rPr>
                <w:rFonts w:ascii="Aptos" w:hAnsi="Aptos"/>
                <w:color w:val="1F2522"/>
                <w:sz w:val="17"/>
              </w:rPr>
              <w:t>Forest threshold → Cabin Exterior threshold → Main Studio hub → Rooms</w:t>
            </w:r>
          </w:p>
        </w:tc>
      </w:tr>
      <w:tr>
        <w:trPr>
          <w:cantSplit/>
        </w:trPr>
        <w:tc>
          <w:tcPr>
            <w:tcW w:type="dxa" w:w="2160"/>
            <w:tcMar>
              <w:top w:w="90" w:type="dxa"/>
              <w:start w:w="100" w:type="dxa"/>
              <w:bottom w:w="90" w:type="dxa"/>
              <w:end w:w="100" w:type="dxa"/>
            </w:tcMar>
            <w:shd w:fill="F7F9F7"/>
          </w:tcPr>
          <w:p>
            <w:r>
              <w:rPr>
                <w:rFonts w:ascii="Aptos" w:hAnsi="Aptos"/>
                <w:color w:val="1F2522"/>
                <w:sz w:val="17"/>
              </w:rPr>
              <w:t>Semantic</w:t>
            </w:r>
          </w:p>
        </w:tc>
        <w:tc>
          <w:tcPr>
            <w:tcW w:type="dxa" w:w="7488"/>
            <w:tcMar>
              <w:top w:w="90" w:type="dxa"/>
              <w:start w:w="100" w:type="dxa"/>
              <w:bottom w:w="90" w:type="dxa"/>
              <w:end w:w="100" w:type="dxa"/>
            </w:tcMar>
            <w:shd w:fill="F7F9F7"/>
          </w:tcPr>
          <w:p>
            <w:r>
              <w:rPr>
                <w:rFonts w:ascii="Aptos" w:hAnsi="Aptos"/>
                <w:color w:val="1F2522"/>
                <w:sz w:val="17"/>
              </w:rPr>
              <w:t>Global navigation, Search, direct URLs, breadcrumbs/location receipts</w:t>
            </w:r>
          </w:p>
        </w:tc>
      </w:tr>
      <w:tr>
        <w:trPr>
          <w:cantSplit/>
        </w:trPr>
        <w:tc>
          <w:tcPr>
            <w:tcW w:type="dxa" w:w="2160"/>
            <w:tcMar>
              <w:top w:w="90" w:type="dxa"/>
              <w:start w:w="100" w:type="dxa"/>
              <w:bottom w:w="90" w:type="dxa"/>
              <w:end w:w="100" w:type="dxa"/>
            </w:tcMar>
          </w:tcPr>
          <w:p>
            <w:r>
              <w:rPr>
                <w:rFonts w:ascii="Aptos" w:hAnsi="Aptos"/>
                <w:color w:val="1F2522"/>
                <w:sz w:val="17"/>
              </w:rPr>
              <w:t>Domain</w:t>
            </w:r>
          </w:p>
        </w:tc>
        <w:tc>
          <w:tcPr>
            <w:tcW w:type="dxa" w:w="7488"/>
            <w:tcMar>
              <w:top w:w="90" w:type="dxa"/>
              <w:start w:w="100" w:type="dxa"/>
              <w:bottom w:w="90" w:type="dxa"/>
              <w:end w:w="100" w:type="dxa"/>
            </w:tcMar>
          </w:tcPr>
          <w:p>
            <w:r>
              <w:rPr>
                <w:rFonts w:ascii="Aptos" w:hAnsi="Aptos"/>
                <w:color w:val="1F2522"/>
                <w:sz w:val="17"/>
              </w:rPr>
              <w:t>Room → optional Division → Artifact</w:t>
            </w:r>
          </w:p>
        </w:tc>
      </w:tr>
      <w:tr>
        <w:trPr>
          <w:cantSplit/>
        </w:trPr>
        <w:tc>
          <w:tcPr>
            <w:tcW w:type="dxa" w:w="2160"/>
            <w:tcMar>
              <w:top w:w="90" w:type="dxa"/>
              <w:start w:w="100" w:type="dxa"/>
              <w:bottom w:w="90" w:type="dxa"/>
              <w:end w:w="100" w:type="dxa"/>
            </w:tcMar>
            <w:shd w:fill="F7F9F7"/>
          </w:tcPr>
          <w:p>
            <w:r>
              <w:rPr>
                <w:rFonts w:ascii="Aptos" w:hAnsi="Aptos"/>
                <w:color w:val="1F2522"/>
                <w:sz w:val="17"/>
              </w:rPr>
              <w:t>Artifact</w:t>
            </w:r>
          </w:p>
        </w:tc>
        <w:tc>
          <w:tcPr>
            <w:tcW w:type="dxa" w:w="7488"/>
            <w:tcMar>
              <w:top w:w="90" w:type="dxa"/>
              <w:start w:w="100" w:type="dxa"/>
              <w:bottom w:w="90" w:type="dxa"/>
              <w:end w:w="100" w:type="dxa"/>
            </w:tcMar>
            <w:shd w:fill="F7F9F7"/>
          </w:tcPr>
          <w:p>
            <w:r>
              <w:rPr>
                <w:rFonts w:ascii="Aptos" w:hAnsi="Aptos"/>
                <w:color w:val="1F2522"/>
                <w:sz w:val="17"/>
              </w:rPr>
              <w:t>Type, State, Visibility, Availability, Relationships, Lineage, Authorship, Surfaces</w:t>
            </w:r>
          </w:p>
        </w:tc>
      </w:tr>
      <w:tr>
        <w:trPr>
          <w:cantSplit/>
        </w:trPr>
        <w:tc>
          <w:tcPr>
            <w:tcW w:type="dxa" w:w="2160"/>
            <w:tcMar>
              <w:top w:w="90" w:type="dxa"/>
              <w:start w:w="100" w:type="dxa"/>
              <w:bottom w:w="90" w:type="dxa"/>
              <w:end w:w="100" w:type="dxa"/>
            </w:tcMar>
          </w:tcPr>
          <w:p>
            <w:r>
              <w:rPr>
                <w:rFonts w:ascii="Aptos" w:hAnsi="Aptos"/>
                <w:color w:val="1F2522"/>
                <w:sz w:val="17"/>
              </w:rPr>
              <w:t>Presentation</w:t>
            </w:r>
          </w:p>
        </w:tc>
        <w:tc>
          <w:tcPr>
            <w:tcW w:type="dxa" w:w="7488"/>
            <w:tcMar>
              <w:top w:w="90" w:type="dxa"/>
              <w:start w:w="100" w:type="dxa"/>
              <w:bottom w:w="90" w:type="dxa"/>
              <w:end w:w="100" w:type="dxa"/>
            </w:tcMar>
          </w:tcPr>
          <w:p>
            <w:r>
              <w:rPr>
                <w:rFonts w:ascii="Aptos" w:hAnsi="Aptos"/>
                <w:color w:val="1F2522"/>
                <w:sz w:val="17"/>
              </w:rPr>
              <w:t>Surfaces and responsive variants</w:t>
            </w:r>
          </w:p>
        </w:tc>
      </w:tr>
      <w:tr>
        <w:trPr>
          <w:cantSplit/>
        </w:trPr>
        <w:tc>
          <w:tcPr>
            <w:tcW w:type="dxa" w:w="2160"/>
            <w:tcMar>
              <w:top w:w="90" w:type="dxa"/>
              <w:start w:w="100" w:type="dxa"/>
              <w:bottom w:w="90" w:type="dxa"/>
              <w:end w:w="100" w:type="dxa"/>
            </w:tcMar>
            <w:shd w:fill="F7F9F7"/>
          </w:tcPr>
          <w:p>
            <w:r>
              <w:rPr>
                <w:rFonts w:ascii="Aptos" w:hAnsi="Aptos"/>
                <w:color w:val="1F2522"/>
                <w:sz w:val="17"/>
              </w:rPr>
              <w:t>Temporal</w:t>
            </w:r>
          </w:p>
        </w:tc>
        <w:tc>
          <w:tcPr>
            <w:tcW w:type="dxa" w:w="7488"/>
            <w:tcMar>
              <w:top w:w="90" w:type="dxa"/>
              <w:start w:w="100" w:type="dxa"/>
              <w:bottom w:w="90" w:type="dxa"/>
              <w:end w:w="100" w:type="dxa"/>
            </w:tcMar>
            <w:shd w:fill="F7F9F7"/>
          </w:tcPr>
          <w:p>
            <w:r>
              <w:rPr>
                <w:rFonts w:ascii="Aptos" w:hAnsi="Aptos"/>
                <w:color w:val="1F2522"/>
                <w:sz w:val="17"/>
              </w:rPr>
              <w:t>Desk = Now; local Room archives/history = Past</w:t>
            </w:r>
          </w:p>
        </w:tc>
      </w:tr>
      <w:tr>
        <w:trPr>
          <w:cantSplit/>
        </w:trPr>
        <w:tc>
          <w:tcPr>
            <w:tcW w:type="dxa" w:w="2160"/>
            <w:tcMar>
              <w:top w:w="90" w:type="dxa"/>
              <w:start w:w="100" w:type="dxa"/>
              <w:bottom w:w="90" w:type="dxa"/>
              <w:end w:w="100" w:type="dxa"/>
            </w:tcMar>
          </w:tcPr>
          <w:p>
            <w:r>
              <w:rPr>
                <w:rFonts w:ascii="Aptos" w:hAnsi="Aptos"/>
                <w:color w:val="1F2522"/>
                <w:sz w:val="17"/>
              </w:rPr>
              <w:t>Human</w:t>
            </w:r>
          </w:p>
        </w:tc>
        <w:tc>
          <w:tcPr>
            <w:tcW w:type="dxa" w:w="7488"/>
            <w:tcMar>
              <w:top w:w="90" w:type="dxa"/>
              <w:start w:w="100" w:type="dxa"/>
              <w:bottom w:w="90" w:type="dxa"/>
              <w:end w:w="100" w:type="dxa"/>
            </w:tcMar>
          </w:tcPr>
          <w:p>
            <w:r>
              <w:rPr>
                <w:rFonts w:ascii="Aptos" w:hAnsi="Aptos"/>
                <w:color w:val="1F2522"/>
                <w:sz w:val="17"/>
              </w:rPr>
              <w:t>Visitor journeys, Explorer guide, DJ as real author/builder/collaborator</w:t>
            </w:r>
          </w:p>
        </w:tc>
      </w:tr>
      <w:tr>
        <w:trPr>
          <w:cantSplit/>
        </w:trPr>
        <w:tc>
          <w:tcPr>
            <w:tcW w:type="dxa" w:w="2160"/>
            <w:tcMar>
              <w:top w:w="90" w:type="dxa"/>
              <w:start w:w="100" w:type="dxa"/>
              <w:bottom w:w="90" w:type="dxa"/>
              <w:end w:w="100" w:type="dxa"/>
            </w:tcMar>
            <w:shd w:fill="F7F9F7"/>
          </w:tcPr>
          <w:p>
            <w:r>
              <w:rPr>
                <w:rFonts w:ascii="Aptos" w:hAnsi="Aptos"/>
                <w:color w:val="1F2522"/>
                <w:sz w:val="17"/>
              </w:rPr>
              <w:t>External</w:t>
            </w:r>
          </w:p>
        </w:tc>
        <w:tc>
          <w:tcPr>
            <w:tcW w:type="dxa" w:w="7488"/>
            <w:tcMar>
              <w:top w:w="90" w:type="dxa"/>
              <w:start w:w="100" w:type="dxa"/>
              <w:bottom w:w="90" w:type="dxa"/>
              <w:end w:w="100" w:type="dxa"/>
            </w:tcMar>
            <w:shd w:fill="F7F9F7"/>
          </w:tcPr>
          <w:p>
            <w:r>
              <w:rPr>
                <w:rFonts w:ascii="Aptos" w:hAnsi="Aptos"/>
                <w:color w:val="1F2522"/>
                <w:sz w:val="17"/>
              </w:rPr>
              <w:t>Marketplaces, payment processors, social/search, client artifacts, ForgeSpark</w:t>
            </w:r>
          </w:p>
        </w:tc>
      </w:tr>
    </w:tbl>
    <w:p>
      <w:pPr>
        <w:spacing w:after="20"/>
      </w:pPr>
    </w:p>
    <w:p>
      <w:pPr>
        <w:pStyle w:val="Heading1"/>
      </w:pPr>
      <w:r>
        <w:t>3. Experiential Architecture</w:t>
      </w:r>
    </w:p>
    <w:p>
      <w:r>
        <w:t>The Forest and Cabin Exterior are Threshold Surfaces, not information hierarchy. They introduce atmosphere and transition away from internet noise but never guard access. Main Studio is the spatial and experiential hub. Returning, intentional, and deep-linked visitors may bypass thresholds.</w:t>
      </w:r>
    </w:p>
    <w:p>
      <w:pPr>
        <w:pStyle w:val="FMCallout"/>
      </w:pPr>
      <w:r>
        <w:rPr>
          <w:rFonts w:ascii="Aptos" w:hAnsi="Aptos"/>
          <w:i/>
          <w:color w:val="25483A"/>
          <w:sz w:val="21"/>
        </w:rPr>
        <w:t>Narrative journey is optional experiential choreography. It is never the canonical information hierarchy.</w:t>
      </w:r>
    </w:p>
    <w:p>
      <w:pPr>
        <w:pStyle w:val="Heading1"/>
      </w:pPr>
      <w:r>
        <w:t>4. Main Studio</w:t>
      </w:r>
    </w:p>
    <w:p>
      <w:pPr>
        <w:pStyle w:val="ListBullet"/>
        <w:spacing w:after="40"/>
      </w:pPr>
      <w:r>
        <w:rPr>
          <w:rFonts w:ascii="Aptos" w:hAnsi="Aptos"/>
          <w:sz w:val="20"/>
        </w:rPr>
        <w:t>Main Studio answers: Where am I? What kind of place is this? What is happening now? Where can I go next?</w:t>
      </w:r>
    </w:p>
    <w:p>
      <w:pPr>
        <w:pStyle w:val="ListBullet"/>
        <w:spacing w:after="40"/>
      </w:pPr>
      <w:r>
        <w:rPr>
          <w:rFonts w:ascii="Aptos" w:hAnsi="Aptos"/>
          <w:sz w:val="20"/>
        </w:rPr>
        <w:t>Desk is a spatial object representing the temporal function Now. It carries only a curated handful of current Artifacts, normally 3–5.</w:t>
      </w:r>
    </w:p>
    <w:p>
      <w:pPr>
        <w:pStyle w:val="ListBullet"/>
        <w:spacing w:after="40"/>
      </w:pPr>
      <w:r>
        <w:rPr>
          <w:rFonts w:ascii="Aptos" w:hAnsi="Aptos"/>
          <w:sz w:val="20"/>
        </w:rPr>
        <w:t>Studio Map is a separate orientation object. It complements, never replaces, semantic navigation.</w:t>
      </w:r>
    </w:p>
    <w:p>
      <w:pPr>
        <w:pStyle w:val="ListBullet"/>
        <w:spacing w:after="40"/>
      </w:pPr>
      <w:r>
        <w:rPr>
          <w:rFonts w:ascii="Aptos" w:hAnsi="Aptos"/>
          <w:sz w:val="20"/>
        </w:rPr>
        <w:t>Room thresholds are physically meaningful access points. Not every visible object is interactive.</w:t>
      </w:r>
    </w:p>
    <w:p>
      <w:pPr>
        <w:pStyle w:val="ListBullet"/>
        <w:spacing w:after="40"/>
      </w:pPr>
      <w:r>
        <w:rPr>
          <w:rFonts w:ascii="Aptos" w:hAnsi="Aptos"/>
          <w:sz w:val="20"/>
        </w:rPr>
        <w:t>Interactions are classified as Threshold, Object, or Ambient. Interaction must reveal meaning, not merely demonstrate animation.</w:t>
      </w:r>
    </w:p>
    <w:p>
      <w:pPr>
        <w:pStyle w:val="ListBullet"/>
        <w:spacing w:after="40"/>
      </w:pPr>
      <w:r>
        <w:rPr>
          <w:rFonts w:ascii="Aptos" w:hAnsi="Aptos"/>
          <w:sz w:val="20"/>
        </w:rPr>
        <w:t>Negative space and signs of ongoing work are intentional. The Studio should feel active, not like a sterile museum or a crowded dashboard.</w:t>
      </w:r>
    </w:p>
    <w:p>
      <w:pPr>
        <w:pStyle w:val="Heading1"/>
      </w:pPr>
      <w:r>
        <w:t>5. Functional Rooms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160"/>
            <w:shd w:fill="25483A"/>
            <w:tcMar>
              <w:top w:w="90" w:type="dxa"/>
              <w:start w:w="100" w:type="dxa"/>
              <w:bottom w:w="90" w:type="dxa"/>
              <w:end w:w="100" w:type="dxa"/>
            </w:tcMar>
            <w:vAlign w:val="center"/>
          </w:tcPr>
          <w:p>
            <w:r>
              <w:rPr>
                <w:rFonts w:ascii="Aptos" w:hAnsi="Aptos"/>
                <w:b/>
                <w:color w:val="FFFFFF"/>
                <w:sz w:val="17"/>
              </w:rPr>
              <w:t>Room</w:t>
            </w:r>
          </w:p>
        </w:tc>
        <w:tc>
          <w:tcPr>
            <w:tcW w:type="dxa" w:w="2016"/>
            <w:shd w:fill="25483A"/>
            <w:tcMar>
              <w:top w:w="90" w:type="dxa"/>
              <w:start w:w="100" w:type="dxa"/>
              <w:bottom w:w="90" w:type="dxa"/>
              <w:end w:w="100" w:type="dxa"/>
            </w:tcMar>
            <w:vAlign w:val="center"/>
          </w:tcPr>
          <w:p>
            <w:r>
              <w:rPr>
                <w:rFonts w:ascii="Aptos" w:hAnsi="Aptos"/>
                <w:b/>
                <w:color w:val="FFFFFF"/>
                <w:sz w:val="17"/>
              </w:rPr>
              <w:t>Primary visitor verb</w:t>
            </w:r>
          </w:p>
        </w:tc>
        <w:tc>
          <w:tcPr>
            <w:tcW w:type="dxa" w:w="5328"/>
            <w:shd w:fill="25483A"/>
            <w:tcMar>
              <w:top w:w="90" w:type="dxa"/>
              <w:start w:w="100" w:type="dxa"/>
              <w:bottom w:w="90" w:type="dxa"/>
              <w:end w:w="100" w:type="dxa"/>
            </w:tcMar>
            <w:vAlign w:val="center"/>
          </w:tcPr>
          <w:p>
            <w:r>
              <w:rPr>
                <w:rFonts w:ascii="Aptos" w:hAnsi="Aptos"/>
                <w:b/>
                <w:color w:val="FFFFFF"/>
                <w:sz w:val="17"/>
              </w:rPr>
              <w:t>Governing purpose</w:t>
            </w:r>
          </w:p>
        </w:tc>
      </w:tr>
      <w:tr>
        <w:trPr>
          <w:cantSplit/>
        </w:trPr>
        <w:tc>
          <w:tcPr>
            <w:tcW w:type="dxa" w:w="2160"/>
            <w:tcMar>
              <w:top w:w="90" w:type="dxa"/>
              <w:start w:w="100" w:type="dxa"/>
              <w:bottom w:w="90" w:type="dxa"/>
              <w:end w:w="100" w:type="dxa"/>
            </w:tcMar>
          </w:tcPr>
          <w:p>
            <w:r>
              <w:rPr>
                <w:rFonts w:ascii="Aptos" w:hAnsi="Aptos"/>
                <w:color w:val="1F2522"/>
                <w:sz w:val="17"/>
              </w:rPr>
              <w:t>Library</w:t>
            </w:r>
          </w:p>
        </w:tc>
        <w:tc>
          <w:tcPr>
            <w:tcW w:type="dxa" w:w="2016"/>
            <w:tcMar>
              <w:top w:w="90" w:type="dxa"/>
              <w:start w:w="100" w:type="dxa"/>
              <w:bottom w:w="90" w:type="dxa"/>
              <w:end w:w="100" w:type="dxa"/>
            </w:tcMar>
          </w:tcPr>
          <w:p>
            <w:r>
              <w:rPr>
                <w:rFonts w:ascii="Aptos" w:hAnsi="Aptos"/>
                <w:color w:val="1F2522"/>
                <w:sz w:val="17"/>
              </w:rPr>
              <w:t>Read</w:t>
            </w:r>
          </w:p>
        </w:tc>
        <w:tc>
          <w:tcPr>
            <w:tcW w:type="dxa" w:w="5328"/>
            <w:tcMar>
              <w:top w:w="90" w:type="dxa"/>
              <w:start w:w="100" w:type="dxa"/>
              <w:bottom w:w="90" w:type="dxa"/>
              <w:end w:w="100" w:type="dxa"/>
            </w:tcMar>
          </w:tcPr>
          <w:p>
            <w:r>
              <w:rPr>
                <w:rFonts w:ascii="Aptos" w:hAnsi="Aptos"/>
                <w:color w:val="1F2522"/>
                <w:sz w:val="17"/>
              </w:rPr>
              <w:t>Where authored knowledge becomes explorable structure.</w:t>
            </w:r>
          </w:p>
        </w:tc>
      </w:tr>
      <w:tr>
        <w:trPr>
          <w:cantSplit/>
        </w:trPr>
        <w:tc>
          <w:tcPr>
            <w:tcW w:type="dxa" w:w="2160"/>
            <w:tcMar>
              <w:top w:w="90" w:type="dxa"/>
              <w:start w:w="100" w:type="dxa"/>
              <w:bottom w:w="90" w:type="dxa"/>
              <w:end w:w="100" w:type="dxa"/>
            </w:tcMar>
            <w:shd w:fill="F7F9F7"/>
          </w:tcPr>
          <w:p>
            <w:r>
              <w:rPr>
                <w:rFonts w:ascii="Aptos" w:hAnsi="Aptos"/>
                <w:color w:val="1F2522"/>
                <w:sz w:val="17"/>
              </w:rPr>
              <w:t>Workshop</w:t>
            </w:r>
          </w:p>
        </w:tc>
        <w:tc>
          <w:tcPr>
            <w:tcW w:type="dxa" w:w="2016"/>
            <w:tcMar>
              <w:top w:w="90" w:type="dxa"/>
              <w:start w:w="100" w:type="dxa"/>
              <w:bottom w:w="90" w:type="dxa"/>
              <w:end w:w="100" w:type="dxa"/>
            </w:tcMar>
            <w:shd w:fill="F7F9F7"/>
          </w:tcPr>
          <w:p>
            <w:r>
              <w:rPr>
                <w:rFonts w:ascii="Aptos" w:hAnsi="Aptos"/>
                <w:color w:val="1F2522"/>
                <w:sz w:val="17"/>
              </w:rPr>
              <w:t>Build</w:t>
            </w:r>
          </w:p>
        </w:tc>
        <w:tc>
          <w:tcPr>
            <w:tcW w:type="dxa" w:w="5328"/>
            <w:tcMar>
              <w:top w:w="90" w:type="dxa"/>
              <w:start w:w="100" w:type="dxa"/>
              <w:bottom w:w="90" w:type="dxa"/>
              <w:end w:w="100" w:type="dxa"/>
            </w:tcMar>
            <w:shd w:fill="F7F9F7"/>
          </w:tcPr>
          <w:p>
            <w:r>
              <w:rPr>
                <w:rFonts w:ascii="Aptos" w:hAnsi="Aptos"/>
                <w:color w:val="1F2522"/>
                <w:sz w:val="17"/>
              </w:rPr>
              <w:t>Where ideas become usable things; public workbench, tools, applications, instruments, prototypes.</w:t>
            </w:r>
          </w:p>
        </w:tc>
      </w:tr>
      <w:tr>
        <w:trPr>
          <w:cantSplit/>
        </w:trPr>
        <w:tc>
          <w:tcPr>
            <w:tcW w:type="dxa" w:w="2160"/>
            <w:tcMar>
              <w:top w:w="90" w:type="dxa"/>
              <w:start w:w="100" w:type="dxa"/>
              <w:bottom w:w="90" w:type="dxa"/>
              <w:end w:w="100" w:type="dxa"/>
            </w:tcMar>
          </w:tcPr>
          <w:p>
            <w:r>
              <w:rPr>
                <w:rFonts w:ascii="Aptos" w:hAnsi="Aptos"/>
                <w:color w:val="1F2522"/>
                <w:sz w:val="17"/>
              </w:rPr>
              <w:t>Architecture Wall</w:t>
            </w:r>
          </w:p>
        </w:tc>
        <w:tc>
          <w:tcPr>
            <w:tcW w:type="dxa" w:w="2016"/>
            <w:tcMar>
              <w:top w:w="90" w:type="dxa"/>
              <w:start w:w="100" w:type="dxa"/>
              <w:bottom w:w="90" w:type="dxa"/>
              <w:end w:w="100" w:type="dxa"/>
            </w:tcMar>
          </w:tcPr>
          <w:p>
            <w:r>
              <w:rPr>
                <w:rFonts w:ascii="Aptos" w:hAnsi="Aptos"/>
                <w:color w:val="1F2522"/>
                <w:sz w:val="17"/>
              </w:rPr>
              <w:t>Examine</w:t>
            </w:r>
          </w:p>
        </w:tc>
        <w:tc>
          <w:tcPr>
            <w:tcW w:type="dxa" w:w="5328"/>
            <w:tcMar>
              <w:top w:w="90" w:type="dxa"/>
              <w:start w:w="100" w:type="dxa"/>
              <w:bottom w:w="90" w:type="dxa"/>
              <w:end w:w="100" w:type="dxa"/>
            </w:tcMar>
          </w:tcPr>
          <w:p>
            <w:r>
              <w:rPr>
                <w:rFonts w:ascii="Aptos" w:hAnsi="Aptos"/>
                <w:color w:val="1F2522"/>
                <w:sz w:val="17"/>
              </w:rPr>
              <w:t>Where frameworks, claims, models, experiments, evidence, and inquiry become inspectable.</w:t>
            </w:r>
          </w:p>
        </w:tc>
      </w:tr>
      <w:tr>
        <w:trPr>
          <w:cantSplit/>
        </w:trPr>
        <w:tc>
          <w:tcPr>
            <w:tcW w:type="dxa" w:w="2160"/>
            <w:tcMar>
              <w:top w:w="90" w:type="dxa"/>
              <w:start w:w="100" w:type="dxa"/>
              <w:bottom w:w="90" w:type="dxa"/>
              <w:end w:w="100" w:type="dxa"/>
            </w:tcMar>
            <w:shd w:fill="F7F9F7"/>
          </w:tcPr>
          <w:p>
            <w:r>
              <w:rPr>
                <w:rFonts w:ascii="Aptos" w:hAnsi="Aptos"/>
                <w:color w:val="1F2522"/>
                <w:sz w:val="17"/>
              </w:rPr>
              <w:t>Observatory</w:t>
            </w:r>
          </w:p>
        </w:tc>
        <w:tc>
          <w:tcPr>
            <w:tcW w:type="dxa" w:w="2016"/>
            <w:tcMar>
              <w:top w:w="90" w:type="dxa"/>
              <w:start w:w="100" w:type="dxa"/>
              <w:bottom w:w="90" w:type="dxa"/>
              <w:end w:w="100" w:type="dxa"/>
            </w:tcMar>
            <w:shd w:fill="F7F9F7"/>
          </w:tcPr>
          <w:p>
            <w:r>
              <w:rPr>
                <w:rFonts w:ascii="Aptos" w:hAnsi="Aptos"/>
                <w:color w:val="1F2522"/>
                <w:sz w:val="17"/>
              </w:rPr>
              <w:t>Notice</w:t>
            </w:r>
          </w:p>
        </w:tc>
        <w:tc>
          <w:tcPr>
            <w:tcW w:type="dxa" w:w="5328"/>
            <w:tcMar>
              <w:top w:w="90" w:type="dxa"/>
              <w:start w:w="100" w:type="dxa"/>
              <w:bottom w:w="90" w:type="dxa"/>
              <w:end w:w="100" w:type="dxa"/>
            </w:tcMar>
            <w:shd w:fill="F7F9F7"/>
          </w:tcPr>
          <w:p>
            <w:r>
              <w:rPr>
                <w:rFonts w:ascii="Aptos" w:hAnsi="Aptos"/>
                <w:color w:val="1F2522"/>
                <w:sz w:val="17"/>
              </w:rPr>
              <w:t>Where the Studio steps back to observe, interpret, reflect, and share exploratory thought.</w:t>
            </w:r>
          </w:p>
        </w:tc>
      </w:tr>
      <w:tr>
        <w:trPr>
          <w:cantSplit/>
        </w:trPr>
        <w:tc>
          <w:tcPr>
            <w:tcW w:type="dxa" w:w="2160"/>
            <w:tcMar>
              <w:top w:w="90" w:type="dxa"/>
              <w:start w:w="100" w:type="dxa"/>
              <w:bottom w:w="90" w:type="dxa"/>
              <w:end w:w="100" w:type="dxa"/>
            </w:tcMar>
          </w:tcPr>
          <w:p>
            <w:r>
              <w:rPr>
                <w:rFonts w:ascii="Aptos" w:hAnsi="Aptos"/>
                <w:color w:val="1F2522"/>
                <w:sz w:val="17"/>
              </w:rPr>
              <w:t>Meeting Table</w:t>
            </w:r>
          </w:p>
        </w:tc>
        <w:tc>
          <w:tcPr>
            <w:tcW w:type="dxa" w:w="2016"/>
            <w:tcMar>
              <w:top w:w="90" w:type="dxa"/>
              <w:start w:w="100" w:type="dxa"/>
              <w:bottom w:w="90" w:type="dxa"/>
              <w:end w:w="100" w:type="dxa"/>
            </w:tcMar>
          </w:tcPr>
          <w:p>
            <w:r>
              <w:rPr>
                <w:rFonts w:ascii="Aptos" w:hAnsi="Aptos"/>
                <w:color w:val="1F2522"/>
                <w:sz w:val="17"/>
              </w:rPr>
              <w:t>Collaborate</w:t>
            </w:r>
          </w:p>
        </w:tc>
        <w:tc>
          <w:tcPr>
            <w:tcW w:type="dxa" w:w="5328"/>
            <w:tcMar>
              <w:top w:w="90" w:type="dxa"/>
              <w:start w:w="100" w:type="dxa"/>
              <w:bottom w:w="90" w:type="dxa"/>
              <w:end w:w="100" w:type="dxa"/>
            </w:tcMar>
          </w:tcPr>
          <w:p>
            <w:r>
              <w:rPr>
                <w:rFonts w:ascii="Aptos" w:hAnsi="Aptos"/>
                <w:color w:val="1F2522"/>
                <w:sz w:val="17"/>
              </w:rPr>
              <w:t>Where real problems are clarified, scoped, architected, and optionally handed into implementation.</w:t>
            </w:r>
          </w:p>
        </w:tc>
      </w:tr>
      <w:tr>
        <w:trPr>
          <w:cantSplit/>
        </w:trPr>
        <w:tc>
          <w:tcPr>
            <w:tcW w:type="dxa" w:w="2160"/>
            <w:tcMar>
              <w:top w:w="90" w:type="dxa"/>
              <w:start w:w="100" w:type="dxa"/>
              <w:bottom w:w="90" w:type="dxa"/>
              <w:end w:w="100" w:type="dxa"/>
            </w:tcMar>
            <w:shd w:fill="F7F9F7"/>
          </w:tcPr>
          <w:p>
            <w:r>
              <w:rPr>
                <w:rFonts w:ascii="Aptos" w:hAnsi="Aptos"/>
                <w:color w:val="1F2522"/>
                <w:sz w:val="17"/>
              </w:rPr>
              <w:t>Explorer Outfitters</w:t>
            </w:r>
          </w:p>
        </w:tc>
        <w:tc>
          <w:tcPr>
            <w:tcW w:type="dxa" w:w="2016"/>
            <w:tcMar>
              <w:top w:w="90" w:type="dxa"/>
              <w:start w:w="100" w:type="dxa"/>
              <w:bottom w:w="90" w:type="dxa"/>
              <w:end w:w="100" w:type="dxa"/>
            </w:tcMar>
            <w:shd w:fill="F7F9F7"/>
          </w:tcPr>
          <w:p>
            <w:r>
              <w:rPr>
                <w:rFonts w:ascii="Aptos" w:hAnsi="Aptos"/>
                <w:color w:val="1F2522"/>
                <w:sz w:val="17"/>
              </w:rPr>
              <w:t>Take</w:t>
            </w:r>
          </w:p>
        </w:tc>
        <w:tc>
          <w:tcPr>
            <w:tcW w:type="dxa" w:w="5328"/>
            <w:tcMar>
              <w:top w:w="90" w:type="dxa"/>
              <w:start w:w="100" w:type="dxa"/>
              <w:bottom w:w="90" w:type="dxa"/>
              <w:end w:w="100" w:type="dxa"/>
            </w:tcMar>
            <w:shd w:fill="F7F9F7"/>
          </w:tcPr>
          <w:p>
            <w:r>
              <w:rPr>
                <w:rFonts w:ascii="Aptos" w:hAnsi="Aptos"/>
                <w:color w:val="1F2522"/>
                <w:sz w:val="17"/>
              </w:rPr>
              <w:t>Cross-Studio acquisition domain for meaningful things visitors can take with them.</w:t>
            </w:r>
          </w:p>
        </w:tc>
      </w:tr>
    </w:tbl>
    <w:p>
      <w:pPr>
        <w:spacing w:after="20"/>
      </w:pPr>
    </w:p>
    <w:p>
      <w:pPr>
        <w:pStyle w:val="Heading1"/>
      </w:pPr>
      <w:r>
        <w:t>6. Room Boundary Contracts</w:t>
      </w:r>
    </w:p>
    <w:p>
      <w:pPr>
        <w:pStyle w:val="Heading2"/>
      </w:pPr>
      <w:r>
        <w:t>Library</w:t>
      </w:r>
    </w:p>
    <w:p>
      <w:r>
        <w:t>Admission is sustained authored consumption. Books, field guides, long-form publications, and series structures belong here. Series sequence must be legible. Commerce is subordinate to the Artifact. Operational tools remain Workshop; ongoing exploratory essays remain Observatory.</w:t>
      </w:r>
    </w:p>
    <w:p>
      <w:pPr>
        <w:pStyle w:val="Heading2"/>
      </w:pPr>
      <w:r>
        <w:t>Workshop</w:t>
      </w:r>
    </w:p>
    <w:p>
      <w:r>
        <w:t>Admission is operational making or use. Applications, tools, instruments, calculators, templates, prototypes, and making-oriented experiments belong here. Workshop is curated, not an inventory dump. “On the Workbench” appears only where unfinished state adds understanding.</w:t>
      </w:r>
    </w:p>
    <w:p>
      <w:pPr>
        <w:pStyle w:val="Heading2"/>
      </w:pPr>
      <w:r>
        <w:t>Architecture Wall</w:t>
      </w:r>
    </w:p>
    <w:p>
      <w:r>
        <w:t>Admission is examination, testing, organization, or documentation of frameworks, models, claims, experiments, evidence, or bodies of inquiry. The public Room is an aperture into the deeper Architecture Wall/AEG research system, not a recreation of the research IDE. Science is a Division/domain within the Wall, not synonymous with it.</w:t>
      </w:r>
    </w:p>
    <w:p>
      <w:pPr>
        <w:pStyle w:val="Heading2"/>
      </w:pPr>
      <w:r>
        <w:t>Observatory</w:t>
      </w:r>
    </w:p>
    <w:p>
      <w:r>
        <w:t>Admission is public noticing, reflection, interpretation, exploratory reasoning, or editorial thought. Forms such as Essay, Field Note, Discovery, and Workshop Note remain distinct Artifact Types. Observatory governs exploration/interpretation; Architecture Wall governs examination/warrant.</w:t>
      </w:r>
    </w:p>
    <w:p>
      <w:pPr>
        <w:pStyle w:val="Heading2"/>
      </w:pPr>
      <w:r>
        <w:t>Meeting Table</w:t>
      </w:r>
    </w:p>
    <w:p>
      <w:r>
        <w:t>Meeting Table owns collaborative intent, fit, clarification, scope, architecture, and decision. A collaboration may conclude with architecture deliverables or continue into Workshop implementation. Architecture and implementation remain distinct scopes even in the same engagement.</w:t>
      </w:r>
    </w:p>
    <w:p>
      <w:pPr>
        <w:pStyle w:val="Heading2"/>
      </w:pPr>
      <w:r>
        <w:t>Explorer Outfitters</w:t>
      </w:r>
    </w:p>
    <w:p>
      <w:r>
        <w:t>Outfitters is normally an acquisition Surface over canonical Artifacts living elsewhere. It may canonically house acquisition-native Artifacts whose primary identity is the take-home object itself. Ease of production is never sufficient for admission.</w:t>
      </w:r>
    </w:p>
    <w:p>
      <w:pPr>
        <w:pStyle w:val="Heading1"/>
      </w:pPr>
      <w:r>
        <w:t>7. Shared Room Skeleton</w:t>
      </w:r>
    </w:p>
    <w:p>
      <w:pPr>
        <w:pStyle w:val="ListBullet"/>
        <w:spacing w:after="40"/>
      </w:pPr>
      <w:r>
        <w:rPr>
          <w:rFonts w:ascii="Aptos" w:hAnsi="Aptos"/>
          <w:sz w:val="20"/>
        </w:rPr>
        <w:t>Threshold</w:t>
      </w:r>
    </w:p>
    <w:p>
      <w:pPr>
        <w:pStyle w:val="ListBullet"/>
        <w:spacing w:after="40"/>
      </w:pPr>
      <w:r>
        <w:rPr>
          <w:rFonts w:ascii="Aptos" w:hAnsi="Aptos"/>
          <w:sz w:val="20"/>
        </w:rPr>
        <w:t>Identity</w:t>
      </w:r>
    </w:p>
    <w:p>
      <w:pPr>
        <w:pStyle w:val="ListBullet"/>
        <w:spacing w:after="40"/>
      </w:pPr>
      <w:r>
        <w:rPr>
          <w:rFonts w:ascii="Aptos" w:hAnsi="Aptos"/>
          <w:sz w:val="20"/>
        </w:rPr>
        <w:t>Primary Workspace</w:t>
      </w:r>
    </w:p>
    <w:p>
      <w:pPr>
        <w:pStyle w:val="ListBullet"/>
        <w:spacing w:after="40"/>
      </w:pPr>
      <w:r>
        <w:rPr>
          <w:rFonts w:ascii="Aptos" w:hAnsi="Aptos"/>
          <w:sz w:val="20"/>
        </w:rPr>
        <w:t>Depth Layer</w:t>
      </w:r>
    </w:p>
    <w:p>
      <w:pPr>
        <w:pStyle w:val="ListBullet"/>
        <w:spacing w:after="40"/>
      </w:pPr>
      <w:r>
        <w:rPr>
          <w:rFonts w:ascii="Aptos" w:hAnsi="Aptos"/>
          <w:sz w:val="20"/>
        </w:rPr>
        <w:t>Relationship Exits</w:t>
      </w:r>
    </w:p>
    <w:p>
      <w:pPr>
        <w:pStyle w:val="ListBullet"/>
        <w:spacing w:after="40"/>
      </w:pPr>
      <w:r>
        <w:rPr>
          <w:rFonts w:ascii="Aptos" w:hAnsi="Aptos"/>
          <w:sz w:val="20"/>
        </w:rPr>
        <w:t>Return Path</w:t>
      </w:r>
    </w:p>
    <w:p>
      <w:pPr>
        <w:pStyle w:val="FMCallout"/>
      </w:pPr>
      <w:r>
        <w:rPr>
          <w:rFonts w:ascii="Aptos" w:hAnsi="Aptos"/>
          <w:i/>
          <w:color w:val="25483A"/>
          <w:sz w:val="21"/>
        </w:rPr>
        <w:t>Every Room shares the same structural skeleton but expresses a different function, dominant interaction, and visual composition.</w:t>
      </w:r>
    </w:p>
    <w:p>
      <w:pPr>
        <w:pStyle w:val="Heading1"/>
      </w:pPr>
      <w:r>
        <w:t>8. Identity Architecture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448"/>
            <w:shd w:fill="25483A"/>
            <w:tcMar>
              <w:top w:w="90" w:type="dxa"/>
              <w:start w:w="100" w:type="dxa"/>
              <w:bottom w:w="90" w:type="dxa"/>
              <w:end w:w="100" w:type="dxa"/>
            </w:tcMar>
            <w:vAlign w:val="center"/>
          </w:tcPr>
          <w:p>
            <w:r>
              <w:rPr>
                <w:rFonts w:ascii="Aptos" w:hAnsi="Aptos"/>
                <w:b/>
                <w:color w:val="FFFFFF"/>
                <w:sz w:val="17"/>
              </w:rPr>
              <w:t>Identity</w:t>
            </w:r>
          </w:p>
        </w:tc>
        <w:tc>
          <w:tcPr>
            <w:tcW w:type="dxa" w:w="3744"/>
            <w:shd w:fill="25483A"/>
            <w:tcMar>
              <w:top w:w="90" w:type="dxa"/>
              <w:start w:w="100" w:type="dxa"/>
              <w:bottom w:w="90" w:type="dxa"/>
              <w:end w:w="100" w:type="dxa"/>
            </w:tcMar>
            <w:vAlign w:val="center"/>
          </w:tcPr>
          <w:p>
            <w:r>
              <w:rPr>
                <w:rFonts w:ascii="Aptos" w:hAnsi="Aptos"/>
                <w:b/>
                <w:color w:val="FFFFFF"/>
                <w:sz w:val="17"/>
              </w:rPr>
              <w:t>Role</w:t>
            </w:r>
          </w:p>
        </w:tc>
        <w:tc>
          <w:tcPr>
            <w:tcW w:type="dxa" w:w="3456"/>
            <w:shd w:fill="25483A"/>
            <w:tcMar>
              <w:top w:w="90" w:type="dxa"/>
              <w:start w:w="100" w:type="dxa"/>
              <w:bottom w:w="90" w:type="dxa"/>
              <w:end w:w="100" w:type="dxa"/>
            </w:tcMar>
            <w:vAlign w:val="center"/>
          </w:tcPr>
          <w:p>
            <w:r>
              <w:rPr>
                <w:rFonts w:ascii="Aptos" w:hAnsi="Aptos"/>
                <w:b/>
                <w:color w:val="FFFFFF"/>
                <w:sz w:val="17"/>
              </w:rPr>
              <w:t>Hard boundary</w:t>
            </w:r>
          </w:p>
        </w:tc>
      </w:tr>
      <w:tr>
        <w:trPr>
          <w:cantSplit/>
        </w:trPr>
        <w:tc>
          <w:tcPr>
            <w:tcW w:type="dxa" w:w="2448"/>
            <w:tcMar>
              <w:top w:w="90" w:type="dxa"/>
              <w:start w:w="100" w:type="dxa"/>
              <w:bottom w:w="90" w:type="dxa"/>
              <w:end w:w="100" w:type="dxa"/>
            </w:tcMar>
          </w:tcPr>
          <w:p>
            <w:r>
              <w:rPr>
                <w:rFonts w:ascii="Aptos" w:hAnsi="Aptos"/>
                <w:color w:val="1F2522"/>
                <w:sz w:val="17"/>
              </w:rPr>
              <w:t>FluxMintDigital</w:t>
            </w:r>
          </w:p>
        </w:tc>
        <w:tc>
          <w:tcPr>
            <w:tcW w:type="dxa" w:w="3744"/>
            <w:tcMar>
              <w:top w:w="90" w:type="dxa"/>
              <w:start w:w="100" w:type="dxa"/>
              <w:bottom w:w="90" w:type="dxa"/>
              <w:end w:w="100" w:type="dxa"/>
            </w:tcMar>
          </w:tcPr>
          <w:p>
            <w:r>
              <w:rPr>
                <w:rFonts w:ascii="Aptos" w:hAnsi="Aptos"/>
                <w:color w:val="1F2522"/>
                <w:sz w:val="17"/>
              </w:rPr>
              <w:t>The Studio/place and publishing/building environment.</w:t>
            </w:r>
          </w:p>
        </w:tc>
        <w:tc>
          <w:tcPr>
            <w:tcW w:type="dxa" w:w="3456"/>
            <w:tcMar>
              <w:top w:w="90" w:type="dxa"/>
              <w:start w:w="100" w:type="dxa"/>
              <w:bottom w:w="90" w:type="dxa"/>
              <w:end w:w="100" w:type="dxa"/>
            </w:tcMar>
          </w:tcPr>
          <w:p>
            <w:r>
              <w:rPr>
                <w:rFonts w:ascii="Aptos" w:hAnsi="Aptos"/>
                <w:color w:val="1F2522"/>
                <w:sz w:val="17"/>
              </w:rPr>
              <w:t>Do not fake a corporate “we” when the work is DJ’s.</w:t>
            </w:r>
          </w:p>
        </w:tc>
      </w:tr>
      <w:tr>
        <w:trPr>
          <w:cantSplit/>
        </w:trPr>
        <w:tc>
          <w:tcPr>
            <w:tcW w:type="dxa" w:w="2448"/>
            <w:tcMar>
              <w:top w:w="90" w:type="dxa"/>
              <w:start w:w="100" w:type="dxa"/>
              <w:bottom w:w="90" w:type="dxa"/>
              <w:end w:w="100" w:type="dxa"/>
            </w:tcMar>
            <w:shd w:fill="F7F9F7"/>
          </w:tcPr>
          <w:p>
            <w:r>
              <w:rPr>
                <w:rFonts w:ascii="Aptos" w:hAnsi="Aptos"/>
                <w:color w:val="1F2522"/>
                <w:sz w:val="17"/>
              </w:rPr>
              <w:t>D.J. Boswell</w:t>
            </w:r>
          </w:p>
        </w:tc>
        <w:tc>
          <w:tcPr>
            <w:tcW w:type="dxa" w:w="3744"/>
            <w:tcMar>
              <w:top w:w="90" w:type="dxa"/>
              <w:start w:w="100" w:type="dxa"/>
              <w:bottom w:w="90" w:type="dxa"/>
              <w:end w:w="100" w:type="dxa"/>
            </w:tcMar>
            <w:shd w:fill="F7F9F7"/>
          </w:tcPr>
          <w:p>
            <w:r>
              <w:rPr>
                <w:rFonts w:ascii="Aptos" w:hAnsi="Aptos"/>
                <w:color w:val="1F2522"/>
                <w:sz w:val="17"/>
              </w:rPr>
              <w:t>Real author, builder, researcher, collaborator, steward.</w:t>
            </w:r>
          </w:p>
        </w:tc>
        <w:tc>
          <w:tcPr>
            <w:tcW w:type="dxa" w:w="3456"/>
            <w:tcMar>
              <w:top w:w="90" w:type="dxa"/>
              <w:start w:w="100" w:type="dxa"/>
              <w:bottom w:w="90" w:type="dxa"/>
              <w:end w:w="100" w:type="dxa"/>
            </w:tcMar>
            <w:shd w:fill="F7F9F7"/>
          </w:tcPr>
          <w:p>
            <w:r>
              <w:rPr>
                <w:rFonts w:ascii="Aptos" w:hAnsi="Aptos"/>
                <w:color w:val="1F2522"/>
                <w:sz w:val="17"/>
              </w:rPr>
              <w:t>Real-world responsibility and authorship land here.</w:t>
            </w:r>
          </w:p>
        </w:tc>
      </w:tr>
      <w:tr>
        <w:trPr>
          <w:cantSplit/>
        </w:trPr>
        <w:tc>
          <w:tcPr>
            <w:tcW w:type="dxa" w:w="2448"/>
            <w:tcMar>
              <w:top w:w="90" w:type="dxa"/>
              <w:start w:w="100" w:type="dxa"/>
              <w:bottom w:w="90" w:type="dxa"/>
              <w:end w:w="100" w:type="dxa"/>
            </w:tcMar>
          </w:tcPr>
          <w:p>
            <w:r>
              <w:rPr>
                <w:rFonts w:ascii="Aptos" w:hAnsi="Aptos"/>
                <w:color w:val="1F2522"/>
                <w:sz w:val="17"/>
              </w:rPr>
              <w:t>Explorer DJ</w:t>
            </w:r>
          </w:p>
        </w:tc>
        <w:tc>
          <w:tcPr>
            <w:tcW w:type="dxa" w:w="3744"/>
            <w:tcMar>
              <w:top w:w="90" w:type="dxa"/>
              <w:start w:w="100" w:type="dxa"/>
              <w:bottom w:w="90" w:type="dxa"/>
              <w:end w:w="100" w:type="dxa"/>
            </w:tcMar>
          </w:tcPr>
          <w:p>
            <w:r>
              <w:rPr>
                <w:rFonts w:ascii="Aptos" w:hAnsi="Aptos"/>
                <w:color w:val="1F2522"/>
                <w:sz w:val="17"/>
              </w:rPr>
              <w:t>Stylized guide/character expression.</w:t>
            </w:r>
          </w:p>
        </w:tc>
        <w:tc>
          <w:tcPr>
            <w:tcW w:type="dxa" w:w="3456"/>
            <w:tcMar>
              <w:top w:w="90" w:type="dxa"/>
              <w:start w:w="100" w:type="dxa"/>
              <w:bottom w:w="90" w:type="dxa"/>
              <w:end w:w="100" w:type="dxa"/>
            </w:tcMar>
          </w:tcPr>
          <w:p>
            <w:r>
              <w:rPr>
                <w:rFonts w:ascii="Aptos" w:hAnsi="Aptos"/>
                <w:color w:val="1F2522"/>
                <w:sz w:val="17"/>
              </w:rPr>
              <w:t>Invitation and companionship, never authorship or authority.</w:t>
            </w:r>
          </w:p>
        </w:tc>
      </w:tr>
      <w:tr>
        <w:trPr>
          <w:cantSplit/>
        </w:trPr>
        <w:tc>
          <w:tcPr>
            <w:tcW w:type="dxa" w:w="2448"/>
            <w:tcMar>
              <w:top w:w="90" w:type="dxa"/>
              <w:start w:w="100" w:type="dxa"/>
              <w:bottom w:w="90" w:type="dxa"/>
              <w:end w:w="100" w:type="dxa"/>
            </w:tcMar>
            <w:shd w:fill="F7F9F7"/>
          </w:tcPr>
          <w:p>
            <w:r>
              <w:rPr>
                <w:rFonts w:ascii="Aptos" w:hAnsi="Aptos"/>
                <w:color w:val="1F2522"/>
                <w:sz w:val="17"/>
              </w:rPr>
              <w:t>Realistic illustrated DJ</w:t>
            </w:r>
          </w:p>
        </w:tc>
        <w:tc>
          <w:tcPr>
            <w:tcW w:type="dxa" w:w="3744"/>
            <w:tcMar>
              <w:top w:w="90" w:type="dxa"/>
              <w:start w:w="100" w:type="dxa"/>
              <w:bottom w:w="90" w:type="dxa"/>
              <w:end w:w="100" w:type="dxa"/>
            </w:tcMar>
            <w:shd w:fill="F7F9F7"/>
          </w:tcPr>
          <w:p>
            <w:r>
              <w:rPr>
                <w:rFonts w:ascii="Aptos" w:hAnsi="Aptos"/>
                <w:color w:val="1F2522"/>
                <w:sz w:val="17"/>
              </w:rPr>
              <w:t>Grounded representation of the real person in the same explorer-inspired clothing.</w:t>
            </w:r>
          </w:p>
        </w:tc>
        <w:tc>
          <w:tcPr>
            <w:tcW w:type="dxa" w:w="3456"/>
            <w:tcMar>
              <w:top w:w="90" w:type="dxa"/>
              <w:start w:w="100" w:type="dxa"/>
              <w:bottom w:w="90" w:type="dxa"/>
              <w:end w:w="100" w:type="dxa"/>
            </w:tcMar>
            <w:shd w:fill="F7F9F7"/>
          </w:tcPr>
          <w:p>
            <w:r>
              <w:rPr>
                <w:rFonts w:ascii="Aptos" w:hAnsi="Aptos"/>
                <w:color w:val="1F2522"/>
                <w:sz w:val="17"/>
              </w:rPr>
              <w:t>Used on author/builder/collaborator surfaces; not replaced merely for uniformity.</w:t>
            </w:r>
          </w:p>
        </w:tc>
      </w:tr>
      <w:tr>
        <w:trPr>
          <w:cantSplit/>
        </w:trPr>
        <w:tc>
          <w:tcPr>
            <w:tcW w:type="dxa" w:w="2448"/>
            <w:tcMar>
              <w:top w:w="90" w:type="dxa"/>
              <w:start w:w="100" w:type="dxa"/>
              <w:bottom w:w="90" w:type="dxa"/>
              <w:end w:w="100" w:type="dxa"/>
            </w:tcMar>
          </w:tcPr>
          <w:p>
            <w:r>
              <w:rPr>
                <w:rFonts w:ascii="Aptos" w:hAnsi="Aptos"/>
                <w:color w:val="1F2522"/>
                <w:sz w:val="17"/>
              </w:rPr>
              <w:t>ForgeSpark Studios</w:t>
            </w:r>
          </w:p>
        </w:tc>
        <w:tc>
          <w:tcPr>
            <w:tcW w:type="dxa" w:w="3744"/>
            <w:tcMar>
              <w:top w:w="90" w:type="dxa"/>
              <w:start w:w="100" w:type="dxa"/>
              <w:bottom w:w="90" w:type="dxa"/>
              <w:end w:w="100" w:type="dxa"/>
            </w:tcMar>
          </w:tcPr>
          <w:p>
            <w:r>
              <w:rPr>
                <w:rFonts w:ascii="Aptos" w:hAnsi="Aptos"/>
                <w:color w:val="1F2522"/>
                <w:sz w:val="17"/>
              </w:rPr>
              <w:t>Sibling studio for looser commercial/experimental work.</w:t>
            </w:r>
          </w:p>
        </w:tc>
        <w:tc>
          <w:tcPr>
            <w:tcW w:type="dxa" w:w="3456"/>
            <w:tcMar>
              <w:top w:w="90" w:type="dxa"/>
              <w:start w:w="100" w:type="dxa"/>
              <w:bottom w:w="90" w:type="dxa"/>
              <w:end w:w="100" w:type="dxa"/>
            </w:tcMar>
          </w:tcPr>
          <w:p>
            <w:r>
              <w:rPr>
                <w:rFonts w:ascii="Aptos" w:hAnsi="Aptos"/>
                <w:color w:val="1F2522"/>
                <w:sz w:val="17"/>
              </w:rPr>
              <w:t>Shared infrastructure does not imply shared public canon.</w:t>
            </w:r>
          </w:p>
        </w:tc>
      </w:tr>
    </w:tbl>
    <w:p>
      <w:pPr>
        <w:spacing w:after="20"/>
      </w:pPr>
    </w:p>
    <w:p>
      <w:pPr>
        <w:pStyle w:val="Heading1"/>
      </w:pPr>
      <w:r>
        <w:t>9. Temporal Architecture</w:t>
      </w:r>
    </w:p>
    <w:p>
      <w:pPr>
        <w:pStyle w:val="ListBullet"/>
        <w:spacing w:after="40"/>
      </w:pPr>
      <w:r>
        <w:rPr>
          <w:rFonts w:ascii="Aptos" w:hAnsi="Aptos"/>
          <w:sz w:val="20"/>
        </w:rPr>
        <w:t>Rooms represent persistent domains: where things belong.</w:t>
      </w:r>
    </w:p>
    <w:p>
      <w:pPr>
        <w:pStyle w:val="ListBullet"/>
        <w:spacing w:after="40"/>
      </w:pPr>
      <w:r>
        <w:rPr>
          <w:rFonts w:ascii="Aptos" w:hAnsi="Aptos"/>
          <w:sz w:val="20"/>
        </w:rPr>
        <w:t>Desk/Now represents current activity and curation.</w:t>
      </w:r>
    </w:p>
    <w:p>
      <w:pPr>
        <w:pStyle w:val="ListBullet"/>
        <w:spacing w:after="40"/>
      </w:pPr>
      <w:r>
        <w:rPr>
          <w:rFonts w:ascii="Aptos" w:hAnsi="Aptos"/>
          <w:sz w:val="20"/>
        </w:rPr>
        <w:t>Archives/history represent accumulated past, primarily browsed locally within Rooms.</w:t>
      </w:r>
    </w:p>
    <w:p>
      <w:pPr>
        <w:pStyle w:val="ListBullet"/>
        <w:spacing w:after="40"/>
      </w:pPr>
      <w:r>
        <w:rPr>
          <w:rFonts w:ascii="Aptos" w:hAnsi="Aptos"/>
          <w:sz w:val="20"/>
        </w:rPr>
        <w:t>Returning visitors perceive meaningful change through stateful objects and Now curation rather than notification clutter.</w:t>
      </w:r>
    </w:p>
    <w:p>
      <w:pPr>
        <w:pStyle w:val="ListBullet"/>
        <w:spacing w:after="40"/>
      </w:pPr>
      <w:r>
        <w:rPr>
          <w:rFonts w:ascii="Aptos" w:hAnsi="Aptos"/>
          <w:sz w:val="20"/>
        </w:rPr>
        <w:t>Current state never rewrites intentional historical records.</w:t>
      </w:r>
    </w:p>
    <w:p>
      <w:pPr>
        <w:pStyle w:val="Heading1"/>
      </w:pPr>
      <w:r>
        <w:t>10. External Boundaries</w:t>
      </w:r>
    </w:p>
    <w:p>
      <w:pPr>
        <w:pStyle w:val="ListBullet"/>
        <w:spacing w:after="40"/>
      </w:pPr>
      <w:r>
        <w:rPr>
          <w:rFonts w:ascii="Aptos" w:hAnsi="Aptos"/>
          <w:sz w:val="20"/>
        </w:rPr>
        <w:t>Marketplaces and payment processors are access channels, not canonical Artifact homes.</w:t>
      </w:r>
    </w:p>
    <w:p>
      <w:pPr>
        <w:pStyle w:val="ListBullet"/>
        <w:spacing w:after="40"/>
      </w:pPr>
      <w:r>
        <w:rPr>
          <w:rFonts w:ascii="Aptos" w:hAnsi="Aptos"/>
          <w:sz w:val="20"/>
        </w:rPr>
        <w:t>Social is a front porch/doorway into the Studio, not a parallel content system.</w:t>
      </w:r>
    </w:p>
    <w:p>
      <w:pPr>
        <w:pStyle w:val="ListBullet"/>
        <w:spacing w:after="40"/>
      </w:pPr>
      <w:r>
        <w:rPr>
          <w:rFonts w:ascii="Aptos" w:hAnsi="Aptos"/>
          <w:sz w:val="20"/>
        </w:rPr>
        <w:t>Client-owned work may remain private/internal while still existing canonically in the internal Studio model.</w:t>
      </w:r>
    </w:p>
    <w:p>
      <w:pPr>
        <w:pStyle w:val="ListBullet"/>
        <w:spacing w:after="40"/>
      </w:pPr>
      <w:r>
        <w:rPr>
          <w:rFonts w:ascii="Aptos" w:hAnsi="Aptos"/>
          <w:sz w:val="20"/>
        </w:rPr>
        <w:t>ForgeSpark is outside the FluxMint hierarchy and appears only through intentional cross-studio relationships.</w:t>
      </w:r>
    </w:p>
    <w:p>
      <w:pPr>
        <w:pStyle w:val="ListBullet"/>
        <w:spacing w:after="40"/>
      </w:pPr>
      <w:r>
        <w:rPr>
          <w:rFonts w:ascii="Aptos" w:hAnsi="Aptos"/>
          <w:sz w:val="20"/>
        </w:rPr>
        <w:t>External success, traffic, revenue, or platform behavior never automatically rewrites canonical placement or meaning.</w:t>
      </w:r>
    </w:p>
    <w:p>
      <w:pPr>
        <w:pStyle w:val="Heading1"/>
      </w:pPr>
      <w:r>
        <w:t>11. Constitutional Invariants</w:t>
      </w:r>
    </w:p>
    <w:p>
      <w:pPr>
        <w:pStyle w:val="ListBullet"/>
        <w:spacing w:after="40"/>
      </w:pPr>
      <w:r>
        <w:rPr>
          <w:rFonts w:ascii="Aptos" w:hAnsi="Aptos"/>
          <w:sz w:val="20"/>
        </w:rPr>
        <w:t>Room verbs describe visitor activity, not internal production stages.</w:t>
      </w:r>
    </w:p>
    <w:p>
      <w:pPr>
        <w:pStyle w:val="ListBullet"/>
        <w:spacing w:after="40"/>
      </w:pPr>
      <w:r>
        <w:rPr>
          <w:rFonts w:ascii="Aptos" w:hAnsi="Aptos"/>
          <w:sz w:val="20"/>
        </w:rPr>
        <w:t>Public visibility is independent of canonical Room membership.</w:t>
      </w:r>
    </w:p>
    <w:p>
      <w:pPr>
        <w:pStyle w:val="ListBullet"/>
        <w:spacing w:after="40"/>
      </w:pPr>
      <w:r>
        <w:rPr>
          <w:rFonts w:ascii="Aptos" w:hAnsi="Aptos"/>
          <w:sz w:val="20"/>
        </w:rPr>
        <w:t>Outfitters never owns identity merely because something is for sale.</w:t>
      </w:r>
    </w:p>
    <w:p>
      <w:pPr>
        <w:pStyle w:val="ListBullet"/>
        <w:spacing w:after="40"/>
      </w:pPr>
      <w:r>
        <w:rPr>
          <w:rFonts w:ascii="Aptos" w:hAnsi="Aptos"/>
          <w:sz w:val="20"/>
        </w:rPr>
        <w:t>Every meaningful immersive path has a semantic equivalent.</w:t>
      </w:r>
    </w:p>
    <w:p>
      <w:pPr>
        <w:pStyle w:val="ListBullet"/>
        <w:spacing w:after="40"/>
      </w:pPr>
      <w:r>
        <w:rPr>
          <w:rFonts w:ascii="Aptos" w:hAnsi="Aptos"/>
          <w:sz w:val="20"/>
        </w:rPr>
        <w:t>Ontology governs scenes and specimens; scenes never govern ontology.</w:t>
      </w:r>
    </w:p>
    <w:p>
      <w:pPr>
        <w:pStyle w:val="ListBullet"/>
        <w:spacing w:after="40"/>
      </w:pPr>
      <w:r>
        <w:rPr>
          <w:rFonts w:ascii="Aptos" w:hAnsi="Aptos"/>
          <w:sz w:val="20"/>
        </w:rPr>
        <w:t>Visual prominence never implies truth, importance, or evidentiary standing.</w:t>
      </w:r>
    </w:p>
    <w:p>
      <w:pPr>
        <w:pStyle w:val="ListBullet"/>
        <w:spacing w:after="40"/>
      </w:pPr>
      <w:r>
        <w:rPr>
          <w:rFonts w:ascii="Aptos" w:hAnsi="Aptos"/>
          <w:sz w:val="20"/>
        </w:rPr>
        <w:t>Studio growth deepens organization and retrieval instead of broadening the top-level taxonomy.</w:t>
      </w:r>
    </w:p>
    <w:p>
      <w:pPr>
        <w:pStyle w:val="ListBullet"/>
        <w:spacing w:after="40"/>
      </w:pPr>
      <w:r>
        <w:rPr>
          <w:rFonts w:ascii="Aptos" w:hAnsi="Aptos"/>
          <w:sz w:val="20"/>
        </w:rPr>
        <w:t>Metaphor stops where conventional terminology is clearer.</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65F"/>
        <w:sz w:val="15"/>
      </w:rPr>
      <w:t>v1.0 · September 3, 2026 · Canonical planning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65F"/>
        <w:sz w:val="15"/>
      </w:rPr>
      <w:t>FLUXMINTDIGITAL · WEBSITE CANONICAL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25483A"/>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2522"/>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5C66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color w:val="2548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MCallout">
    <w:name w:val="FM Callout"/>
    <w:pPr>
      <w:spacing w:before="140" w:after="160"/>
      <w:ind w:left="403" w:right="259"/>
    </w:pPr>
    <w:rPr>
      <w:rFonts w:ascii="Aptos" w:hAnsi="Aptos"/>
      <w:i/>
      <w:color w:val="25483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