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02 · FluxMintDigital Content &amp; Data Architecture</w:t>
      </w:r>
    </w:p>
    <w:p>
      <w:pPr>
        <w:spacing w:after="100"/>
      </w:pPr>
      <w:r>
        <w:rPr>
          <w:rFonts w:ascii="Aptos" w:hAnsi="Aptos"/>
          <w:color w:val="5C665F"/>
          <w:sz w:val="23"/>
        </w:rPr>
        <w:t>Canonical logical model, content authority, relationships, governance, and propagation</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Pages and Surfaces display Artifacts; they do not define them. Every factual property has one canonical authority.</w:t>
      </w:r>
    </w:p>
    <w:p>
      <w:r>
        <w:t>This document defines the logical content model independently of physical storage technology. It governs Artifact identity, classification, state, visibility, availability, relationships, lineage, Surface placement, authority, propagation, governance, and change receipts.</w:t>
      </w:r>
    </w:p>
    <w:p>
      <w:r>
        <w:rPr>
          <w:rFonts w:ascii="Aptos" w:hAnsi="Aptos"/>
          <w:b/>
          <w:color w:val="1F2522"/>
        </w:rPr>
        <w:t xml:space="preserve">Authority relationship: </w:t>
      </w:r>
      <w:r>
        <w:rPr>
          <w:rFonts w:ascii="Aptos" w:hAnsi="Aptos"/>
          <w:color w:val="1F2522"/>
        </w:rPr>
        <w:t>Inherits Studio Architecture; governs logical content truth used by all downstream documents.</w:t>
      </w:r>
    </w:p>
    <w:p>
      <w:pPr>
        <w:pStyle w:val="Heading1"/>
      </w:pPr>
      <w:r>
        <w:t>1. Canonical Artifact Core</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Field group</w:t>
            </w:r>
          </w:p>
        </w:tc>
        <w:tc>
          <w:tcPr>
            <w:tcW w:type="dxa" w:w="7344"/>
            <w:shd w:fill="25483A"/>
            <w:tcMar>
              <w:top w:w="90" w:type="dxa"/>
              <w:start w:w="100" w:type="dxa"/>
              <w:bottom w:w="90" w:type="dxa"/>
              <w:end w:w="100" w:type="dxa"/>
            </w:tcMar>
            <w:vAlign w:val="center"/>
          </w:tcPr>
          <w:p>
            <w:r>
              <w:rPr>
                <w:rFonts w:ascii="Aptos" w:hAnsi="Aptos"/>
                <w:b/>
                <w:color w:val="FFFFFF"/>
                <w:sz w:val="17"/>
              </w:rPr>
              <w:t>Logical responsibility</w:t>
            </w:r>
          </w:p>
        </w:tc>
      </w:tr>
      <w:tr>
        <w:trPr>
          <w:cantSplit/>
        </w:trPr>
        <w:tc>
          <w:tcPr>
            <w:tcW w:type="dxa" w:w="2304"/>
            <w:tcMar>
              <w:top w:w="90" w:type="dxa"/>
              <w:start w:w="100" w:type="dxa"/>
              <w:bottom w:w="90" w:type="dxa"/>
              <w:end w:w="100" w:type="dxa"/>
            </w:tcMar>
          </w:tcPr>
          <w:p>
            <w:r>
              <w:rPr>
                <w:rFonts w:ascii="Aptos" w:hAnsi="Aptos"/>
                <w:color w:val="1F2522"/>
                <w:sz w:val="17"/>
              </w:rPr>
              <w:t>Identity</w:t>
            </w:r>
          </w:p>
        </w:tc>
        <w:tc>
          <w:tcPr>
            <w:tcW w:type="dxa" w:w="7344"/>
            <w:tcMar>
              <w:top w:w="90" w:type="dxa"/>
              <w:start w:w="100" w:type="dxa"/>
              <w:bottom w:w="90" w:type="dxa"/>
              <w:end w:w="100" w:type="dxa"/>
            </w:tcMar>
          </w:tcPr>
          <w:p>
            <w:r>
              <w:rPr>
                <w:rFonts w:ascii="Aptos" w:hAnsi="Aptos"/>
                <w:color w:val="1F2522"/>
                <w:sz w:val="17"/>
              </w:rPr>
              <w:t>Stable ID, slug/route identity, title, optional subtitle, state-independent short description.</w:t>
            </w:r>
          </w:p>
        </w:tc>
      </w:tr>
      <w:tr>
        <w:trPr>
          <w:cantSplit/>
        </w:trPr>
        <w:tc>
          <w:tcPr>
            <w:tcW w:type="dxa" w:w="2304"/>
            <w:tcMar>
              <w:top w:w="90" w:type="dxa"/>
              <w:start w:w="100" w:type="dxa"/>
              <w:bottom w:w="90" w:type="dxa"/>
              <w:end w:w="100" w:type="dxa"/>
            </w:tcMar>
            <w:shd w:fill="F7F9F7"/>
          </w:tcPr>
          <w:p>
            <w:r>
              <w:rPr>
                <w:rFonts w:ascii="Aptos" w:hAnsi="Aptos"/>
                <w:color w:val="1F2522"/>
                <w:sz w:val="17"/>
              </w:rPr>
              <w:t>Classification</w:t>
            </w:r>
          </w:p>
        </w:tc>
        <w:tc>
          <w:tcPr>
            <w:tcW w:type="dxa" w:w="7344"/>
            <w:tcMar>
              <w:top w:w="90" w:type="dxa"/>
              <w:start w:w="100" w:type="dxa"/>
              <w:bottom w:w="90" w:type="dxa"/>
              <w:end w:w="100" w:type="dxa"/>
            </w:tcMar>
            <w:shd w:fill="F7F9F7"/>
          </w:tcPr>
          <w:p>
            <w:r>
              <w:rPr>
                <w:rFonts w:ascii="Aptos" w:hAnsi="Aptos"/>
                <w:color w:val="1F2522"/>
                <w:sz w:val="17"/>
              </w:rPr>
              <w:t>Artifact Type; canonical Room; optional Division.</w:t>
            </w:r>
          </w:p>
        </w:tc>
      </w:tr>
      <w:tr>
        <w:trPr>
          <w:cantSplit/>
        </w:trPr>
        <w:tc>
          <w:tcPr>
            <w:tcW w:type="dxa" w:w="2304"/>
            <w:tcMar>
              <w:top w:w="90" w:type="dxa"/>
              <w:start w:w="100" w:type="dxa"/>
              <w:bottom w:w="90" w:type="dxa"/>
              <w:end w:w="100" w:type="dxa"/>
            </w:tcMar>
          </w:tcPr>
          <w:p>
            <w:r>
              <w:rPr>
                <w:rFonts w:ascii="Aptos" w:hAnsi="Aptos"/>
                <w:color w:val="1F2522"/>
                <w:sz w:val="17"/>
              </w:rPr>
              <w:t>Lifecycle</w:t>
            </w:r>
          </w:p>
        </w:tc>
        <w:tc>
          <w:tcPr>
            <w:tcW w:type="dxa" w:w="7344"/>
            <w:tcMar>
              <w:top w:w="90" w:type="dxa"/>
              <w:start w:w="100" w:type="dxa"/>
              <w:bottom w:w="90" w:type="dxa"/>
              <w:end w:w="100" w:type="dxa"/>
            </w:tcMar>
          </w:tcPr>
          <w:p>
            <w:r>
              <w:rPr>
                <w:rFonts w:ascii="Aptos" w:hAnsi="Aptos"/>
                <w:color w:val="1F2522"/>
                <w:sz w:val="17"/>
              </w:rPr>
              <w:t>Condition of the Artifact, independent of access and availability.</w:t>
            </w:r>
          </w:p>
        </w:tc>
      </w:tr>
      <w:tr>
        <w:trPr>
          <w:cantSplit/>
        </w:trPr>
        <w:tc>
          <w:tcPr>
            <w:tcW w:type="dxa" w:w="2304"/>
            <w:tcMar>
              <w:top w:w="90" w:type="dxa"/>
              <w:start w:w="100" w:type="dxa"/>
              <w:bottom w:w="90" w:type="dxa"/>
              <w:end w:w="100" w:type="dxa"/>
            </w:tcMar>
            <w:shd w:fill="F7F9F7"/>
          </w:tcPr>
          <w:p>
            <w:r>
              <w:rPr>
                <w:rFonts w:ascii="Aptos" w:hAnsi="Aptos"/>
                <w:color w:val="1F2522"/>
                <w:sz w:val="17"/>
              </w:rPr>
              <w:t>Visibility</w:t>
            </w:r>
          </w:p>
        </w:tc>
        <w:tc>
          <w:tcPr>
            <w:tcW w:type="dxa" w:w="7344"/>
            <w:tcMar>
              <w:top w:w="90" w:type="dxa"/>
              <w:start w:w="100" w:type="dxa"/>
              <w:bottom w:w="90" w:type="dxa"/>
              <w:end w:w="100" w:type="dxa"/>
            </w:tcMar>
            <w:shd w:fill="F7F9F7"/>
          </w:tcPr>
          <w:p>
            <w:r>
              <w:rPr>
                <w:rFonts w:ascii="Aptos" w:hAnsi="Aptos"/>
                <w:color w:val="1F2522"/>
                <w:sz w:val="17"/>
              </w:rPr>
              <w:t>Who may discover/access the Artifact through public Studio surfaces.</w:t>
            </w:r>
          </w:p>
        </w:tc>
      </w:tr>
      <w:tr>
        <w:trPr>
          <w:cantSplit/>
        </w:trPr>
        <w:tc>
          <w:tcPr>
            <w:tcW w:type="dxa" w:w="2304"/>
            <w:tcMar>
              <w:top w:w="90" w:type="dxa"/>
              <w:start w:w="100" w:type="dxa"/>
              <w:bottom w:w="90" w:type="dxa"/>
              <w:end w:w="100" w:type="dxa"/>
            </w:tcMar>
          </w:tcPr>
          <w:p>
            <w:r>
              <w:rPr>
                <w:rFonts w:ascii="Aptos" w:hAnsi="Aptos"/>
                <w:color w:val="1F2522"/>
                <w:sz w:val="17"/>
              </w:rPr>
              <w:t>Topics</w:t>
            </w:r>
          </w:p>
        </w:tc>
        <w:tc>
          <w:tcPr>
            <w:tcW w:type="dxa" w:w="7344"/>
            <w:tcMar>
              <w:top w:w="90" w:type="dxa"/>
              <w:start w:w="100" w:type="dxa"/>
              <w:bottom w:w="90" w:type="dxa"/>
              <w:end w:w="100" w:type="dxa"/>
            </w:tcMar>
          </w:tcPr>
          <w:p>
            <w:r>
              <w:rPr>
                <w:rFonts w:ascii="Aptos" w:hAnsi="Aptos"/>
                <w:color w:val="1F2522"/>
                <w:sz w:val="17"/>
              </w:rPr>
              <w:t>Lightweight cross-cutting semantic labels.</w:t>
            </w:r>
          </w:p>
        </w:tc>
      </w:tr>
      <w:tr>
        <w:trPr>
          <w:cantSplit/>
        </w:trPr>
        <w:tc>
          <w:tcPr>
            <w:tcW w:type="dxa" w:w="2304"/>
            <w:tcMar>
              <w:top w:w="90" w:type="dxa"/>
              <w:start w:w="100" w:type="dxa"/>
              <w:bottom w:w="90" w:type="dxa"/>
              <w:end w:w="100" w:type="dxa"/>
            </w:tcMar>
            <w:shd w:fill="F7F9F7"/>
          </w:tcPr>
          <w:p>
            <w:r>
              <w:rPr>
                <w:rFonts w:ascii="Aptos" w:hAnsi="Aptos"/>
                <w:color w:val="1F2522"/>
                <w:sz w:val="17"/>
              </w:rPr>
              <w:t>Relationships</w:t>
            </w:r>
          </w:p>
        </w:tc>
        <w:tc>
          <w:tcPr>
            <w:tcW w:type="dxa" w:w="7344"/>
            <w:tcMar>
              <w:top w:w="90" w:type="dxa"/>
              <w:start w:w="100" w:type="dxa"/>
              <w:bottom w:w="90" w:type="dxa"/>
              <w:end w:w="100" w:type="dxa"/>
            </w:tcMar>
            <w:shd w:fill="F7F9F7"/>
          </w:tcPr>
          <w:p>
            <w:r>
              <w:rPr>
                <w:rFonts w:ascii="Aptos" w:hAnsi="Aptos"/>
                <w:color w:val="1F2522"/>
                <w:sz w:val="17"/>
              </w:rPr>
              <w:t>Typed directional connections, including authorship/responsibility and lineage.</w:t>
            </w:r>
          </w:p>
        </w:tc>
      </w:tr>
      <w:tr>
        <w:trPr>
          <w:cantSplit/>
        </w:trPr>
        <w:tc>
          <w:tcPr>
            <w:tcW w:type="dxa" w:w="2304"/>
            <w:tcMar>
              <w:top w:w="90" w:type="dxa"/>
              <w:start w:w="100" w:type="dxa"/>
              <w:bottom w:w="90" w:type="dxa"/>
              <w:end w:w="100" w:type="dxa"/>
            </w:tcMar>
          </w:tcPr>
          <w:p>
            <w:r>
              <w:rPr>
                <w:rFonts w:ascii="Aptos" w:hAnsi="Aptos"/>
                <w:color w:val="1F2522"/>
                <w:sz w:val="17"/>
              </w:rPr>
              <w:t>Availability</w:t>
            </w:r>
          </w:p>
        </w:tc>
        <w:tc>
          <w:tcPr>
            <w:tcW w:type="dxa" w:w="7344"/>
            <w:tcMar>
              <w:top w:w="90" w:type="dxa"/>
              <w:start w:w="100" w:type="dxa"/>
              <w:bottom w:w="90" w:type="dxa"/>
              <w:end w:w="100" w:type="dxa"/>
            </w:tcMar>
          </w:tcPr>
          <w:p>
            <w:r>
              <w:rPr>
                <w:rFonts w:ascii="Aptos" w:hAnsi="Aptos"/>
                <w:color w:val="1F2522"/>
                <w:sz w:val="17"/>
              </w:rPr>
              <w:t>Optional access/acquisition status, modes, channels, and channel data.</w:t>
            </w:r>
          </w:p>
        </w:tc>
      </w:tr>
      <w:tr>
        <w:trPr>
          <w:cantSplit/>
        </w:trPr>
        <w:tc>
          <w:tcPr>
            <w:tcW w:type="dxa" w:w="2304"/>
            <w:tcMar>
              <w:top w:w="90" w:type="dxa"/>
              <w:start w:w="100" w:type="dxa"/>
              <w:bottom w:w="90" w:type="dxa"/>
              <w:end w:w="100" w:type="dxa"/>
            </w:tcMar>
            <w:shd w:fill="F7F9F7"/>
          </w:tcPr>
          <w:p>
            <w:r>
              <w:rPr>
                <w:rFonts w:ascii="Aptos" w:hAnsi="Aptos"/>
                <w:color w:val="1F2522"/>
                <w:sz w:val="17"/>
              </w:rPr>
              <w:t>Type-specific content</w:t>
            </w:r>
          </w:p>
        </w:tc>
        <w:tc>
          <w:tcPr>
            <w:tcW w:type="dxa" w:w="7344"/>
            <w:tcMar>
              <w:top w:w="90" w:type="dxa"/>
              <w:start w:w="100" w:type="dxa"/>
              <w:bottom w:w="90" w:type="dxa"/>
              <w:end w:w="100" w:type="dxa"/>
            </w:tcMar>
            <w:shd w:fill="F7F9F7"/>
          </w:tcPr>
          <w:p>
            <w:r>
              <w:rPr>
                <w:rFonts w:ascii="Aptos" w:hAnsi="Aptos"/>
                <w:color w:val="1F2522"/>
                <w:sz w:val="17"/>
              </w:rPr>
              <w:t>Editorial structure appropriate to Book, Essay, App, Framework, Experiment, Case Study, etc.</w:t>
            </w:r>
          </w:p>
        </w:tc>
      </w:tr>
      <w:tr>
        <w:trPr>
          <w:cantSplit/>
        </w:trPr>
        <w:tc>
          <w:tcPr>
            <w:tcW w:type="dxa" w:w="2304"/>
            <w:tcMar>
              <w:top w:w="90" w:type="dxa"/>
              <w:start w:w="100" w:type="dxa"/>
              <w:bottom w:w="90" w:type="dxa"/>
              <w:end w:w="100" w:type="dxa"/>
            </w:tcMar>
          </w:tcPr>
          <w:p>
            <w:r>
              <w:rPr>
                <w:rFonts w:ascii="Aptos" w:hAnsi="Aptos"/>
                <w:color w:val="1F2522"/>
                <w:sz w:val="17"/>
              </w:rPr>
              <w:t>System metadata</w:t>
            </w:r>
          </w:p>
        </w:tc>
        <w:tc>
          <w:tcPr>
            <w:tcW w:type="dxa" w:w="7344"/>
            <w:tcMar>
              <w:top w:w="90" w:type="dxa"/>
              <w:start w:w="100" w:type="dxa"/>
              <w:bottom w:w="90" w:type="dxa"/>
              <w:end w:w="100" w:type="dxa"/>
            </w:tcMar>
          </w:tcPr>
          <w:p>
            <w:r>
              <w:rPr>
                <w:rFonts w:ascii="Aptos" w:hAnsi="Aptos"/>
                <w:color w:val="1F2522"/>
                <w:sz w:val="17"/>
              </w:rPr>
              <w:t>Created/updated timestamps, revision/version metadata, canonical routes, migration/provenance data as needed.</w:t>
            </w:r>
          </w:p>
        </w:tc>
      </w:tr>
    </w:tbl>
    <w:p>
      <w:pPr>
        <w:spacing w:after="20"/>
      </w:pPr>
    </w:p>
    <w:p>
      <w:pPr>
        <w:pStyle w:val="FMCallout"/>
      </w:pPr>
      <w:r>
        <w:rPr>
          <w:rFonts w:ascii="Aptos" w:hAnsi="Aptos"/>
          <w:i/>
          <w:color w:val="25483A"/>
          <w:sz w:val="21"/>
        </w:rPr>
        <w:t>Artifact Type describes what a thing is. Canonical Room describes where it belongs.</w:t>
      </w:r>
    </w:p>
    <w:p>
      <w:pPr>
        <w:pStyle w:val="Heading1"/>
      </w:pPr>
      <w:r>
        <w:t>2. Artifact Types</w:t>
      </w:r>
    </w:p>
    <w:p>
      <w:r>
        <w:t>The type vocabulary is extensible but should remain intentionally small. Initial types include Book, Series, Essay, Field Note, Discovery, Workshop Note, Application, Tool, Instrument, Framework, Model, Experiment, Paper/Record, Research Program, Case Study, Service, Digital Resource, and Physical Object. New types require genuine editorial or behavioral distinction, not merely a new marketing label.</w:t>
      </w:r>
    </w:p>
    <w:p>
      <w:pPr>
        <w:pStyle w:val="Heading1"/>
      </w:pPr>
      <w:r>
        <w:t>3. Recursive Organizers</w:t>
      </w:r>
    </w:p>
    <w:p>
      <w:r>
        <w:t>Series and Research Programs are modeled as Artifacts when they possess meaningful identity, description, order, visual identity, relationships, or their own canonical page. They organize other Artifacts through typed relationships rather than creating new root ontology entities.</w:t>
      </w:r>
    </w:p>
    <w:p>
      <w:pPr>
        <w:pStyle w:val="FMCallout"/>
      </w:pPr>
      <w:r>
        <w:rPr>
          <w:rFonts w:ascii="Aptos" w:hAnsi="Aptos"/>
          <w:i/>
          <w:color w:val="25483A"/>
          <w:sz w:val="21"/>
        </w:rPr>
        <w:t>Divisions organize Rooms. Relationships organize meaning.</w:t>
      </w:r>
    </w:p>
    <w:p>
      <w:pPr>
        <w:pStyle w:val="Heading1"/>
      </w:pPr>
      <w:r>
        <w:t>4. Lifecycle State</w:t>
      </w:r>
    </w:p>
    <w:p>
      <w:r>
        <w:t>Lifecycle is independent from visibility, availability, governance, featured placement, and evidentiary warrant. Conceptual vocabulary includes Seed, On the Workbench, Under Examination, In Revision, Published/Released, Maintained, Dormant, Archived, Superseded, and Retired. Backend identifiers may normalize these semantics, and public wording may vary deterministically by Artifact type.</w:t>
      </w:r>
    </w:p>
    <w:p>
      <w:pPr>
        <w:pStyle w:val="Heading1"/>
      </w:pPr>
      <w:r>
        <w:t>5. Visibility</w:t>
      </w:r>
    </w:p>
    <w:tbl>
      <w:tblPr>
        <w:tblStyle w:val="TableGrid"/>
        <w:tblW w:type="auto" w:w="0"/>
        <w:jc w:val="center"/>
        <w:tblLook w:firstColumn="1" w:firstRow="1" w:lastColumn="0" w:lastRow="0" w:noHBand="0" w:noVBand="1" w:val="04A0"/>
      </w:tblPr>
      <w:tblGrid>
        <w:gridCol w:w="4997"/>
        <w:gridCol w:w="4997"/>
      </w:tblGrid>
      <w:tr>
        <w:trPr>
          <w:cantSplit/>
        </w:trPr>
        <w:tc>
          <w:tcPr>
            <w:tcW w:type="dxa" w:w="2016"/>
            <w:shd w:fill="25483A"/>
            <w:tcMar>
              <w:top w:w="90" w:type="dxa"/>
              <w:start w:w="100" w:type="dxa"/>
              <w:bottom w:w="90" w:type="dxa"/>
              <w:end w:w="100" w:type="dxa"/>
            </w:tcMar>
            <w:vAlign w:val="center"/>
          </w:tcPr>
          <w:p>
            <w:r>
              <w:rPr>
                <w:rFonts w:ascii="Aptos" w:hAnsi="Aptos"/>
                <w:b/>
                <w:color w:val="FFFFFF"/>
                <w:sz w:val="17"/>
              </w:rPr>
              <w:t>Value</w:t>
            </w:r>
          </w:p>
        </w:tc>
        <w:tc>
          <w:tcPr>
            <w:tcW w:type="dxa" w:w="7632"/>
            <w:shd w:fill="25483A"/>
            <w:tcMar>
              <w:top w:w="90" w:type="dxa"/>
              <w:start w:w="100" w:type="dxa"/>
              <w:bottom w:w="90" w:type="dxa"/>
              <w:end w:w="100" w:type="dxa"/>
            </w:tcMar>
            <w:vAlign w:val="center"/>
          </w:tcPr>
          <w:p>
            <w:r>
              <w:rPr>
                <w:rFonts w:ascii="Aptos" w:hAnsi="Aptos"/>
                <w:b/>
                <w:color w:val="FFFFFF"/>
                <w:sz w:val="17"/>
              </w:rPr>
              <w:t>Meaning</w:t>
            </w:r>
          </w:p>
        </w:tc>
      </w:tr>
      <w:tr>
        <w:trPr>
          <w:cantSplit/>
        </w:trPr>
        <w:tc>
          <w:tcPr>
            <w:tcW w:type="dxa" w:w="2016"/>
            <w:tcMar>
              <w:top w:w="90" w:type="dxa"/>
              <w:start w:w="100" w:type="dxa"/>
              <w:bottom w:w="90" w:type="dxa"/>
              <w:end w:w="100" w:type="dxa"/>
            </w:tcMar>
          </w:tcPr>
          <w:p>
            <w:r>
              <w:rPr>
                <w:rFonts w:ascii="Aptos" w:hAnsi="Aptos"/>
                <w:color w:val="1F2522"/>
                <w:sz w:val="17"/>
              </w:rPr>
              <w:t>Private</w:t>
            </w:r>
          </w:p>
        </w:tc>
        <w:tc>
          <w:tcPr>
            <w:tcW w:type="dxa" w:w="7632"/>
            <w:tcMar>
              <w:top w:w="90" w:type="dxa"/>
              <w:start w:w="100" w:type="dxa"/>
              <w:bottom w:w="90" w:type="dxa"/>
              <w:end w:w="100" w:type="dxa"/>
            </w:tcMar>
          </w:tcPr>
          <w:p>
            <w:r>
              <w:rPr>
                <w:rFonts w:ascii="Aptos" w:hAnsi="Aptos"/>
                <w:color w:val="1F2522"/>
                <w:sz w:val="17"/>
              </w:rPr>
              <w:t>Restricted content requiring actual access control when implemented.</w:t>
            </w:r>
          </w:p>
        </w:tc>
      </w:tr>
      <w:tr>
        <w:trPr>
          <w:cantSplit/>
        </w:trPr>
        <w:tc>
          <w:tcPr>
            <w:tcW w:type="dxa" w:w="2016"/>
            <w:tcMar>
              <w:top w:w="90" w:type="dxa"/>
              <w:start w:w="100" w:type="dxa"/>
              <w:bottom w:w="90" w:type="dxa"/>
              <w:end w:w="100" w:type="dxa"/>
            </w:tcMar>
            <w:shd w:fill="F7F9F7"/>
          </w:tcPr>
          <w:p>
            <w:r>
              <w:rPr>
                <w:rFonts w:ascii="Aptos" w:hAnsi="Aptos"/>
                <w:color w:val="1F2522"/>
                <w:sz w:val="17"/>
              </w:rPr>
              <w:t>Internal</w:t>
            </w:r>
          </w:p>
        </w:tc>
        <w:tc>
          <w:tcPr>
            <w:tcW w:type="dxa" w:w="7632"/>
            <w:tcMar>
              <w:top w:w="90" w:type="dxa"/>
              <w:start w:w="100" w:type="dxa"/>
              <w:bottom w:w="90" w:type="dxa"/>
              <w:end w:w="100" w:type="dxa"/>
            </w:tcMar>
            <w:shd w:fill="F7F9F7"/>
          </w:tcPr>
          <w:p>
            <w:r>
              <w:rPr>
                <w:rFonts w:ascii="Aptos" w:hAnsi="Aptos"/>
                <w:color w:val="1F2522"/>
                <w:sz w:val="17"/>
              </w:rPr>
              <w:t>Studio working record not intended for public presentation.</w:t>
            </w:r>
          </w:p>
        </w:tc>
      </w:tr>
      <w:tr>
        <w:trPr>
          <w:cantSplit/>
        </w:trPr>
        <w:tc>
          <w:tcPr>
            <w:tcW w:type="dxa" w:w="2016"/>
            <w:tcMar>
              <w:top w:w="90" w:type="dxa"/>
              <w:start w:w="100" w:type="dxa"/>
              <w:bottom w:w="90" w:type="dxa"/>
              <w:end w:w="100" w:type="dxa"/>
            </w:tcMar>
          </w:tcPr>
          <w:p>
            <w:r>
              <w:rPr>
                <w:rFonts w:ascii="Aptos" w:hAnsi="Aptos"/>
                <w:color w:val="1F2522"/>
                <w:sz w:val="17"/>
              </w:rPr>
              <w:t>Unlisted</w:t>
            </w:r>
          </w:p>
        </w:tc>
        <w:tc>
          <w:tcPr>
            <w:tcW w:type="dxa" w:w="7632"/>
            <w:tcMar>
              <w:top w:w="90" w:type="dxa"/>
              <w:start w:w="100" w:type="dxa"/>
              <w:bottom w:w="90" w:type="dxa"/>
              <w:end w:w="100" w:type="dxa"/>
            </w:tcMar>
          </w:tcPr>
          <w:p>
            <w:r>
              <w:rPr>
                <w:rFonts w:ascii="Aptos" w:hAnsi="Aptos"/>
                <w:color w:val="1F2522"/>
                <w:sz w:val="17"/>
              </w:rPr>
              <w:t>Direct-link accessible where intentionally implemented, but excluded from normal discovery; not security.</w:t>
            </w:r>
          </w:p>
        </w:tc>
      </w:tr>
      <w:tr>
        <w:trPr>
          <w:cantSplit/>
        </w:trPr>
        <w:tc>
          <w:tcPr>
            <w:tcW w:type="dxa" w:w="2016"/>
            <w:tcMar>
              <w:top w:w="90" w:type="dxa"/>
              <w:start w:w="100" w:type="dxa"/>
              <w:bottom w:w="90" w:type="dxa"/>
              <w:end w:w="100" w:type="dxa"/>
            </w:tcMar>
            <w:shd w:fill="F7F9F7"/>
          </w:tcPr>
          <w:p>
            <w:r>
              <w:rPr>
                <w:rFonts w:ascii="Aptos" w:hAnsi="Aptos"/>
                <w:color w:val="1F2522"/>
                <w:sz w:val="17"/>
              </w:rPr>
              <w:t>Public</w:t>
            </w:r>
          </w:p>
        </w:tc>
        <w:tc>
          <w:tcPr>
            <w:tcW w:type="dxa" w:w="7632"/>
            <w:tcMar>
              <w:top w:w="90" w:type="dxa"/>
              <w:start w:w="100" w:type="dxa"/>
              <w:bottom w:w="90" w:type="dxa"/>
              <w:end w:w="100" w:type="dxa"/>
            </w:tcMar>
            <w:shd w:fill="F7F9F7"/>
          </w:tcPr>
          <w:p>
            <w:r>
              <w:rPr>
                <w:rFonts w:ascii="Aptos" w:hAnsi="Aptos"/>
                <w:color w:val="1F2522"/>
                <w:sz w:val="17"/>
              </w:rPr>
              <w:t>Eligible for public Surfaces subject to other rules.</w:t>
            </w:r>
          </w:p>
        </w:tc>
      </w:tr>
    </w:tbl>
    <w:p>
      <w:pPr>
        <w:spacing w:after="20"/>
      </w:pPr>
    </w:p>
    <w:p>
      <w:r>
        <w:t>Historical condition is primarily derived from lifecycle and lineage rather than represented as an access level. Visibility is enforced before public Surface selection; it is never cosmetic hiding after render.</w:t>
      </w:r>
    </w:p>
    <w:p>
      <w:pPr>
        <w:pStyle w:val="Heading1"/>
      </w:pPr>
      <w:r>
        <w:t>6. Availability</w:t>
      </w:r>
    </w:p>
    <w:p>
      <w:r>
        <w:t>Availability is optional and describes whether/how someone may obtain, use, read, download, purchase, or otherwise access an Artifact. It does not determine whether the Artifact exists or is public.</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Component</w:t>
            </w:r>
          </w:p>
        </w:tc>
        <w:tc>
          <w:tcPr>
            <w:tcW w:type="dxa" w:w="7344"/>
            <w:shd w:fill="25483A"/>
            <w:tcMar>
              <w:top w:w="90" w:type="dxa"/>
              <w:start w:w="100" w:type="dxa"/>
              <w:bottom w:w="90" w:type="dxa"/>
              <w:end w:w="100" w:type="dxa"/>
            </w:tcMar>
            <w:vAlign w:val="center"/>
          </w:tcPr>
          <w:p>
            <w:r>
              <w:rPr>
                <w:rFonts w:ascii="Aptos" w:hAnsi="Aptos"/>
                <w:b/>
                <w:color w:val="FFFFFF"/>
                <w:sz w:val="17"/>
              </w:rPr>
              <w:t>Examples</w:t>
            </w:r>
          </w:p>
        </w:tc>
      </w:tr>
      <w:tr>
        <w:trPr>
          <w:cantSplit/>
        </w:trPr>
        <w:tc>
          <w:tcPr>
            <w:tcW w:type="dxa" w:w="2304"/>
            <w:tcMar>
              <w:top w:w="90" w:type="dxa"/>
              <w:start w:w="100" w:type="dxa"/>
              <w:bottom w:w="90" w:type="dxa"/>
              <w:end w:w="100" w:type="dxa"/>
            </w:tcMar>
          </w:tcPr>
          <w:p>
            <w:r>
              <w:rPr>
                <w:rFonts w:ascii="Aptos" w:hAnsi="Aptos"/>
                <w:color w:val="1F2522"/>
                <w:sz w:val="17"/>
              </w:rPr>
              <w:t>Status</w:t>
            </w:r>
          </w:p>
        </w:tc>
        <w:tc>
          <w:tcPr>
            <w:tcW w:type="dxa" w:w="7344"/>
            <w:tcMar>
              <w:top w:w="90" w:type="dxa"/>
              <w:start w:w="100" w:type="dxa"/>
              <w:bottom w:w="90" w:type="dxa"/>
              <w:end w:w="100" w:type="dxa"/>
            </w:tcMar>
          </w:tcPr>
          <w:p>
            <w:r>
              <w:rPr>
                <w:rFonts w:ascii="Aptos" w:hAnsi="Aptos"/>
                <w:color w:val="1F2522"/>
                <w:sz w:val="17"/>
              </w:rPr>
              <w:t>available, unavailable, private, not offered</w:t>
            </w:r>
          </w:p>
        </w:tc>
      </w:tr>
      <w:tr>
        <w:trPr>
          <w:cantSplit/>
        </w:trPr>
        <w:tc>
          <w:tcPr>
            <w:tcW w:type="dxa" w:w="2304"/>
            <w:tcMar>
              <w:top w:w="90" w:type="dxa"/>
              <w:start w:w="100" w:type="dxa"/>
              <w:bottom w:w="90" w:type="dxa"/>
              <w:end w:w="100" w:type="dxa"/>
            </w:tcMar>
            <w:shd w:fill="F7F9F7"/>
          </w:tcPr>
          <w:p>
            <w:r>
              <w:rPr>
                <w:rFonts w:ascii="Aptos" w:hAnsi="Aptos"/>
                <w:color w:val="1F2522"/>
                <w:sz w:val="17"/>
              </w:rPr>
              <w:t>Modes</w:t>
            </w:r>
          </w:p>
        </w:tc>
        <w:tc>
          <w:tcPr>
            <w:tcW w:type="dxa" w:w="7344"/>
            <w:tcMar>
              <w:top w:w="90" w:type="dxa"/>
              <w:start w:w="100" w:type="dxa"/>
              <w:bottom w:w="90" w:type="dxa"/>
              <w:end w:w="100" w:type="dxa"/>
            </w:tcMar>
            <w:shd w:fill="F7F9F7"/>
          </w:tcPr>
          <w:p>
            <w:r>
              <w:rPr>
                <w:rFonts w:ascii="Aptos" w:hAnsi="Aptos"/>
                <w:color w:val="1F2522"/>
                <w:sz w:val="17"/>
              </w:rPr>
              <w:t>purchase, download, read, use, print</w:t>
            </w:r>
          </w:p>
        </w:tc>
      </w:tr>
      <w:tr>
        <w:trPr>
          <w:cantSplit/>
        </w:trPr>
        <w:tc>
          <w:tcPr>
            <w:tcW w:type="dxa" w:w="2304"/>
            <w:tcMar>
              <w:top w:w="90" w:type="dxa"/>
              <w:start w:w="100" w:type="dxa"/>
              <w:bottom w:w="90" w:type="dxa"/>
              <w:end w:w="100" w:type="dxa"/>
            </w:tcMar>
          </w:tcPr>
          <w:p>
            <w:r>
              <w:rPr>
                <w:rFonts w:ascii="Aptos" w:hAnsi="Aptos"/>
                <w:color w:val="1F2522"/>
                <w:sz w:val="17"/>
              </w:rPr>
              <w:t>Channels</w:t>
            </w:r>
          </w:p>
        </w:tc>
        <w:tc>
          <w:tcPr>
            <w:tcW w:type="dxa" w:w="7344"/>
            <w:tcMar>
              <w:top w:w="90" w:type="dxa"/>
              <w:start w:w="100" w:type="dxa"/>
              <w:bottom w:w="90" w:type="dxa"/>
              <w:end w:w="100" w:type="dxa"/>
            </w:tcMar>
          </w:tcPr>
          <w:p>
            <w:r>
              <w:rPr>
                <w:rFonts w:ascii="Aptos" w:hAnsi="Aptos"/>
                <w:color w:val="1F2522"/>
                <w:sz w:val="17"/>
              </w:rPr>
              <w:t>Amazon/KDP, Etsy, future direct processor, web, external marketplace</w:t>
            </w:r>
          </w:p>
        </w:tc>
      </w:tr>
      <w:tr>
        <w:trPr>
          <w:cantSplit/>
        </w:trPr>
        <w:tc>
          <w:tcPr>
            <w:tcW w:type="dxa" w:w="2304"/>
            <w:tcMar>
              <w:top w:w="90" w:type="dxa"/>
              <w:start w:w="100" w:type="dxa"/>
              <w:bottom w:w="90" w:type="dxa"/>
              <w:end w:w="100" w:type="dxa"/>
            </w:tcMar>
            <w:shd w:fill="F7F9F7"/>
          </w:tcPr>
          <w:p>
            <w:r>
              <w:rPr>
                <w:rFonts w:ascii="Aptos" w:hAnsi="Aptos"/>
                <w:color w:val="1F2522"/>
                <w:sz w:val="17"/>
              </w:rPr>
              <w:t>Channel metadata</w:t>
            </w:r>
          </w:p>
        </w:tc>
        <w:tc>
          <w:tcPr>
            <w:tcW w:type="dxa" w:w="7344"/>
            <w:tcMar>
              <w:top w:w="90" w:type="dxa"/>
              <w:start w:w="100" w:type="dxa"/>
              <w:bottom w:w="90" w:type="dxa"/>
              <w:end w:w="100" w:type="dxa"/>
            </w:tcMar>
            <w:shd w:fill="F7F9F7"/>
          </w:tcPr>
          <w:p>
            <w:r>
              <w:rPr>
                <w:rFonts w:ascii="Aptos" w:hAnsi="Aptos"/>
                <w:color w:val="1F2522"/>
                <w:sz w:val="17"/>
              </w:rPr>
              <w:t>URL, format, optional verified price, provenance/freshness, operational health when implemented</w:t>
            </w:r>
          </w:p>
        </w:tc>
      </w:tr>
    </w:tbl>
    <w:p>
      <w:pPr>
        <w:spacing w:after="20"/>
      </w:pPr>
    </w:p>
    <w:p>
      <w:r>
        <w:t>FluxMint should display local price only when it controls or reliably synchronizes that price. Otherwise use truthful language such as “See current price.”</w:t>
      </w:r>
    </w:p>
    <w:p>
      <w:pPr>
        <w:pStyle w:val="Heading1"/>
      </w:pPr>
      <w:r>
        <w:t>7. Relationship Model</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Property</w:t>
            </w:r>
          </w:p>
        </w:tc>
        <w:tc>
          <w:tcPr>
            <w:tcW w:type="dxa" w:w="7344"/>
            <w:shd w:fill="25483A"/>
            <w:tcMar>
              <w:top w:w="90" w:type="dxa"/>
              <w:start w:w="100" w:type="dxa"/>
              <w:bottom w:w="90" w:type="dxa"/>
              <w:end w:w="100" w:type="dxa"/>
            </w:tcMar>
            <w:vAlign w:val="center"/>
          </w:tcPr>
          <w:p>
            <w:r>
              <w:rPr>
                <w:rFonts w:ascii="Aptos" w:hAnsi="Aptos"/>
                <w:b/>
                <w:color w:val="FFFFFF"/>
                <w:sz w:val="17"/>
              </w:rPr>
              <w:t>Contract</w:t>
            </w:r>
          </w:p>
        </w:tc>
      </w:tr>
      <w:tr>
        <w:trPr>
          <w:cantSplit/>
        </w:trPr>
        <w:tc>
          <w:tcPr>
            <w:tcW w:type="dxa" w:w="2304"/>
            <w:tcMar>
              <w:top w:w="90" w:type="dxa"/>
              <w:start w:w="100" w:type="dxa"/>
              <w:bottom w:w="90" w:type="dxa"/>
              <w:end w:w="100" w:type="dxa"/>
            </w:tcMar>
          </w:tcPr>
          <w:p>
            <w:r>
              <w:rPr>
                <w:rFonts w:ascii="Aptos" w:hAnsi="Aptos"/>
                <w:color w:val="1F2522"/>
                <w:sz w:val="17"/>
              </w:rPr>
              <w:t>Source</w:t>
            </w:r>
          </w:p>
        </w:tc>
        <w:tc>
          <w:tcPr>
            <w:tcW w:type="dxa" w:w="7344"/>
            <w:tcMar>
              <w:top w:w="90" w:type="dxa"/>
              <w:start w:w="100" w:type="dxa"/>
              <w:bottom w:w="90" w:type="dxa"/>
              <w:end w:w="100" w:type="dxa"/>
            </w:tcMar>
          </w:tcPr>
          <w:p>
            <w:r>
              <w:rPr>
                <w:rFonts w:ascii="Aptos" w:hAnsi="Aptos"/>
                <w:color w:val="1F2522"/>
                <w:sz w:val="17"/>
              </w:rPr>
              <w:t>Canonical Artifact initiating the relationship.</w:t>
            </w:r>
          </w:p>
        </w:tc>
      </w:tr>
      <w:tr>
        <w:trPr>
          <w:cantSplit/>
        </w:trPr>
        <w:tc>
          <w:tcPr>
            <w:tcW w:type="dxa" w:w="2304"/>
            <w:tcMar>
              <w:top w:w="90" w:type="dxa"/>
              <w:start w:w="100" w:type="dxa"/>
              <w:bottom w:w="90" w:type="dxa"/>
              <w:end w:w="100" w:type="dxa"/>
            </w:tcMar>
            <w:shd w:fill="F7F9F7"/>
          </w:tcPr>
          <w:p>
            <w:r>
              <w:rPr>
                <w:rFonts w:ascii="Aptos" w:hAnsi="Aptos"/>
                <w:color w:val="1F2522"/>
                <w:sz w:val="17"/>
              </w:rPr>
              <w:t>Type</w:t>
            </w:r>
          </w:p>
        </w:tc>
        <w:tc>
          <w:tcPr>
            <w:tcW w:type="dxa" w:w="7344"/>
            <w:tcMar>
              <w:top w:w="90" w:type="dxa"/>
              <w:start w:w="100" w:type="dxa"/>
              <w:bottom w:w="90" w:type="dxa"/>
              <w:end w:w="100" w:type="dxa"/>
            </w:tcMar>
            <w:shd w:fill="F7F9F7"/>
          </w:tcPr>
          <w:p>
            <w:r>
              <w:rPr>
                <w:rFonts w:ascii="Aptos" w:hAnsi="Aptos"/>
                <w:color w:val="1F2522"/>
                <w:sz w:val="17"/>
              </w:rPr>
              <w:t>Directional semantic relationship.</w:t>
            </w:r>
          </w:p>
        </w:tc>
      </w:tr>
      <w:tr>
        <w:trPr>
          <w:cantSplit/>
        </w:trPr>
        <w:tc>
          <w:tcPr>
            <w:tcW w:type="dxa" w:w="2304"/>
            <w:tcMar>
              <w:top w:w="90" w:type="dxa"/>
              <w:start w:w="100" w:type="dxa"/>
              <w:bottom w:w="90" w:type="dxa"/>
              <w:end w:w="100" w:type="dxa"/>
            </w:tcMar>
          </w:tcPr>
          <w:p>
            <w:r>
              <w:rPr>
                <w:rFonts w:ascii="Aptos" w:hAnsi="Aptos"/>
                <w:color w:val="1F2522"/>
                <w:sz w:val="17"/>
              </w:rPr>
              <w:t>Target</w:t>
            </w:r>
          </w:p>
        </w:tc>
        <w:tc>
          <w:tcPr>
            <w:tcW w:type="dxa" w:w="7344"/>
            <w:tcMar>
              <w:top w:w="90" w:type="dxa"/>
              <w:start w:w="100" w:type="dxa"/>
              <w:bottom w:w="90" w:type="dxa"/>
              <w:end w:w="100" w:type="dxa"/>
            </w:tcMar>
          </w:tcPr>
          <w:p>
            <w:r>
              <w:rPr>
                <w:rFonts w:ascii="Aptos" w:hAnsi="Aptos"/>
                <w:color w:val="1F2522"/>
                <w:sz w:val="17"/>
              </w:rPr>
              <w:t>Canonical target Artifact or actor/entity where appropriate.</w:t>
            </w:r>
          </w:p>
        </w:tc>
      </w:tr>
      <w:tr>
        <w:trPr>
          <w:cantSplit/>
        </w:trPr>
        <w:tc>
          <w:tcPr>
            <w:tcW w:type="dxa" w:w="2304"/>
            <w:tcMar>
              <w:top w:w="90" w:type="dxa"/>
              <w:start w:w="100" w:type="dxa"/>
              <w:bottom w:w="90" w:type="dxa"/>
              <w:end w:w="100" w:type="dxa"/>
            </w:tcMar>
            <w:shd w:fill="F7F9F7"/>
          </w:tcPr>
          <w:p>
            <w:r>
              <w:rPr>
                <w:rFonts w:ascii="Aptos" w:hAnsi="Aptos"/>
                <w:color w:val="1F2522"/>
                <w:sz w:val="17"/>
              </w:rPr>
              <w:t>Importance</w:t>
            </w:r>
          </w:p>
        </w:tc>
        <w:tc>
          <w:tcPr>
            <w:tcW w:type="dxa" w:w="7344"/>
            <w:tcMar>
              <w:top w:w="90" w:type="dxa"/>
              <w:start w:w="100" w:type="dxa"/>
              <w:bottom w:w="90" w:type="dxa"/>
              <w:end w:w="100" w:type="dxa"/>
            </w:tcMar>
            <w:shd w:fill="F7F9F7"/>
          </w:tcPr>
          <w:p>
            <w:r>
              <w:rPr>
                <w:rFonts w:ascii="Aptos" w:hAnsi="Aptos"/>
                <w:color w:val="1F2522"/>
                <w:sz w:val="17"/>
              </w:rPr>
              <w:t>Primary, Supporting, Peripheral.</w:t>
            </w:r>
          </w:p>
        </w:tc>
      </w:tr>
      <w:tr>
        <w:trPr>
          <w:cantSplit/>
        </w:trPr>
        <w:tc>
          <w:tcPr>
            <w:tcW w:type="dxa" w:w="2304"/>
            <w:tcMar>
              <w:top w:w="90" w:type="dxa"/>
              <w:start w:w="100" w:type="dxa"/>
              <w:bottom w:w="90" w:type="dxa"/>
              <w:end w:w="100" w:type="dxa"/>
            </w:tcMar>
          </w:tcPr>
          <w:p>
            <w:r>
              <w:rPr>
                <w:rFonts w:ascii="Aptos" w:hAnsi="Aptos"/>
                <w:color w:val="1F2522"/>
                <w:sz w:val="17"/>
              </w:rPr>
              <w:t>Provenance/status</w:t>
            </w:r>
          </w:p>
        </w:tc>
        <w:tc>
          <w:tcPr>
            <w:tcW w:type="dxa" w:w="7344"/>
            <w:tcMar>
              <w:top w:w="90" w:type="dxa"/>
              <w:start w:w="100" w:type="dxa"/>
              <w:bottom w:w="90" w:type="dxa"/>
              <w:end w:w="100" w:type="dxa"/>
            </w:tcMar>
          </w:tcPr>
          <w:p>
            <w:r>
              <w:rPr>
                <w:rFonts w:ascii="Aptos" w:hAnsi="Aptos"/>
                <w:color w:val="1F2522"/>
                <w:sz w:val="17"/>
              </w:rPr>
              <w:t>Canonical, Editorial, Evidentiary, Candidate, Historical.</w:t>
            </w:r>
          </w:p>
        </w:tc>
      </w:tr>
      <w:tr>
        <w:trPr>
          <w:cantSplit/>
        </w:trPr>
        <w:tc>
          <w:tcPr>
            <w:tcW w:type="dxa" w:w="2304"/>
            <w:tcMar>
              <w:top w:w="90" w:type="dxa"/>
              <w:start w:w="100" w:type="dxa"/>
              <w:bottom w:w="90" w:type="dxa"/>
              <w:end w:w="100" w:type="dxa"/>
            </w:tcMar>
            <w:shd w:fill="F7F9F7"/>
          </w:tcPr>
          <w:p>
            <w:r>
              <w:rPr>
                <w:rFonts w:ascii="Aptos" w:hAnsi="Aptos"/>
                <w:color w:val="1F2522"/>
                <w:sz w:val="17"/>
              </w:rPr>
              <w:t>Metadata</w:t>
            </w:r>
          </w:p>
        </w:tc>
        <w:tc>
          <w:tcPr>
            <w:tcW w:type="dxa" w:w="7344"/>
            <w:tcMar>
              <w:top w:w="90" w:type="dxa"/>
              <w:start w:w="100" w:type="dxa"/>
              <w:bottom w:w="90" w:type="dxa"/>
              <w:end w:w="100" w:type="dxa"/>
            </w:tcMar>
            <w:shd w:fill="F7F9F7"/>
          </w:tcPr>
          <w:p>
            <w:r>
              <w:rPr>
                <w:rFonts w:ascii="Aptos" w:hAnsi="Aptos"/>
                <w:color w:val="1F2522"/>
                <w:sz w:val="17"/>
              </w:rPr>
              <w:t>Only when the relationship requires order, role, context, date, or similar structured detail.</w:t>
            </w:r>
          </w:p>
        </w:tc>
      </w:tr>
    </w:tbl>
    <w:p>
      <w:pPr>
        <w:spacing w:after="20"/>
      </w:pPr>
    </w:p>
    <w:p>
      <w:pPr>
        <w:pStyle w:val="Heading1"/>
      </w:pPr>
      <w:r>
        <w:t>8. Canonical Relationship Vocabulary</w:t>
      </w:r>
    </w:p>
    <w:p>
      <w:pPr>
        <w:pStyle w:val="ListBullet"/>
        <w:spacing w:after="40"/>
      </w:pPr>
      <w:r>
        <w:rPr>
          <w:rFonts w:ascii="Aptos" w:hAnsi="Aptos"/>
          <w:sz w:val="20"/>
        </w:rPr>
        <w:t>Belongs To</w:t>
      </w:r>
    </w:p>
    <w:p>
      <w:pPr>
        <w:pStyle w:val="ListBullet"/>
        <w:spacing w:after="40"/>
      </w:pPr>
      <w:r>
        <w:rPr>
          <w:rFonts w:ascii="Aptos" w:hAnsi="Aptos"/>
          <w:sz w:val="20"/>
        </w:rPr>
        <w:t>Expands</w:t>
      </w:r>
    </w:p>
    <w:p>
      <w:pPr>
        <w:pStyle w:val="ListBullet"/>
        <w:spacing w:after="40"/>
      </w:pPr>
      <w:r>
        <w:rPr>
          <w:rFonts w:ascii="Aptos" w:hAnsi="Aptos"/>
          <w:sz w:val="20"/>
        </w:rPr>
        <w:t>Explains</w:t>
      </w:r>
    </w:p>
    <w:p>
      <w:pPr>
        <w:pStyle w:val="ListBullet"/>
        <w:spacing w:after="40"/>
      </w:pPr>
      <w:r>
        <w:rPr>
          <w:rFonts w:ascii="Aptos" w:hAnsi="Aptos"/>
          <w:sz w:val="20"/>
        </w:rPr>
        <w:t>Applies</w:t>
      </w:r>
    </w:p>
    <w:p>
      <w:pPr>
        <w:pStyle w:val="ListBullet"/>
        <w:spacing w:after="40"/>
      </w:pPr>
      <w:r>
        <w:rPr>
          <w:rFonts w:ascii="Aptos" w:hAnsi="Aptos"/>
          <w:sz w:val="20"/>
        </w:rPr>
        <w:t>Companion To</w:t>
      </w:r>
    </w:p>
    <w:p>
      <w:pPr>
        <w:pStyle w:val="ListBullet"/>
        <w:spacing w:after="40"/>
      </w:pPr>
      <w:r>
        <w:rPr>
          <w:rFonts w:ascii="Aptos" w:hAnsi="Aptos"/>
          <w:sz w:val="20"/>
        </w:rPr>
        <w:t>Derived From</w:t>
      </w:r>
    </w:p>
    <w:p>
      <w:pPr>
        <w:pStyle w:val="ListBullet"/>
        <w:spacing w:after="40"/>
      </w:pPr>
      <w:r>
        <w:rPr>
          <w:rFonts w:ascii="Aptos" w:hAnsi="Aptos"/>
          <w:sz w:val="20"/>
        </w:rPr>
        <w:t>Supports</w:t>
      </w:r>
    </w:p>
    <w:p>
      <w:pPr>
        <w:pStyle w:val="ListBullet"/>
        <w:spacing w:after="40"/>
      </w:pPr>
      <w:r>
        <w:rPr>
          <w:rFonts w:ascii="Aptos" w:hAnsi="Aptos"/>
          <w:sz w:val="20"/>
        </w:rPr>
        <w:t>Challenges</w:t>
      </w:r>
    </w:p>
    <w:p>
      <w:pPr>
        <w:pStyle w:val="ListBullet"/>
        <w:spacing w:after="40"/>
      </w:pPr>
      <w:r>
        <w:rPr>
          <w:rFonts w:ascii="Aptos" w:hAnsi="Aptos"/>
          <w:sz w:val="20"/>
        </w:rPr>
        <w:t>Supersedes</w:t>
      </w:r>
    </w:p>
    <w:p>
      <w:pPr>
        <w:pStyle w:val="ListBullet"/>
        <w:spacing w:after="40"/>
      </w:pPr>
      <w:r>
        <w:rPr>
          <w:rFonts w:ascii="Aptos" w:hAnsi="Aptos"/>
          <w:sz w:val="20"/>
        </w:rPr>
        <w:t>Inspired By</w:t>
      </w:r>
    </w:p>
    <w:p>
      <w:pPr>
        <w:pStyle w:val="ListBullet"/>
        <w:spacing w:after="40"/>
      </w:pPr>
      <w:r>
        <w:rPr>
          <w:rFonts w:ascii="Aptos" w:hAnsi="Aptos"/>
          <w:sz w:val="20"/>
        </w:rPr>
        <w:t>Available Through</w:t>
      </w:r>
    </w:p>
    <w:p>
      <w:pPr>
        <w:pStyle w:val="ListBullet"/>
        <w:spacing w:after="40"/>
      </w:pPr>
      <w:r>
        <w:rPr>
          <w:rFonts w:ascii="Aptos" w:hAnsi="Aptos"/>
          <w:sz w:val="20"/>
        </w:rPr>
        <w:t>Precedes / Follows</w:t>
      </w:r>
    </w:p>
    <w:p>
      <w:pPr>
        <w:pStyle w:val="ListBullet"/>
        <w:spacing w:after="40"/>
      </w:pPr>
      <w:r>
        <w:rPr>
          <w:rFonts w:ascii="Aptos" w:hAnsi="Aptos"/>
          <w:sz w:val="20"/>
        </w:rPr>
        <w:t>Edition Of / Version Of</w:t>
      </w:r>
    </w:p>
    <w:p>
      <w:pPr>
        <w:pStyle w:val="ListBullet"/>
        <w:spacing w:after="40"/>
      </w:pPr>
      <w:r>
        <w:rPr>
          <w:rFonts w:ascii="Aptos" w:hAnsi="Aptos"/>
          <w:sz w:val="20"/>
        </w:rPr>
        <w:t>Authored By / Built By / Owned By / Published By / Maintained By and equivalent responsibility relations</w:t>
      </w:r>
    </w:p>
    <w:p>
      <w:r>
        <w:t>Human-facing phrasing may vary by Surface and relationship direction while the canonical type/direction remains stable. Candidate relationships never appear as ordinary canonical navigation unless the Surface intentionally exposes candidate status.</w:t>
      </w:r>
    </w:p>
    <w:p>
      <w:pPr>
        <w:pStyle w:val="Heading1"/>
      </w:pPr>
      <w:r>
        <w:t>9. Lineage</w:t>
      </w:r>
    </w:p>
    <w:p>
      <w:r>
        <w:t>Lineage is primarily a specialized view over relationships such as Precedes, Follows, Supersedes, Derived From, Edition Of, and Version Of. New Artifact identity is created for genuinely new identity; continued evolution of the same identity is represented through revision/version records.</w:t>
      </w:r>
    </w:p>
    <w:p>
      <w:pPr>
        <w:pStyle w:val="Heading1"/>
      </w:pPr>
      <w:r>
        <w:t>10. Surface Placement</w:t>
      </w:r>
    </w:p>
    <w:tbl>
      <w:tblPr>
        <w:tblStyle w:val="TableGrid"/>
        <w:tblW w:type="auto" w:w="0"/>
        <w:jc w:val="center"/>
        <w:tblLook w:firstColumn="1" w:firstRow="1" w:lastColumn="0" w:lastRow="0" w:noHBand="0" w:noVBand="1" w:val="04A0"/>
      </w:tblPr>
      <w:tblGrid>
        <w:gridCol w:w="4997"/>
        <w:gridCol w:w="4997"/>
      </w:tblGrid>
      <w:tr>
        <w:trPr>
          <w:cantSplit/>
        </w:trPr>
        <w:tc>
          <w:tcPr>
            <w:tcW w:type="dxa" w:w="2592"/>
            <w:shd w:fill="25483A"/>
            <w:tcMar>
              <w:top w:w="90" w:type="dxa"/>
              <w:start w:w="100" w:type="dxa"/>
              <w:bottom w:w="90" w:type="dxa"/>
              <w:end w:w="100" w:type="dxa"/>
            </w:tcMar>
            <w:vAlign w:val="center"/>
          </w:tcPr>
          <w:p>
            <w:r>
              <w:rPr>
                <w:rFonts w:ascii="Aptos" w:hAnsi="Aptos"/>
                <w:b/>
                <w:color w:val="FFFFFF"/>
                <w:sz w:val="17"/>
              </w:rPr>
              <w:t>Property</w:t>
            </w:r>
          </w:p>
        </w:tc>
        <w:tc>
          <w:tcPr>
            <w:tcW w:type="dxa" w:w="7056"/>
            <w:shd w:fill="25483A"/>
            <w:tcMar>
              <w:top w:w="90" w:type="dxa"/>
              <w:start w:w="100" w:type="dxa"/>
              <w:bottom w:w="90" w:type="dxa"/>
              <w:end w:w="100" w:type="dxa"/>
            </w:tcMar>
            <w:vAlign w:val="center"/>
          </w:tcPr>
          <w:p>
            <w:r>
              <w:rPr>
                <w:rFonts w:ascii="Aptos" w:hAnsi="Aptos"/>
                <w:b/>
                <w:color w:val="FFFFFF"/>
                <w:sz w:val="17"/>
              </w:rPr>
              <w:t>Purpose</w:t>
            </w:r>
          </w:p>
        </w:tc>
      </w:tr>
      <w:tr>
        <w:trPr>
          <w:cantSplit/>
        </w:trPr>
        <w:tc>
          <w:tcPr>
            <w:tcW w:type="dxa" w:w="2592"/>
            <w:tcMar>
              <w:top w:w="90" w:type="dxa"/>
              <w:start w:w="100" w:type="dxa"/>
              <w:bottom w:w="90" w:type="dxa"/>
              <w:end w:w="100" w:type="dxa"/>
            </w:tcMar>
          </w:tcPr>
          <w:p>
            <w:r>
              <w:rPr>
                <w:rFonts w:ascii="Aptos" w:hAnsi="Aptos"/>
                <w:color w:val="1F2522"/>
                <w:sz w:val="17"/>
              </w:rPr>
              <w:t>Surface</w:t>
            </w:r>
          </w:p>
        </w:tc>
        <w:tc>
          <w:tcPr>
            <w:tcW w:type="dxa" w:w="7056"/>
            <w:tcMar>
              <w:top w:w="90" w:type="dxa"/>
              <w:start w:w="100" w:type="dxa"/>
              <w:bottom w:w="90" w:type="dxa"/>
              <w:end w:w="100" w:type="dxa"/>
            </w:tcMar>
          </w:tcPr>
          <w:p>
            <w:r>
              <w:rPr>
                <w:rFonts w:ascii="Aptos" w:hAnsi="Aptos"/>
                <w:color w:val="1F2522"/>
                <w:sz w:val="17"/>
              </w:rPr>
              <w:t>Presentation context.</w:t>
            </w:r>
          </w:p>
        </w:tc>
      </w:tr>
      <w:tr>
        <w:trPr>
          <w:cantSplit/>
        </w:trPr>
        <w:tc>
          <w:tcPr>
            <w:tcW w:type="dxa" w:w="2592"/>
            <w:tcMar>
              <w:top w:w="90" w:type="dxa"/>
              <w:start w:w="100" w:type="dxa"/>
              <w:bottom w:w="90" w:type="dxa"/>
              <w:end w:w="100" w:type="dxa"/>
            </w:tcMar>
            <w:shd w:fill="F7F9F7"/>
          </w:tcPr>
          <w:p>
            <w:r>
              <w:rPr>
                <w:rFonts w:ascii="Aptos" w:hAnsi="Aptos"/>
                <w:color w:val="1F2522"/>
                <w:sz w:val="17"/>
              </w:rPr>
              <w:t>Artifact</w:t>
            </w:r>
          </w:p>
        </w:tc>
        <w:tc>
          <w:tcPr>
            <w:tcW w:type="dxa" w:w="7056"/>
            <w:tcMar>
              <w:top w:w="90" w:type="dxa"/>
              <w:start w:w="100" w:type="dxa"/>
              <w:bottom w:w="90" w:type="dxa"/>
              <w:end w:w="100" w:type="dxa"/>
            </w:tcMar>
            <w:shd w:fill="F7F9F7"/>
          </w:tcPr>
          <w:p>
            <w:r>
              <w:rPr>
                <w:rFonts w:ascii="Aptos" w:hAnsi="Aptos"/>
                <w:color w:val="1F2522"/>
                <w:sz w:val="17"/>
              </w:rPr>
              <w:t>Canonical object being placed.</w:t>
            </w:r>
          </w:p>
        </w:tc>
      </w:tr>
      <w:tr>
        <w:trPr>
          <w:cantSplit/>
        </w:trPr>
        <w:tc>
          <w:tcPr>
            <w:tcW w:type="dxa" w:w="2592"/>
            <w:tcMar>
              <w:top w:w="90" w:type="dxa"/>
              <w:start w:w="100" w:type="dxa"/>
              <w:bottom w:w="90" w:type="dxa"/>
              <w:end w:w="100" w:type="dxa"/>
            </w:tcMar>
          </w:tcPr>
          <w:p>
            <w:r>
              <w:rPr>
                <w:rFonts w:ascii="Aptos" w:hAnsi="Aptos"/>
                <w:color w:val="1F2522"/>
                <w:sz w:val="17"/>
              </w:rPr>
              <w:t>Role</w:t>
            </w:r>
          </w:p>
        </w:tc>
        <w:tc>
          <w:tcPr>
            <w:tcW w:type="dxa" w:w="7056"/>
            <w:tcMar>
              <w:top w:w="90" w:type="dxa"/>
              <w:start w:w="100" w:type="dxa"/>
              <w:bottom w:w="90" w:type="dxa"/>
              <w:end w:w="100" w:type="dxa"/>
            </w:tcMar>
          </w:tcPr>
          <w:p>
            <w:r>
              <w:rPr>
                <w:rFonts w:ascii="Aptos" w:hAnsi="Aptos"/>
                <w:color w:val="1F2522"/>
                <w:sz w:val="17"/>
              </w:rPr>
              <w:t>Why the Artifact appears there: current_build, recent_release, current_inquiry, etc.</w:t>
            </w:r>
          </w:p>
        </w:tc>
      </w:tr>
      <w:tr>
        <w:trPr>
          <w:cantSplit/>
        </w:trPr>
        <w:tc>
          <w:tcPr>
            <w:tcW w:type="dxa" w:w="2592"/>
            <w:tcMar>
              <w:top w:w="90" w:type="dxa"/>
              <w:start w:w="100" w:type="dxa"/>
              <w:bottom w:w="90" w:type="dxa"/>
              <w:end w:w="100" w:type="dxa"/>
            </w:tcMar>
            <w:shd w:fill="F7F9F7"/>
          </w:tcPr>
          <w:p>
            <w:r>
              <w:rPr>
                <w:rFonts w:ascii="Aptos" w:hAnsi="Aptos"/>
                <w:color w:val="1F2522"/>
                <w:sz w:val="17"/>
              </w:rPr>
              <w:t>Order</w:t>
            </w:r>
          </w:p>
        </w:tc>
        <w:tc>
          <w:tcPr>
            <w:tcW w:type="dxa" w:w="7056"/>
            <w:tcMar>
              <w:top w:w="90" w:type="dxa"/>
              <w:start w:w="100" w:type="dxa"/>
              <w:bottom w:w="90" w:type="dxa"/>
              <w:end w:w="100" w:type="dxa"/>
            </w:tcMar>
            <w:shd w:fill="F7F9F7"/>
          </w:tcPr>
          <w:p>
            <w:r>
              <w:rPr>
                <w:rFonts w:ascii="Aptos" w:hAnsi="Aptos"/>
                <w:color w:val="1F2522"/>
                <w:sz w:val="17"/>
              </w:rPr>
              <w:t>Intentional curation order.</w:t>
            </w:r>
          </w:p>
        </w:tc>
      </w:tr>
      <w:tr>
        <w:trPr>
          <w:cantSplit/>
        </w:trPr>
        <w:tc>
          <w:tcPr>
            <w:tcW w:type="dxa" w:w="2592"/>
            <w:tcMar>
              <w:top w:w="90" w:type="dxa"/>
              <w:start w:w="100" w:type="dxa"/>
              <w:bottom w:w="90" w:type="dxa"/>
              <w:end w:w="100" w:type="dxa"/>
            </w:tcMar>
          </w:tcPr>
          <w:p>
            <w:r>
              <w:rPr>
                <w:rFonts w:ascii="Aptos" w:hAnsi="Aptos"/>
                <w:color w:val="1F2522"/>
                <w:sz w:val="17"/>
              </w:rPr>
              <w:t>Context copy</w:t>
            </w:r>
          </w:p>
        </w:tc>
        <w:tc>
          <w:tcPr>
            <w:tcW w:type="dxa" w:w="7056"/>
            <w:tcMar>
              <w:top w:w="90" w:type="dxa"/>
              <w:start w:w="100" w:type="dxa"/>
              <w:bottom w:w="90" w:type="dxa"/>
              <w:end w:w="100" w:type="dxa"/>
            </w:tcMar>
          </w:tcPr>
          <w:p>
            <w:r>
              <w:rPr>
                <w:rFonts w:ascii="Aptos" w:hAnsi="Aptos"/>
                <w:color w:val="1F2522"/>
                <w:sz w:val="17"/>
              </w:rPr>
              <w:t>Optional heading/teaser tied to this placement, not canonical identity.</w:t>
            </w:r>
          </w:p>
        </w:tc>
      </w:tr>
      <w:tr>
        <w:trPr>
          <w:cantSplit/>
        </w:trPr>
        <w:tc>
          <w:tcPr>
            <w:tcW w:type="dxa" w:w="2592"/>
            <w:tcMar>
              <w:top w:w="90" w:type="dxa"/>
              <w:start w:w="100" w:type="dxa"/>
              <w:bottom w:w="90" w:type="dxa"/>
              <w:end w:w="100" w:type="dxa"/>
            </w:tcMar>
            <w:shd w:fill="F7F9F7"/>
          </w:tcPr>
          <w:p>
            <w:r>
              <w:rPr>
                <w:rFonts w:ascii="Aptos" w:hAnsi="Aptos"/>
                <w:color w:val="1F2522"/>
                <w:sz w:val="17"/>
              </w:rPr>
              <w:t>Selected relationships</w:t>
            </w:r>
          </w:p>
        </w:tc>
        <w:tc>
          <w:tcPr>
            <w:tcW w:type="dxa" w:w="7056"/>
            <w:tcMar>
              <w:top w:w="90" w:type="dxa"/>
              <w:start w:w="100" w:type="dxa"/>
              <w:bottom w:w="90" w:type="dxa"/>
              <w:end w:w="100" w:type="dxa"/>
            </w:tcMar>
            <w:shd w:fill="F7F9F7"/>
          </w:tcPr>
          <w:p>
            <w:r>
              <w:rPr>
                <w:rFonts w:ascii="Aptos" w:hAnsi="Aptos"/>
                <w:color w:val="1F2522"/>
                <w:sz w:val="17"/>
              </w:rPr>
              <w:t>Optional subset chosen for this Surface.</w:t>
            </w:r>
          </w:p>
        </w:tc>
      </w:tr>
      <w:tr>
        <w:trPr>
          <w:cantSplit/>
        </w:trPr>
        <w:tc>
          <w:tcPr>
            <w:tcW w:type="dxa" w:w="2592"/>
            <w:tcMar>
              <w:top w:w="90" w:type="dxa"/>
              <w:start w:w="100" w:type="dxa"/>
              <w:bottom w:w="90" w:type="dxa"/>
              <w:end w:w="100" w:type="dxa"/>
            </w:tcMar>
          </w:tcPr>
          <w:p>
            <w:r>
              <w:rPr>
                <w:rFonts w:ascii="Aptos" w:hAnsi="Aptos"/>
                <w:color w:val="1F2522"/>
                <w:sz w:val="17"/>
              </w:rPr>
              <w:t>Presentation override</w:t>
            </w:r>
          </w:p>
        </w:tc>
        <w:tc>
          <w:tcPr>
            <w:tcW w:type="dxa" w:w="7056"/>
            <w:tcMar>
              <w:top w:w="90" w:type="dxa"/>
              <w:start w:w="100" w:type="dxa"/>
              <w:bottom w:w="90" w:type="dxa"/>
              <w:end w:w="100" w:type="dxa"/>
            </w:tcMar>
          </w:tcPr>
          <w:p>
            <w:r>
              <w:rPr>
                <w:rFonts w:ascii="Aptos" w:hAnsi="Aptos"/>
                <w:color w:val="1F2522"/>
                <w:sz w:val="17"/>
              </w:rPr>
              <w:t>Only allowed for legitimate Surface-specific presentation; never canonical truth.</w:t>
            </w:r>
          </w:p>
        </w:tc>
      </w:tr>
    </w:tbl>
    <w:p>
      <w:pPr>
        <w:spacing w:after="20"/>
      </w:pPr>
    </w:p>
    <w:p>
      <w:pPr>
        <w:pStyle w:val="FMCallout"/>
      </w:pPr>
      <w:r>
        <w:rPr>
          <w:rFonts w:ascii="Aptos" w:hAnsi="Aptos"/>
          <w:i/>
          <w:color w:val="25483A"/>
          <w:sz w:val="21"/>
        </w:rPr>
        <w:t>Featuring is a property of a Surface–Artifact placement, not of the Artifact.</w:t>
      </w:r>
    </w:p>
    <w:p>
      <w:pPr>
        <w:pStyle w:val="Heading1"/>
      </w:pPr>
      <w:r>
        <w:t>11. Canonical Assets</w:t>
      </w:r>
    </w:p>
    <w:p>
      <w:r>
        <w:t>Visual assets are associated with Artifacts or scene systems by role, such as cover, primary image, thumbnail, scene object, icon, or external preview. Responsive/crop variants remain variants of the same asset family. Surface names should not become duplicated truth-bearing asset identities.</w:t>
      </w:r>
    </w:p>
    <w:p>
      <w:pPr>
        <w:pStyle w:val="Heading1"/>
      </w:pPr>
      <w:r>
        <w:t>12. Content Authority Layers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Layer</w:t>
            </w:r>
          </w:p>
        </w:tc>
        <w:tc>
          <w:tcPr>
            <w:tcW w:type="dxa" w:w="2880"/>
            <w:shd w:fill="25483A"/>
            <w:tcMar>
              <w:top w:w="90" w:type="dxa"/>
              <w:start w:w="100" w:type="dxa"/>
              <w:bottom w:w="90" w:type="dxa"/>
              <w:end w:w="100" w:type="dxa"/>
            </w:tcMar>
            <w:vAlign w:val="center"/>
          </w:tcPr>
          <w:p>
            <w:r>
              <w:rPr>
                <w:rFonts w:ascii="Aptos" w:hAnsi="Aptos"/>
                <w:b/>
                <w:color w:val="FFFFFF"/>
                <w:sz w:val="17"/>
              </w:rPr>
              <w:t>Question</w:t>
            </w:r>
          </w:p>
        </w:tc>
        <w:tc>
          <w:tcPr>
            <w:tcW w:type="dxa" w:w="4464"/>
            <w:shd w:fill="25483A"/>
            <w:tcMar>
              <w:top w:w="90" w:type="dxa"/>
              <w:start w:w="100" w:type="dxa"/>
              <w:bottom w:w="90" w:type="dxa"/>
              <w:end w:w="100" w:type="dxa"/>
            </w:tcMar>
            <w:vAlign w:val="center"/>
          </w:tcPr>
          <w:p>
            <w:r>
              <w:rPr>
                <w:rFonts w:ascii="Aptos" w:hAnsi="Aptos"/>
                <w:b/>
                <w:color w:val="FFFFFF"/>
                <w:sz w:val="17"/>
              </w:rPr>
              <w:t>Rule</w:t>
            </w:r>
          </w:p>
        </w:tc>
      </w:tr>
      <w:tr>
        <w:trPr>
          <w:cantSplit/>
        </w:trPr>
        <w:tc>
          <w:tcPr>
            <w:tcW w:type="dxa" w:w="2304"/>
            <w:tcMar>
              <w:top w:w="90" w:type="dxa"/>
              <w:start w:w="100" w:type="dxa"/>
              <w:bottom w:w="90" w:type="dxa"/>
              <w:end w:w="100" w:type="dxa"/>
            </w:tcMar>
          </w:tcPr>
          <w:p>
            <w:r>
              <w:rPr>
                <w:rFonts w:ascii="Aptos" w:hAnsi="Aptos"/>
                <w:color w:val="1F2522"/>
                <w:sz w:val="17"/>
              </w:rPr>
              <w:t>Canonical data</w:t>
            </w:r>
          </w:p>
        </w:tc>
        <w:tc>
          <w:tcPr>
            <w:tcW w:type="dxa" w:w="2880"/>
            <w:tcMar>
              <w:top w:w="90" w:type="dxa"/>
              <w:start w:w="100" w:type="dxa"/>
              <w:bottom w:w="90" w:type="dxa"/>
              <w:end w:w="100" w:type="dxa"/>
            </w:tcMar>
          </w:tcPr>
          <w:p>
            <w:r>
              <w:rPr>
                <w:rFonts w:ascii="Aptos" w:hAnsi="Aptos"/>
                <w:color w:val="1F2522"/>
                <w:sz w:val="17"/>
              </w:rPr>
              <w:t>What is true now?</w:t>
            </w:r>
          </w:p>
        </w:tc>
        <w:tc>
          <w:tcPr>
            <w:tcW w:type="dxa" w:w="4464"/>
            <w:tcMar>
              <w:top w:w="90" w:type="dxa"/>
              <w:start w:w="100" w:type="dxa"/>
              <w:bottom w:w="90" w:type="dxa"/>
              <w:end w:w="100" w:type="dxa"/>
            </w:tcMar>
          </w:tcPr>
          <w:p>
            <w:r>
              <w:rPr>
                <w:rFonts w:ascii="Aptos" w:hAnsi="Aptos"/>
                <w:color w:val="1F2522"/>
                <w:sz w:val="17"/>
              </w:rPr>
              <w:t>One authority per factual property.</w:t>
            </w:r>
          </w:p>
        </w:tc>
      </w:tr>
      <w:tr>
        <w:trPr>
          <w:cantSplit/>
        </w:trPr>
        <w:tc>
          <w:tcPr>
            <w:tcW w:type="dxa" w:w="2304"/>
            <w:tcMar>
              <w:top w:w="90" w:type="dxa"/>
              <w:start w:w="100" w:type="dxa"/>
              <w:bottom w:w="90" w:type="dxa"/>
              <w:end w:w="100" w:type="dxa"/>
            </w:tcMar>
            <w:shd w:fill="F7F9F7"/>
          </w:tcPr>
          <w:p>
            <w:r>
              <w:rPr>
                <w:rFonts w:ascii="Aptos" w:hAnsi="Aptos"/>
                <w:color w:val="1F2522"/>
                <w:sz w:val="17"/>
              </w:rPr>
              <w:t>Derived presentation</w:t>
            </w:r>
          </w:p>
        </w:tc>
        <w:tc>
          <w:tcPr>
            <w:tcW w:type="dxa" w:w="2880"/>
            <w:tcMar>
              <w:top w:w="90" w:type="dxa"/>
              <w:start w:w="100" w:type="dxa"/>
              <w:bottom w:w="90" w:type="dxa"/>
              <w:end w:w="100" w:type="dxa"/>
            </w:tcMar>
            <w:shd w:fill="F7F9F7"/>
          </w:tcPr>
          <w:p>
            <w:r>
              <w:rPr>
                <w:rFonts w:ascii="Aptos" w:hAnsi="Aptos"/>
                <w:color w:val="1F2522"/>
                <w:sz w:val="17"/>
              </w:rPr>
              <w:t>What follows automatically?</w:t>
            </w:r>
          </w:p>
        </w:tc>
        <w:tc>
          <w:tcPr>
            <w:tcW w:type="dxa" w:w="4464"/>
            <w:tcMar>
              <w:top w:w="90" w:type="dxa"/>
              <w:start w:w="100" w:type="dxa"/>
              <w:bottom w:w="90" w:type="dxa"/>
              <w:end w:w="100" w:type="dxa"/>
            </w:tcMar>
            <w:shd w:fill="F7F9F7"/>
          </w:tcPr>
          <w:p>
            <w:r>
              <w:rPr>
                <w:rFonts w:ascii="Aptos" w:hAnsi="Aptos"/>
                <w:color w:val="1F2522"/>
                <w:sz w:val="17"/>
              </w:rPr>
              <w:t>Calculated from canonical data whenever reliable.</w:t>
            </w:r>
          </w:p>
        </w:tc>
      </w:tr>
      <w:tr>
        <w:trPr>
          <w:cantSplit/>
        </w:trPr>
        <w:tc>
          <w:tcPr>
            <w:tcW w:type="dxa" w:w="2304"/>
            <w:tcMar>
              <w:top w:w="90" w:type="dxa"/>
              <w:start w:w="100" w:type="dxa"/>
              <w:bottom w:w="90" w:type="dxa"/>
              <w:end w:w="100" w:type="dxa"/>
            </w:tcMar>
          </w:tcPr>
          <w:p>
            <w:r>
              <w:rPr>
                <w:rFonts w:ascii="Aptos" w:hAnsi="Aptos"/>
                <w:color w:val="1F2522"/>
                <w:sz w:val="17"/>
              </w:rPr>
              <w:t>Curated placement</w:t>
            </w:r>
          </w:p>
        </w:tc>
        <w:tc>
          <w:tcPr>
            <w:tcW w:type="dxa" w:w="2880"/>
            <w:tcMar>
              <w:top w:w="90" w:type="dxa"/>
              <w:start w:w="100" w:type="dxa"/>
              <w:bottom w:w="90" w:type="dxa"/>
              <w:end w:w="100" w:type="dxa"/>
            </w:tcMar>
          </w:tcPr>
          <w:p>
            <w:r>
              <w:rPr>
                <w:rFonts w:ascii="Aptos" w:hAnsi="Aptos"/>
                <w:color w:val="1F2522"/>
                <w:sz w:val="17"/>
              </w:rPr>
              <w:t>What is emphasized here?</w:t>
            </w:r>
          </w:p>
        </w:tc>
        <w:tc>
          <w:tcPr>
            <w:tcW w:type="dxa" w:w="4464"/>
            <w:tcMar>
              <w:top w:w="90" w:type="dxa"/>
              <w:start w:w="100" w:type="dxa"/>
              <w:bottom w:w="90" w:type="dxa"/>
              <w:end w:w="100" w:type="dxa"/>
            </w:tcMar>
          </w:tcPr>
          <w:p>
            <w:r>
              <w:rPr>
                <w:rFonts w:ascii="Aptos" w:hAnsi="Aptos"/>
                <w:color w:val="1F2522"/>
                <w:sz w:val="17"/>
              </w:rPr>
              <w:t>Intentional and Surface-specific.</w:t>
            </w:r>
          </w:p>
        </w:tc>
      </w:tr>
      <w:tr>
        <w:trPr>
          <w:cantSplit/>
        </w:trPr>
        <w:tc>
          <w:tcPr>
            <w:tcW w:type="dxa" w:w="2304"/>
            <w:tcMar>
              <w:top w:w="90" w:type="dxa"/>
              <w:start w:w="100" w:type="dxa"/>
              <w:bottom w:w="90" w:type="dxa"/>
              <w:end w:w="100" w:type="dxa"/>
            </w:tcMar>
            <w:shd w:fill="F7F9F7"/>
          </w:tcPr>
          <w:p>
            <w:r>
              <w:rPr>
                <w:rFonts w:ascii="Aptos" w:hAnsi="Aptos"/>
                <w:color w:val="1F2522"/>
                <w:sz w:val="17"/>
              </w:rPr>
              <w:t>Historical/editorial record</w:t>
            </w:r>
          </w:p>
        </w:tc>
        <w:tc>
          <w:tcPr>
            <w:tcW w:type="dxa" w:w="2880"/>
            <w:tcMar>
              <w:top w:w="90" w:type="dxa"/>
              <w:start w:w="100" w:type="dxa"/>
              <w:bottom w:w="90" w:type="dxa"/>
              <w:end w:w="100" w:type="dxa"/>
            </w:tcMar>
            <w:shd w:fill="F7F9F7"/>
          </w:tcPr>
          <w:p>
            <w:r>
              <w:rPr>
                <w:rFonts w:ascii="Aptos" w:hAnsi="Aptos"/>
                <w:color w:val="1F2522"/>
                <w:sz w:val="17"/>
              </w:rPr>
              <w:t>What was said/shown at a particular moment?</w:t>
            </w:r>
          </w:p>
        </w:tc>
        <w:tc>
          <w:tcPr>
            <w:tcW w:type="dxa" w:w="4464"/>
            <w:tcMar>
              <w:top w:w="90" w:type="dxa"/>
              <w:start w:w="100" w:type="dxa"/>
              <w:bottom w:w="90" w:type="dxa"/>
              <w:end w:w="100" w:type="dxa"/>
            </w:tcMar>
            <w:shd w:fill="F7F9F7"/>
          </w:tcPr>
          <w:p>
            <w:r>
              <w:rPr>
                <w:rFonts w:ascii="Aptos" w:hAnsi="Aptos"/>
                <w:color w:val="1F2522"/>
                <w:sz w:val="17"/>
              </w:rPr>
              <w:t>Preserved unless intentionally revised.</w:t>
            </w:r>
          </w:p>
        </w:tc>
      </w:tr>
    </w:tbl>
    <w:p>
      <w:pPr>
        <w:spacing w:after="20"/>
      </w:pPr>
    </w:p>
    <w:p>
      <w:pPr>
        <w:pStyle w:val="Heading1"/>
      </w:pPr>
      <w:r>
        <w:t>13. Update Propagation</w:t>
      </w:r>
    </w:p>
    <w:p>
      <w:pPr>
        <w:pStyle w:val="ListBullet"/>
        <w:spacing w:after="40"/>
      </w:pPr>
      <w:r>
        <w:rPr>
          <w:rFonts w:ascii="Aptos" w:hAnsi="Aptos"/>
          <w:sz w:val="20"/>
        </w:rPr>
        <w:t>Publication/release updates truth-bearing Surfaces automatically but do not automatically create promotional placement.</w:t>
      </w:r>
    </w:p>
    <w:p>
      <w:pPr>
        <w:pStyle w:val="ListBullet"/>
        <w:spacing w:after="40"/>
      </w:pPr>
      <w:r>
        <w:rPr>
          <w:rFonts w:ascii="Aptos" w:hAnsi="Aptos"/>
          <w:sz w:val="20"/>
        </w:rPr>
        <w:t>Series order derives from canonical membership and sequence metadata.</w:t>
      </w:r>
    </w:p>
    <w:p>
      <w:pPr>
        <w:pStyle w:val="ListBullet"/>
        <w:spacing w:after="40"/>
      </w:pPr>
      <w:r>
        <w:rPr>
          <w:rFonts w:ascii="Aptos" w:hAnsi="Aptos"/>
          <w:sz w:val="20"/>
        </w:rPr>
        <w:t>Availability labels and links derive from centralized channel data.</w:t>
      </w:r>
    </w:p>
    <w:p>
      <w:pPr>
        <w:pStyle w:val="ListBullet"/>
        <w:spacing w:after="40"/>
      </w:pPr>
      <w:r>
        <w:rPr>
          <w:rFonts w:ascii="Aptos" w:hAnsi="Aptos"/>
          <w:sz w:val="20"/>
        </w:rPr>
        <w:t>Relationships are authored once and may render contextually in multiple directions.</w:t>
      </w:r>
    </w:p>
    <w:p>
      <w:pPr>
        <w:pStyle w:val="ListBullet"/>
        <w:spacing w:after="40"/>
      </w:pPr>
      <w:r>
        <w:rPr>
          <w:rFonts w:ascii="Aptos" w:hAnsi="Aptos"/>
          <w:sz w:val="20"/>
        </w:rPr>
        <w:t>Canonical cover changes propagate to Surfaces that request the canonical cover role unless a legitimate variant is specified.</w:t>
      </w:r>
    </w:p>
    <w:p>
      <w:pPr>
        <w:pStyle w:val="ListBullet"/>
        <w:spacing w:after="40"/>
      </w:pPr>
      <w:r>
        <w:rPr>
          <w:rFonts w:ascii="Aptos" w:hAnsi="Aptos"/>
          <w:sz w:val="20"/>
        </w:rPr>
        <w:t>Current-state propagation stops at intentional historical snapshots or dated editorial prose.</w:t>
      </w:r>
    </w:p>
    <w:p>
      <w:pPr>
        <w:pStyle w:val="ListBullet"/>
        <w:spacing w:after="40"/>
      </w:pPr>
      <w:r>
        <w:rPr>
          <w:rFonts w:ascii="Aptos" w:hAnsi="Aptos"/>
          <w:sz w:val="20"/>
        </w:rPr>
        <w:t>Reusable canonical descriptions should avoid fragile time-dependent claims; structured state carries current condition.</w:t>
      </w:r>
    </w:p>
    <w:p>
      <w:pPr>
        <w:pStyle w:val="Heading1"/>
      </w:pPr>
      <w:r>
        <w:t>14. Governance</w:t>
      </w:r>
    </w:p>
    <w:tbl>
      <w:tblPr>
        <w:tblStyle w:val="TableGrid"/>
        <w:tblW w:type="auto" w:w="0"/>
        <w:jc w:val="center"/>
        <w:tblLook w:firstColumn="1" w:firstRow="1" w:lastColumn="0" w:lastRow="0" w:noHBand="0" w:noVBand="1" w:val="04A0"/>
      </w:tblPr>
      <w:tblGrid>
        <w:gridCol w:w="4997"/>
        <w:gridCol w:w="4997"/>
      </w:tblGrid>
      <w:tr>
        <w:trPr>
          <w:cantSplit/>
        </w:trPr>
        <w:tc>
          <w:tcPr>
            <w:tcW w:type="dxa" w:w="2016"/>
            <w:shd w:fill="25483A"/>
            <w:tcMar>
              <w:top w:w="90" w:type="dxa"/>
              <w:start w:w="100" w:type="dxa"/>
              <w:bottom w:w="90" w:type="dxa"/>
              <w:end w:w="100" w:type="dxa"/>
            </w:tcMar>
            <w:vAlign w:val="center"/>
          </w:tcPr>
          <w:p>
            <w:r>
              <w:rPr>
                <w:rFonts w:ascii="Aptos" w:hAnsi="Aptos"/>
                <w:b/>
                <w:color w:val="FFFFFF"/>
                <w:sz w:val="17"/>
              </w:rPr>
              <w:t>Governance state</w:t>
            </w:r>
          </w:p>
        </w:tc>
        <w:tc>
          <w:tcPr>
            <w:tcW w:type="dxa" w:w="7632"/>
            <w:shd w:fill="25483A"/>
            <w:tcMar>
              <w:top w:w="90" w:type="dxa"/>
              <w:start w:w="100" w:type="dxa"/>
              <w:bottom w:w="90" w:type="dxa"/>
              <w:end w:w="100" w:type="dxa"/>
            </w:tcMar>
            <w:vAlign w:val="center"/>
          </w:tcPr>
          <w:p>
            <w:r>
              <w:rPr>
                <w:rFonts w:ascii="Aptos" w:hAnsi="Aptos"/>
                <w:b/>
                <w:color w:val="FFFFFF"/>
                <w:sz w:val="17"/>
              </w:rPr>
              <w:t>Meaning</w:t>
            </w:r>
          </w:p>
        </w:tc>
      </w:tr>
      <w:tr>
        <w:trPr>
          <w:cantSplit/>
        </w:trPr>
        <w:tc>
          <w:tcPr>
            <w:tcW w:type="dxa" w:w="2016"/>
            <w:tcMar>
              <w:top w:w="90" w:type="dxa"/>
              <w:start w:w="100" w:type="dxa"/>
              <w:bottom w:w="90" w:type="dxa"/>
              <w:end w:w="100" w:type="dxa"/>
            </w:tcMar>
          </w:tcPr>
          <w:p>
            <w:r>
              <w:rPr>
                <w:rFonts w:ascii="Aptos" w:hAnsi="Aptos"/>
                <w:color w:val="1F2522"/>
                <w:sz w:val="17"/>
              </w:rPr>
              <w:t>Working</w:t>
            </w:r>
          </w:p>
        </w:tc>
        <w:tc>
          <w:tcPr>
            <w:tcW w:type="dxa" w:w="7632"/>
            <w:tcMar>
              <w:top w:w="90" w:type="dxa"/>
              <w:start w:w="100" w:type="dxa"/>
              <w:bottom w:w="90" w:type="dxa"/>
              <w:end w:w="100" w:type="dxa"/>
            </w:tcMar>
          </w:tcPr>
          <w:p>
            <w:r>
              <w:rPr>
                <w:rFonts w:ascii="Aptos" w:hAnsi="Aptos"/>
                <w:color w:val="1F2522"/>
                <w:sz w:val="17"/>
              </w:rPr>
              <w:t>Material may be developed without altering canonical Studio truth.</w:t>
            </w:r>
          </w:p>
        </w:tc>
      </w:tr>
      <w:tr>
        <w:trPr>
          <w:cantSplit/>
        </w:trPr>
        <w:tc>
          <w:tcPr>
            <w:tcW w:type="dxa" w:w="2016"/>
            <w:tcMar>
              <w:top w:w="90" w:type="dxa"/>
              <w:start w:w="100" w:type="dxa"/>
              <w:bottom w:w="90" w:type="dxa"/>
              <w:end w:w="100" w:type="dxa"/>
            </w:tcMar>
            <w:shd w:fill="F7F9F7"/>
          </w:tcPr>
          <w:p>
            <w:r>
              <w:rPr>
                <w:rFonts w:ascii="Aptos" w:hAnsi="Aptos"/>
                <w:color w:val="1F2522"/>
                <w:sz w:val="17"/>
              </w:rPr>
              <w:t>Proposed</w:t>
            </w:r>
          </w:p>
        </w:tc>
        <w:tc>
          <w:tcPr>
            <w:tcW w:type="dxa" w:w="7632"/>
            <w:tcMar>
              <w:top w:w="90" w:type="dxa"/>
              <w:start w:w="100" w:type="dxa"/>
              <w:bottom w:w="90" w:type="dxa"/>
              <w:end w:w="100" w:type="dxa"/>
            </w:tcMar>
            <w:shd w:fill="F7F9F7"/>
          </w:tcPr>
          <w:p>
            <w:r>
              <w:rPr>
                <w:rFonts w:ascii="Aptos" w:hAnsi="Aptos"/>
                <w:color w:val="1F2522"/>
                <w:sz w:val="17"/>
              </w:rPr>
              <w:t>An explicit candidate mutation or coherent change set ready for review.</w:t>
            </w:r>
          </w:p>
        </w:tc>
      </w:tr>
      <w:tr>
        <w:trPr>
          <w:cantSplit/>
        </w:trPr>
        <w:tc>
          <w:tcPr>
            <w:tcW w:type="dxa" w:w="2016"/>
            <w:tcMar>
              <w:top w:w="90" w:type="dxa"/>
              <w:start w:w="100" w:type="dxa"/>
              <w:bottom w:w="90" w:type="dxa"/>
              <w:end w:w="100" w:type="dxa"/>
            </w:tcMar>
          </w:tcPr>
          <w:p>
            <w:r>
              <w:rPr>
                <w:rFonts w:ascii="Aptos" w:hAnsi="Aptos"/>
                <w:color w:val="1F2522"/>
                <w:sz w:val="17"/>
              </w:rPr>
              <w:t>Canonical</w:t>
            </w:r>
          </w:p>
        </w:tc>
        <w:tc>
          <w:tcPr>
            <w:tcW w:type="dxa" w:w="7632"/>
            <w:tcMar>
              <w:top w:w="90" w:type="dxa"/>
              <w:start w:w="100" w:type="dxa"/>
              <w:bottom w:w="90" w:type="dxa"/>
              <w:end w:w="100" w:type="dxa"/>
            </w:tcMar>
          </w:tcPr>
          <w:p>
            <w:r>
              <w:rPr>
                <w:rFonts w:ascii="Aptos" w:hAnsi="Aptos"/>
                <w:color w:val="1F2522"/>
                <w:sz w:val="17"/>
              </w:rPr>
              <w:t>Accepted source-of-truth representation; not necessarily public, complete, available, or evidentially validated.</w:t>
            </w:r>
          </w:p>
        </w:tc>
      </w:tr>
    </w:tbl>
    <w:p>
      <w:pPr>
        <w:spacing w:after="20"/>
      </w:pPr>
    </w:p>
    <w:p>
      <w:r>
        <w:t>Governance never collapses into lifecycle. Technical readiness does not confer lifecycle promotion. Explicit DJ instruction authorizes the specifically requested semantic change; autonomous machine observation produces proposals unless the change is purely derived or mechanical.</w:t>
      </w:r>
    </w:p>
    <w:p>
      <w:pPr>
        <w:pStyle w:val="Heading1"/>
      </w:pPr>
      <w:r>
        <w:t>15. Change Sets and Receipts</w:t>
      </w:r>
    </w:p>
    <w:p>
      <w:r>
        <w:t>Related semantic mutations should be validated and committed as one logical change set when partial application could create contradiction. Canonical changes leave lightweight receipts recording what changed, when, why, who initiated it, and what process executed it where useful.</w:t>
      </w:r>
    </w:p>
    <w:p>
      <w:pPr>
        <w:pStyle w:val="Heading1"/>
      </w:pPr>
      <w:r>
        <w:t>16. Visibility and Safety Precedence</w:t>
      </w:r>
    </w:p>
    <w:p>
      <w:pPr>
        <w:pStyle w:val="FMCallout"/>
      </w:pPr>
      <w:r>
        <w:rPr>
          <w:rFonts w:ascii="Aptos" w:hAnsi="Aptos"/>
          <w:i/>
          <w:color w:val="25483A"/>
          <w:sz w:val="21"/>
        </w:rPr>
        <w:t>Visibility restrictions dominate Surface placement, relationships, Search, availability presentation, and lifecycle. No public path may expose restricted Artifact existence or metadata unless that disclosure itself is authorized.</w:t>
      </w:r>
    </w:p>
    <w:p>
      <w:pPr>
        <w:pStyle w:val="Heading1"/>
      </w:pPr>
      <w:r>
        <w:t>17. Architecture Wall Boundary</w:t>
      </w:r>
    </w:p>
    <w:p>
      <w:r>
        <w:t>Artifact-level lifecycle/governance never substitutes for claim-level evidentiary warrant. The deeper Architecture Wall/AEG system remains authoritative for claims, evidence, contradictions, confidence, and Alignment/Equivalence/Generation governance. Website canonicality means canonical representation, not scientific truth.</w:t>
      </w:r>
    </w:p>
    <w:p>
      <w:pPr>
        <w:pStyle w:val="Heading1"/>
      </w:pPr>
      <w:r>
        <w:t>18. Logical Example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shd w:fill="25483A"/>
            <w:tcMar>
              <w:top w:w="90" w:type="dxa"/>
              <w:start w:w="100" w:type="dxa"/>
              <w:bottom w:w="90" w:type="dxa"/>
              <w:end w:w="100" w:type="dxa"/>
            </w:tcMar>
            <w:vAlign w:val="center"/>
          </w:tcPr>
          <w:p>
            <w:r>
              <w:rPr>
                <w:rFonts w:ascii="Aptos" w:hAnsi="Aptos"/>
                <w:b/>
                <w:color w:val="FFFFFF"/>
                <w:sz w:val="17"/>
              </w:rPr>
              <w:t>Artifact</w:t>
            </w:r>
          </w:p>
        </w:tc>
        <w:tc>
          <w:tcPr>
            <w:tcW w:type="dxa" w:w="2880"/>
            <w:shd w:fill="25483A"/>
            <w:tcMar>
              <w:top w:w="90" w:type="dxa"/>
              <w:start w:w="100" w:type="dxa"/>
              <w:bottom w:w="90" w:type="dxa"/>
              <w:end w:w="100" w:type="dxa"/>
            </w:tcMar>
            <w:vAlign w:val="center"/>
          </w:tcPr>
          <w:p>
            <w:r>
              <w:rPr>
                <w:rFonts w:ascii="Aptos" w:hAnsi="Aptos"/>
                <w:b/>
                <w:color w:val="FFFFFF"/>
                <w:sz w:val="17"/>
              </w:rPr>
              <w:t>Type / Room</w:t>
            </w:r>
          </w:p>
        </w:tc>
        <w:tc>
          <w:tcPr>
            <w:tcW w:type="dxa" w:w="4464"/>
            <w:shd w:fill="25483A"/>
            <w:tcMar>
              <w:top w:w="90" w:type="dxa"/>
              <w:start w:w="100" w:type="dxa"/>
              <w:bottom w:w="90" w:type="dxa"/>
              <w:end w:w="100" w:type="dxa"/>
            </w:tcMar>
            <w:vAlign w:val="center"/>
          </w:tcPr>
          <w:p>
            <w:r>
              <w:rPr>
                <w:rFonts w:ascii="Aptos" w:hAnsi="Aptos"/>
                <w:b/>
                <w:color w:val="FFFFFF"/>
                <w:sz w:val="17"/>
              </w:rPr>
              <w:t>Key relationships / state</w:t>
            </w:r>
          </w:p>
        </w:tc>
      </w:tr>
      <w:tr>
        <w:trPr>
          <w:cantSplit/>
        </w:trPr>
        <w:tc>
          <w:tcPr>
            <w:tcW w:type="dxa" w:w="2304"/>
            <w:tcMar>
              <w:top w:w="90" w:type="dxa"/>
              <w:start w:w="100" w:type="dxa"/>
              <w:bottom w:w="90" w:type="dxa"/>
              <w:end w:w="100" w:type="dxa"/>
            </w:tcMar>
          </w:tcPr>
          <w:p>
            <w:r>
              <w:rPr>
                <w:rFonts w:ascii="Aptos" w:hAnsi="Aptos"/>
                <w:color w:val="1F2522"/>
                <w:sz w:val="17"/>
              </w:rPr>
              <w:t>The Architecture of Being Human</w:t>
            </w:r>
          </w:p>
        </w:tc>
        <w:tc>
          <w:tcPr>
            <w:tcW w:type="dxa" w:w="2880"/>
            <w:tcMar>
              <w:top w:w="90" w:type="dxa"/>
              <w:start w:w="100" w:type="dxa"/>
              <w:bottom w:w="90" w:type="dxa"/>
              <w:end w:w="100" w:type="dxa"/>
            </w:tcMar>
          </w:tcPr>
          <w:p>
            <w:r>
              <w:rPr>
                <w:rFonts w:ascii="Aptos" w:hAnsi="Aptos"/>
                <w:color w:val="1F2522"/>
                <w:sz w:val="17"/>
              </w:rPr>
              <w:t>Book / Library</w:t>
            </w:r>
          </w:p>
        </w:tc>
        <w:tc>
          <w:tcPr>
            <w:tcW w:type="dxa" w:w="4464"/>
            <w:tcMar>
              <w:top w:w="90" w:type="dxa"/>
              <w:start w:w="100" w:type="dxa"/>
              <w:bottom w:w="90" w:type="dxa"/>
              <w:end w:w="100" w:type="dxa"/>
            </w:tcMar>
          </w:tcPr>
          <w:p>
            <w:r>
              <w:rPr>
                <w:rFonts w:ascii="Aptos" w:hAnsi="Aptos"/>
                <w:color w:val="1F2522"/>
                <w:sz w:val="17"/>
              </w:rPr>
              <w:t>Belongs To Architecture Series; Authored By DJ; Published; Public; availability channels.</w:t>
            </w:r>
          </w:p>
        </w:tc>
      </w:tr>
      <w:tr>
        <w:trPr>
          <w:cantSplit/>
        </w:trPr>
        <w:tc>
          <w:tcPr>
            <w:tcW w:type="dxa" w:w="2304"/>
            <w:tcMar>
              <w:top w:w="90" w:type="dxa"/>
              <w:start w:w="100" w:type="dxa"/>
              <w:bottom w:w="90" w:type="dxa"/>
              <w:end w:w="100" w:type="dxa"/>
            </w:tcMar>
            <w:shd w:fill="F7F9F7"/>
          </w:tcPr>
          <w:p>
            <w:r>
              <w:rPr>
                <w:rFonts w:ascii="Aptos" w:hAnsi="Aptos"/>
                <w:color w:val="1F2522"/>
                <w:sz w:val="17"/>
              </w:rPr>
              <w:t>Mint Pro</w:t>
            </w:r>
          </w:p>
        </w:tc>
        <w:tc>
          <w:tcPr>
            <w:tcW w:type="dxa" w:w="2880"/>
            <w:tcMar>
              <w:top w:w="90" w:type="dxa"/>
              <w:start w:w="100" w:type="dxa"/>
              <w:bottom w:w="90" w:type="dxa"/>
              <w:end w:w="100" w:type="dxa"/>
            </w:tcMar>
            <w:shd w:fill="F7F9F7"/>
          </w:tcPr>
          <w:p>
            <w:r>
              <w:rPr>
                <w:rFonts w:ascii="Aptos" w:hAnsi="Aptos"/>
                <w:color w:val="1F2522"/>
                <w:sz w:val="17"/>
              </w:rPr>
              <w:t>Application / Workshop</w:t>
            </w:r>
          </w:p>
        </w:tc>
        <w:tc>
          <w:tcPr>
            <w:tcW w:type="dxa" w:w="4464"/>
            <w:tcMar>
              <w:top w:w="90" w:type="dxa"/>
              <w:start w:w="100" w:type="dxa"/>
              <w:bottom w:w="90" w:type="dxa"/>
              <w:end w:w="100" w:type="dxa"/>
            </w:tcMar>
            <w:shd w:fill="F7F9F7"/>
          </w:tcPr>
          <w:p>
            <w:r>
              <w:rPr>
                <w:rFonts w:ascii="Aptos" w:hAnsi="Aptos"/>
                <w:color w:val="1F2522"/>
                <w:sz w:val="17"/>
              </w:rPr>
              <w:t>Applies publishing architecture; Built By FluxMint/DJ; lifecycle and availability independently represented.</w:t>
            </w:r>
          </w:p>
        </w:tc>
      </w:tr>
      <w:tr>
        <w:trPr>
          <w:cantSplit/>
        </w:trPr>
        <w:tc>
          <w:tcPr>
            <w:tcW w:type="dxa" w:w="2304"/>
            <w:tcMar>
              <w:top w:w="90" w:type="dxa"/>
              <w:start w:w="100" w:type="dxa"/>
              <w:bottom w:w="90" w:type="dxa"/>
              <w:end w:w="100" w:type="dxa"/>
            </w:tcMar>
          </w:tcPr>
          <w:p>
            <w:r>
              <w:rPr>
                <w:rFonts w:ascii="Aptos" w:hAnsi="Aptos"/>
                <w:color w:val="1F2522"/>
                <w:sz w:val="17"/>
              </w:rPr>
              <w:t>Objective-First Architecture™</w:t>
            </w:r>
          </w:p>
        </w:tc>
        <w:tc>
          <w:tcPr>
            <w:tcW w:type="dxa" w:w="2880"/>
            <w:tcMar>
              <w:top w:w="90" w:type="dxa"/>
              <w:start w:w="100" w:type="dxa"/>
              <w:bottom w:w="90" w:type="dxa"/>
              <w:end w:w="100" w:type="dxa"/>
            </w:tcMar>
          </w:tcPr>
          <w:p>
            <w:r>
              <w:rPr>
                <w:rFonts w:ascii="Aptos" w:hAnsi="Aptos"/>
                <w:color w:val="1F2522"/>
                <w:sz w:val="17"/>
              </w:rPr>
              <w:t>Framework / Architecture Wall</w:t>
            </w:r>
          </w:p>
        </w:tc>
        <w:tc>
          <w:tcPr>
            <w:tcW w:type="dxa" w:w="4464"/>
            <w:tcMar>
              <w:top w:w="90" w:type="dxa"/>
              <w:start w:w="100" w:type="dxa"/>
              <w:bottom w:w="90" w:type="dxa"/>
              <w:end w:w="100" w:type="dxa"/>
            </w:tcMar>
          </w:tcPr>
          <w:p>
            <w:r>
              <w:rPr>
                <w:rFonts w:ascii="Aptos" w:hAnsi="Aptos"/>
                <w:color w:val="1F2522"/>
                <w:sz w:val="17"/>
              </w:rPr>
              <w:t>Created/Authored By DJ; Explained By essays; Applied through Meeting Table/Workshop.</w:t>
            </w:r>
          </w:p>
        </w:tc>
      </w:tr>
      <w:tr>
        <w:trPr>
          <w:cantSplit/>
        </w:trPr>
        <w:tc>
          <w:tcPr>
            <w:tcW w:type="dxa" w:w="2304"/>
            <w:tcMar>
              <w:top w:w="90" w:type="dxa"/>
              <w:start w:w="100" w:type="dxa"/>
              <w:bottom w:w="90" w:type="dxa"/>
              <w:end w:w="100" w:type="dxa"/>
            </w:tcMar>
            <w:shd w:fill="F7F9F7"/>
          </w:tcPr>
          <w:p>
            <w:r>
              <w:rPr>
                <w:rFonts w:ascii="Aptos" w:hAnsi="Aptos"/>
                <w:color w:val="1F2522"/>
                <w:sz w:val="17"/>
              </w:rPr>
              <w:t>The Architecture of Trust</w:t>
            </w:r>
          </w:p>
        </w:tc>
        <w:tc>
          <w:tcPr>
            <w:tcW w:type="dxa" w:w="2880"/>
            <w:tcMar>
              <w:top w:w="90" w:type="dxa"/>
              <w:start w:w="100" w:type="dxa"/>
              <w:bottom w:w="90" w:type="dxa"/>
              <w:end w:w="100" w:type="dxa"/>
            </w:tcMar>
            <w:shd w:fill="F7F9F7"/>
          </w:tcPr>
          <w:p>
            <w:r>
              <w:rPr>
                <w:rFonts w:ascii="Aptos" w:hAnsi="Aptos"/>
                <w:color w:val="1F2522"/>
                <w:sz w:val="17"/>
              </w:rPr>
              <w:t>Essay / Observatory</w:t>
            </w:r>
          </w:p>
        </w:tc>
        <w:tc>
          <w:tcPr>
            <w:tcW w:type="dxa" w:w="4464"/>
            <w:tcMar>
              <w:top w:w="90" w:type="dxa"/>
              <w:start w:w="100" w:type="dxa"/>
              <w:bottom w:w="90" w:type="dxa"/>
              <w:end w:w="100" w:type="dxa"/>
            </w:tcMar>
            <w:shd w:fill="F7F9F7"/>
          </w:tcPr>
          <w:p>
            <w:r>
              <w:rPr>
                <w:rFonts w:ascii="Aptos" w:hAnsi="Aptos"/>
                <w:color w:val="1F2522"/>
                <w:sz w:val="17"/>
              </w:rPr>
              <w:t>Authored By DJ; Topics; related to relevant frameworks/books.</w:t>
            </w:r>
          </w:p>
        </w:tc>
      </w:tr>
      <w:tr>
        <w:trPr>
          <w:cantSplit/>
        </w:trPr>
        <w:tc>
          <w:tcPr>
            <w:tcW w:type="dxa" w:w="2304"/>
            <w:tcMar>
              <w:top w:w="90" w:type="dxa"/>
              <w:start w:w="100" w:type="dxa"/>
              <w:bottom w:w="90" w:type="dxa"/>
              <w:end w:w="100" w:type="dxa"/>
            </w:tcMar>
          </w:tcPr>
          <w:p>
            <w:r>
              <w:rPr>
                <w:rFonts w:ascii="Aptos" w:hAnsi="Aptos"/>
                <w:color w:val="1F2522"/>
                <w:sz w:val="17"/>
              </w:rPr>
              <w:t>Private client app</w:t>
            </w:r>
          </w:p>
        </w:tc>
        <w:tc>
          <w:tcPr>
            <w:tcW w:type="dxa" w:w="2880"/>
            <w:tcMar>
              <w:top w:w="90" w:type="dxa"/>
              <w:start w:w="100" w:type="dxa"/>
              <w:bottom w:w="90" w:type="dxa"/>
              <w:end w:w="100" w:type="dxa"/>
            </w:tcMar>
          </w:tcPr>
          <w:p>
            <w:r>
              <w:rPr>
                <w:rFonts w:ascii="Aptos" w:hAnsi="Aptos"/>
                <w:color w:val="1F2522"/>
                <w:sz w:val="17"/>
              </w:rPr>
              <w:t>Application / Workshop</w:t>
            </w:r>
          </w:p>
        </w:tc>
        <w:tc>
          <w:tcPr>
            <w:tcW w:type="dxa" w:w="4464"/>
            <w:tcMar>
              <w:top w:w="90" w:type="dxa"/>
              <w:start w:w="100" w:type="dxa"/>
              <w:bottom w:w="90" w:type="dxa"/>
              <w:end w:w="100" w:type="dxa"/>
            </w:tcMar>
          </w:tcPr>
          <w:p>
            <w:r>
              <w:rPr>
                <w:rFonts w:ascii="Aptos" w:hAnsi="Aptos"/>
                <w:color w:val="1F2522"/>
                <w:sz w:val="17"/>
              </w:rPr>
              <w:t>Private/Internal; Owned By client; Built By FluxMint; no automatic public Surface.</w:t>
            </w:r>
          </w:p>
        </w:tc>
      </w:tr>
      <w:tr>
        <w:trPr>
          <w:cantSplit/>
        </w:trPr>
        <w:tc>
          <w:tcPr>
            <w:tcW w:type="dxa" w:w="2304"/>
            <w:tcMar>
              <w:top w:w="90" w:type="dxa"/>
              <w:start w:w="100" w:type="dxa"/>
              <w:bottom w:w="90" w:type="dxa"/>
              <w:end w:w="100" w:type="dxa"/>
            </w:tcMar>
            <w:shd w:fill="F7F9F7"/>
          </w:tcPr>
          <w:p>
            <w:r>
              <w:rPr>
                <w:rFonts w:ascii="Aptos" w:hAnsi="Aptos"/>
                <w:color w:val="1F2522"/>
                <w:sz w:val="17"/>
              </w:rPr>
              <w:t>Companion reflection cards</w:t>
            </w:r>
          </w:p>
        </w:tc>
        <w:tc>
          <w:tcPr>
            <w:tcW w:type="dxa" w:w="2880"/>
            <w:tcMar>
              <w:top w:w="90" w:type="dxa"/>
              <w:start w:w="100" w:type="dxa"/>
              <w:bottom w:w="90" w:type="dxa"/>
              <w:end w:w="100" w:type="dxa"/>
            </w:tcMar>
            <w:shd w:fill="F7F9F7"/>
          </w:tcPr>
          <w:p>
            <w:r>
              <w:rPr>
                <w:rFonts w:ascii="Aptos" w:hAnsi="Aptos"/>
                <w:color w:val="1F2522"/>
                <w:sz w:val="17"/>
              </w:rPr>
              <w:t>Physical Resource / Outfitters if acquisition-native</w:t>
            </w:r>
          </w:p>
        </w:tc>
        <w:tc>
          <w:tcPr>
            <w:tcW w:type="dxa" w:w="4464"/>
            <w:tcMar>
              <w:top w:w="90" w:type="dxa"/>
              <w:start w:w="100" w:type="dxa"/>
              <w:bottom w:w="90" w:type="dxa"/>
              <w:end w:w="100" w:type="dxa"/>
            </w:tcMar>
            <w:shd w:fill="F7F9F7"/>
          </w:tcPr>
          <w:p>
            <w:r>
              <w:rPr>
                <w:rFonts w:ascii="Aptos" w:hAnsi="Aptos"/>
                <w:color w:val="1F2522"/>
                <w:sz w:val="17"/>
              </w:rPr>
              <w:t>Companion To book; Available Through marketplace.</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