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b/>
          <w:color w:val="25483A"/>
          <w:sz w:val="48"/>
        </w:rPr>
        <w:t>03 · FluxMintDigital Experience &amp; Navigation Architecture</w:t>
      </w:r>
    </w:p>
    <w:p>
      <w:pPr>
        <w:spacing w:after="100"/>
      </w:pPr>
      <w:r>
        <w:rPr>
          <w:rFonts w:ascii="Aptos" w:hAnsi="Aptos"/>
          <w:color w:val="5C665F"/>
          <w:sz w:val="23"/>
        </w:rPr>
        <w:t>Canonical visitor journeys, orientation, search, semantic access, and responsive navigation</w:t>
      </w:r>
    </w:p>
    <w:p>
      <w:pPr>
        <w:spacing w:after="280"/>
      </w:pPr>
      <w:r>
        <w:rPr>
          <w:rFonts w:ascii="Aptos" w:hAnsi="Aptos"/>
          <w:b/>
          <w:color w:val="B19A5B"/>
          <w:sz w:val="17"/>
        </w:rPr>
        <w:t>v1.0 · September 3, 2026</w:t>
      </w:r>
    </w:p>
    <w:p>
      <w:pPr>
        <w:pStyle w:val="Heading1"/>
      </w:pPr>
      <w:r>
        <w:t>Document Role</w:t>
      </w:r>
    </w:p>
    <w:p>
      <w:pPr>
        <w:pStyle w:val="FMCallout"/>
      </w:pPr>
      <w:r>
        <w:rPr>
          <w:rFonts w:ascii="Aptos" w:hAnsi="Aptos"/>
          <w:i/>
          <w:color w:val="25483A"/>
          <w:sz w:val="21"/>
        </w:rPr>
        <w:t>FluxMint supports wandering but never requires wandering. Every meaningful immersive path has a semantic equivalent.</w:t>
      </w:r>
    </w:p>
    <w:p>
      <w:r>
        <w:t>This document governs how visitors enter, orient, navigate, search, move between Artifacts and Rooms, preserve context, and recover when immersive features are unavailable.</w:t>
      </w:r>
    </w:p>
    <w:p>
      <w:r>
        <w:rPr>
          <w:rFonts w:ascii="Aptos" w:hAnsi="Aptos"/>
          <w:b/>
          <w:color w:val="1F2522"/>
        </w:rPr>
        <w:t xml:space="preserve">Authority relationship: </w:t>
      </w:r>
      <w:r>
        <w:rPr>
          <w:rFonts w:ascii="Aptos" w:hAnsi="Aptos"/>
          <w:color w:val="1F2522"/>
        </w:rPr>
        <w:t>Inherits Studio Architecture and Content/Data truth; governs visitor-facing movement and orientation.</w:t>
      </w:r>
    </w:p>
    <w:p>
      <w:pPr>
        <w:pStyle w:val="Heading1"/>
      </w:pPr>
      <w:r>
        <w:t>1. Universal Orientation Rule</w:t>
      </w:r>
    </w:p>
    <w:p>
      <w:pPr>
        <w:pStyle w:val="FMCallout"/>
      </w:pPr>
      <w:r>
        <w:rPr>
          <w:rFonts w:ascii="Aptos" w:hAnsi="Aptos"/>
          <w:i/>
          <w:color w:val="25483A"/>
          <w:sz w:val="21"/>
        </w:rPr>
        <w:t>Every substantial page should answer: Where am I? What is this? Where can I go next?</w:t>
      </w:r>
    </w:p>
    <w:p>
      <w:pPr>
        <w:pStyle w:val="Heading1"/>
      </w:pPr>
      <w:r>
        <w:t>2. Visitor Modes</w:t>
      </w:r>
    </w:p>
    <w:tbl>
      <w:tblPr>
        <w:tblStyle w:val="TableGrid"/>
        <w:tblW w:type="auto" w:w="0"/>
        <w:jc w:val="center"/>
        <w:tblLook w:firstColumn="1" w:firstRow="1" w:lastColumn="0" w:lastRow="0" w:noHBand="0" w:noVBand="1" w:val="04A0"/>
      </w:tblPr>
      <w:tblGrid>
        <w:gridCol w:w="4997"/>
        <w:gridCol w:w="4997"/>
      </w:tblGrid>
      <w:tr>
        <w:trPr>
          <w:cantSplit/>
        </w:trPr>
        <w:tc>
          <w:tcPr>
            <w:tcW w:type="dxa" w:w="2160"/>
            <w:shd w:fill="25483A"/>
            <w:tcMar>
              <w:top w:w="90" w:type="dxa"/>
              <w:start w:w="100" w:type="dxa"/>
              <w:bottom w:w="90" w:type="dxa"/>
              <w:end w:w="100" w:type="dxa"/>
            </w:tcMar>
            <w:vAlign w:val="center"/>
          </w:tcPr>
          <w:p>
            <w:r>
              <w:rPr>
                <w:rFonts w:ascii="Aptos" w:hAnsi="Aptos"/>
                <w:b/>
                <w:color w:val="FFFFFF"/>
                <w:sz w:val="17"/>
              </w:rPr>
              <w:t>Mode</w:t>
            </w:r>
          </w:p>
        </w:tc>
        <w:tc>
          <w:tcPr>
            <w:tcW w:type="dxa" w:w="7488"/>
            <w:shd w:fill="25483A"/>
            <w:tcMar>
              <w:top w:w="90" w:type="dxa"/>
              <w:start w:w="100" w:type="dxa"/>
              <w:bottom w:w="90" w:type="dxa"/>
              <w:end w:w="100" w:type="dxa"/>
            </w:tcMar>
            <w:vAlign w:val="center"/>
          </w:tcPr>
          <w:p>
            <w:r>
              <w:rPr>
                <w:rFonts w:ascii="Aptos" w:hAnsi="Aptos"/>
                <w:b/>
                <w:color w:val="FFFFFF"/>
                <w:sz w:val="17"/>
              </w:rPr>
              <w:t>Expected behavior</w:t>
            </w:r>
          </w:p>
        </w:tc>
      </w:tr>
      <w:tr>
        <w:trPr>
          <w:cantSplit/>
        </w:trPr>
        <w:tc>
          <w:tcPr>
            <w:tcW w:type="dxa" w:w="2160"/>
            <w:tcMar>
              <w:top w:w="90" w:type="dxa"/>
              <w:start w:w="100" w:type="dxa"/>
              <w:bottom w:w="90" w:type="dxa"/>
              <w:end w:w="100" w:type="dxa"/>
            </w:tcMar>
          </w:tcPr>
          <w:p>
            <w:r>
              <w:rPr>
                <w:rFonts w:ascii="Aptos" w:hAnsi="Aptos"/>
                <w:color w:val="1F2522"/>
                <w:sz w:val="17"/>
              </w:rPr>
              <w:t>First-time</w:t>
            </w:r>
          </w:p>
        </w:tc>
        <w:tc>
          <w:tcPr>
            <w:tcW w:type="dxa" w:w="7488"/>
            <w:tcMar>
              <w:top w:w="90" w:type="dxa"/>
              <w:start w:w="100" w:type="dxa"/>
              <w:bottom w:w="90" w:type="dxa"/>
              <w:end w:w="100" w:type="dxa"/>
            </w:tcMar>
          </w:tcPr>
          <w:p>
            <w:r>
              <w:rPr>
                <w:rFonts w:ascii="Aptos" w:hAnsi="Aptos"/>
                <w:color w:val="1F2522"/>
                <w:sz w:val="17"/>
              </w:rPr>
              <w:t>Optional Forest/Cabin choreography, light skippable orientation, then Main Studio/free exploration.</w:t>
            </w:r>
          </w:p>
        </w:tc>
      </w:tr>
      <w:tr>
        <w:trPr>
          <w:cantSplit/>
        </w:trPr>
        <w:tc>
          <w:tcPr>
            <w:tcW w:type="dxa" w:w="2160"/>
            <w:tcMar>
              <w:top w:w="90" w:type="dxa"/>
              <w:start w:w="100" w:type="dxa"/>
              <w:bottom w:w="90" w:type="dxa"/>
              <w:end w:w="100" w:type="dxa"/>
            </w:tcMar>
            <w:shd w:fill="F7F9F7"/>
          </w:tcPr>
          <w:p>
            <w:r>
              <w:rPr>
                <w:rFonts w:ascii="Aptos" w:hAnsi="Aptos"/>
                <w:color w:val="1F2522"/>
                <w:sz w:val="17"/>
              </w:rPr>
              <w:t>Returning</w:t>
            </w:r>
          </w:p>
        </w:tc>
        <w:tc>
          <w:tcPr>
            <w:tcW w:type="dxa" w:w="7488"/>
            <w:tcMar>
              <w:top w:w="90" w:type="dxa"/>
              <w:start w:w="100" w:type="dxa"/>
              <w:bottom w:w="90" w:type="dxa"/>
              <w:end w:w="100" w:type="dxa"/>
            </w:tcMar>
            <w:shd w:fill="F7F9F7"/>
          </w:tcPr>
          <w:p>
            <w:r>
              <w:rPr>
                <w:rFonts w:ascii="Aptos" w:hAnsi="Aptos"/>
                <w:color w:val="1F2522"/>
                <w:sz w:val="17"/>
              </w:rPr>
              <w:t>May enter Main Studio directly; perceives meaningful change through Desk/Now and stateful objects rather than notification clutter.</w:t>
            </w:r>
          </w:p>
        </w:tc>
      </w:tr>
      <w:tr>
        <w:trPr>
          <w:cantSplit/>
        </w:trPr>
        <w:tc>
          <w:tcPr>
            <w:tcW w:type="dxa" w:w="2160"/>
            <w:tcMar>
              <w:top w:w="90" w:type="dxa"/>
              <w:start w:w="100" w:type="dxa"/>
              <w:bottom w:w="90" w:type="dxa"/>
              <w:end w:w="100" w:type="dxa"/>
            </w:tcMar>
          </w:tcPr>
          <w:p>
            <w:r>
              <w:rPr>
                <w:rFonts w:ascii="Aptos" w:hAnsi="Aptos"/>
                <w:color w:val="1F2522"/>
                <w:sz w:val="17"/>
              </w:rPr>
              <w:t>Intentional/direct</w:t>
            </w:r>
          </w:p>
        </w:tc>
        <w:tc>
          <w:tcPr>
            <w:tcW w:type="dxa" w:w="7488"/>
            <w:tcMar>
              <w:top w:w="90" w:type="dxa"/>
              <w:start w:w="100" w:type="dxa"/>
              <w:bottom w:w="90" w:type="dxa"/>
              <w:end w:w="100" w:type="dxa"/>
            </w:tcMar>
          </w:tcPr>
          <w:p>
            <w:r>
              <w:rPr>
                <w:rFonts w:ascii="Aptos" w:hAnsi="Aptos"/>
                <w:color w:val="1F2522"/>
                <w:sz w:val="17"/>
              </w:rPr>
              <w:t>Uses global navigation, Search, direct URLs, or known Room paths without being forced through narrative sequence.</w:t>
            </w:r>
          </w:p>
        </w:tc>
      </w:tr>
      <w:tr>
        <w:trPr>
          <w:cantSplit/>
        </w:trPr>
        <w:tc>
          <w:tcPr>
            <w:tcW w:type="dxa" w:w="2160"/>
            <w:tcMar>
              <w:top w:w="90" w:type="dxa"/>
              <w:start w:w="100" w:type="dxa"/>
              <w:bottom w:w="90" w:type="dxa"/>
              <w:end w:w="100" w:type="dxa"/>
            </w:tcMar>
            <w:shd w:fill="F7F9F7"/>
          </w:tcPr>
          <w:p>
            <w:r>
              <w:rPr>
                <w:rFonts w:ascii="Aptos" w:hAnsi="Aptos"/>
                <w:color w:val="1F2522"/>
                <w:sz w:val="17"/>
              </w:rPr>
              <w:t>Deep-linked</w:t>
            </w:r>
          </w:p>
        </w:tc>
        <w:tc>
          <w:tcPr>
            <w:tcW w:type="dxa" w:w="7488"/>
            <w:tcMar>
              <w:top w:w="90" w:type="dxa"/>
              <w:start w:w="100" w:type="dxa"/>
              <w:bottom w:w="90" w:type="dxa"/>
              <w:end w:w="100" w:type="dxa"/>
            </w:tcMar>
            <w:shd w:fill="F7F9F7"/>
          </w:tcPr>
          <w:p>
            <w:r>
              <w:rPr>
                <w:rFonts w:ascii="Aptos" w:hAnsi="Aptos"/>
                <w:color w:val="1F2522"/>
                <w:sz w:val="17"/>
              </w:rPr>
              <w:t>Lands directly on Artifact; receives local Room context, location receipt, meaningful next paths, and return route.</w:t>
            </w:r>
          </w:p>
        </w:tc>
      </w:tr>
    </w:tbl>
    <w:p>
      <w:pPr>
        <w:spacing w:after="20"/>
      </w:pPr>
    </w:p>
    <w:p>
      <w:pPr>
        <w:pStyle w:val="Heading1"/>
      </w:pPr>
      <w:r>
        <w:t>3. Navigation Layers</w:t>
      </w:r>
    </w:p>
    <w:p>
      <w:pPr>
        <w:pStyle w:val="ListNumber"/>
        <w:spacing w:after="40"/>
      </w:pPr>
      <w:r>
        <w:rPr>
          <w:rFonts w:ascii="Aptos" w:hAnsi="Aptos"/>
          <w:sz w:val="20"/>
        </w:rPr>
        <w:t>Global Studio Navigation — durable Rooms and essential utilities, not product categories.</w:t>
      </w:r>
    </w:p>
    <w:p>
      <w:pPr>
        <w:pStyle w:val="ListNumber"/>
        <w:spacing w:after="40"/>
      </w:pPr>
      <w:r>
        <w:rPr>
          <w:rFonts w:ascii="Aptos" w:hAnsi="Aptos"/>
          <w:sz w:val="20"/>
        </w:rPr>
        <w:t>Room Navigation — local depth, Divisions/series/forms only where useful.</w:t>
      </w:r>
    </w:p>
    <w:p>
      <w:pPr>
        <w:pStyle w:val="ListNumber"/>
        <w:spacing w:after="40"/>
      </w:pPr>
      <w:r>
        <w:rPr>
          <w:rFonts w:ascii="Aptos" w:hAnsi="Aptos"/>
          <w:sz w:val="20"/>
        </w:rPr>
        <w:t>Artifact Navigation — relationship-driven movement from the current object.</w:t>
      </w:r>
    </w:p>
    <w:p>
      <w:pPr>
        <w:pStyle w:val="ListNumber"/>
        <w:spacing w:after="40"/>
      </w:pPr>
      <w:r>
        <w:rPr>
          <w:rFonts w:ascii="Aptos" w:hAnsi="Aptos"/>
          <w:sz w:val="20"/>
        </w:rPr>
        <w:t>Breadcrumbs / Location Receipts — conventional orientation into the canonical hierarchy.</w:t>
      </w:r>
    </w:p>
    <w:p>
      <w:pPr>
        <w:pStyle w:val="ListNumber"/>
        <w:spacing w:after="40"/>
      </w:pPr>
      <w:r>
        <w:rPr>
          <w:rFonts w:ascii="Aptos" w:hAnsi="Aptos"/>
          <w:sz w:val="20"/>
        </w:rPr>
        <w:t>Search — cross-Room retrieval that preserves Room, type, state, relationship, and series context.</w:t>
      </w:r>
    </w:p>
    <w:p>
      <w:pPr>
        <w:pStyle w:val="Heading1"/>
      </w:pPr>
      <w:r>
        <w:t>4. Global Semantic Destinations</w:t>
      </w:r>
    </w:p>
    <w:p>
      <w:r>
        <w:t>The semantic architecture exposes Studio, Library, Workshop, Architecture Wall, Observatory, Meeting Table, Explorer Outfitters, Meet DJ, and Search. Exact visible order or desktop/mobile composition may vary, but the durable domains do not revert to the old Books/Apps/Tools/Science/Services/Blog/Store taxonomy.</w:t>
      </w:r>
    </w:p>
    <w:p>
      <w:pPr>
        <w:pStyle w:val="Heading1"/>
      </w:pPr>
      <w:r>
        <w:t>5. Studio Root and Thresholds</w:t>
      </w:r>
    </w:p>
    <w:p>
      <w:pPr>
        <w:pStyle w:val="ListBullet"/>
        <w:spacing w:after="40"/>
      </w:pPr>
      <w:r>
        <w:rPr>
          <w:rFonts w:ascii="Aptos" w:hAnsi="Aptos"/>
          <w:sz w:val="20"/>
        </w:rPr>
        <w:t>`/` conceptually represents Studio entry rather than a separate generic Home concept.</w:t>
      </w:r>
    </w:p>
    <w:p>
      <w:pPr>
        <w:pStyle w:val="ListBullet"/>
        <w:spacing w:after="40"/>
      </w:pPr>
      <w:r>
        <w:rPr>
          <w:rFonts w:ascii="Aptos" w:hAnsi="Aptos"/>
          <w:sz w:val="20"/>
        </w:rPr>
        <w:t>Forest and Cabin Exterior are optional Threshold Surfaces and may be skipped by returning/direct/deep-linked visitors.</w:t>
      </w:r>
    </w:p>
    <w:p>
      <w:pPr>
        <w:pStyle w:val="ListBullet"/>
        <w:spacing w:after="40"/>
      </w:pPr>
      <w:r>
        <w:rPr>
          <w:rFonts w:ascii="Aptos" w:hAnsi="Aptos"/>
          <w:sz w:val="20"/>
        </w:rPr>
        <w:t>Thresholds introduce atmosphere and language; they never create a splash-screen trap.</w:t>
      </w:r>
    </w:p>
    <w:p>
      <w:pPr>
        <w:pStyle w:val="ListBullet"/>
        <w:spacing w:after="40"/>
      </w:pPr>
      <w:r>
        <w:rPr>
          <w:rFonts w:ascii="Aptos" w:hAnsi="Aptos"/>
          <w:sz w:val="20"/>
        </w:rPr>
        <w:t>Main Studio is the persistent hub behind the threshold experience.</w:t>
      </w:r>
    </w:p>
    <w:p>
      <w:pPr>
        <w:pStyle w:val="Heading1"/>
      </w:pPr>
      <w:r>
        <w:t>6. Main Studio Experience</w:t>
      </w:r>
    </w:p>
    <w:p>
      <w:pPr>
        <w:pStyle w:val="ListBullet"/>
        <w:spacing w:after="40"/>
      </w:pPr>
      <w:r>
        <w:rPr>
          <w:rFonts w:ascii="Aptos" w:hAnsi="Aptos"/>
          <w:sz w:val="20"/>
        </w:rPr>
        <w:t>Desk/Now exposes only a small curated set of meaningful current Artifacts.</w:t>
      </w:r>
    </w:p>
    <w:p>
      <w:pPr>
        <w:pStyle w:val="ListBullet"/>
        <w:spacing w:after="40"/>
      </w:pPr>
      <w:r>
        <w:rPr>
          <w:rFonts w:ascii="Aptos" w:hAnsi="Aptos"/>
          <w:sz w:val="20"/>
        </w:rPr>
        <w:t>Studio Map provides spatial orientation while the menu provides semantic orientation.</w:t>
      </w:r>
    </w:p>
    <w:p>
      <w:pPr>
        <w:pStyle w:val="ListBullet"/>
        <w:spacing w:after="40"/>
      </w:pPr>
      <w:r>
        <w:rPr>
          <w:rFonts w:ascii="Aptos" w:hAnsi="Aptos"/>
          <w:sz w:val="20"/>
        </w:rPr>
        <w:t>Room entrances are threshold interactions. Object interactions reveal Artifact meaning. Ambient interactions are optional atmosphere/reward.</w:t>
      </w:r>
    </w:p>
    <w:p>
      <w:pPr>
        <w:pStyle w:val="ListBullet"/>
        <w:spacing w:after="40"/>
      </w:pPr>
      <w:r>
        <w:rPr>
          <w:rFonts w:ascii="Aptos" w:hAnsi="Aptos"/>
          <w:sz w:val="20"/>
        </w:rPr>
        <w:t>Not everything visible is clickable. Decorative density must not become interaction density.</w:t>
      </w:r>
    </w:p>
    <w:p>
      <w:pPr>
        <w:pStyle w:val="ListBullet"/>
        <w:spacing w:after="40"/>
      </w:pPr>
      <w:r>
        <w:rPr>
          <w:rFonts w:ascii="Aptos" w:hAnsi="Aptos"/>
          <w:sz w:val="20"/>
        </w:rPr>
        <w:t>Explorer DJ may orient or accompany the visitor but is never required for access.</w:t>
      </w:r>
    </w:p>
    <w:p>
      <w:pPr>
        <w:pStyle w:val="Heading1"/>
      </w:pPr>
      <w:r>
        <w:t>7. Room Navigation</w:t>
      </w:r>
    </w:p>
    <w:p>
      <w:r>
        <w:t>Every Room uses the common structural skeleton Threshold → Identity → Primary Workspace → Depth Layer → Relationship Exits → Return Path. A Room has one dominant visitor interaction and no more than two secondary patterns. Divisions exist only when they reduce cognitive load and represent stable branches likely to contain multiple Artifacts.</w:t>
      </w:r>
    </w:p>
    <w:p>
      <w:pPr>
        <w:pStyle w:val="Heading1"/>
      </w:pPr>
      <w:r>
        <w:t>8. Artifact Navigation</w:t>
      </w:r>
    </w:p>
    <w:p>
      <w:r>
        <w:t>Artifact detail pages prioritize identity, canonical location, purpose/content, state where relevant, a small number of meaningful relationships, and the appropriate next action. Relationship exits use Studio-native human language while preserving canonical relationship semantics.</w:t>
      </w:r>
    </w:p>
    <w:tbl>
      <w:tblPr>
        <w:tblStyle w:val="TableGrid"/>
        <w:tblW w:type="auto" w:w="0"/>
        <w:jc w:val="center"/>
        <w:tblLook w:firstColumn="1" w:firstRow="1" w:lastColumn="0" w:lastRow="0" w:noHBand="0" w:noVBand="1" w:val="04A0"/>
      </w:tblPr>
      <w:tblGrid>
        <w:gridCol w:w="4997"/>
        <w:gridCol w:w="4997"/>
      </w:tblGrid>
      <w:tr>
        <w:trPr>
          <w:cantSplit/>
        </w:trPr>
        <w:tc>
          <w:tcPr>
            <w:tcW w:type="dxa" w:w="2448"/>
            <w:shd w:fill="25483A"/>
            <w:tcMar>
              <w:top w:w="90" w:type="dxa"/>
              <w:start w:w="100" w:type="dxa"/>
              <w:bottom w:w="90" w:type="dxa"/>
              <w:end w:w="100" w:type="dxa"/>
            </w:tcMar>
            <w:vAlign w:val="center"/>
          </w:tcPr>
          <w:p>
            <w:r>
              <w:rPr>
                <w:rFonts w:ascii="Aptos" w:hAnsi="Aptos"/>
                <w:b/>
                <w:color w:val="FFFFFF"/>
                <w:sz w:val="17"/>
              </w:rPr>
              <w:t>Canonical relation</w:t>
            </w:r>
          </w:p>
        </w:tc>
        <w:tc>
          <w:tcPr>
            <w:tcW w:type="dxa" w:w="7200"/>
            <w:shd w:fill="25483A"/>
            <w:tcMar>
              <w:top w:w="90" w:type="dxa"/>
              <w:start w:w="100" w:type="dxa"/>
              <w:bottom w:w="90" w:type="dxa"/>
              <w:end w:w="100" w:type="dxa"/>
            </w:tcMar>
            <w:vAlign w:val="center"/>
          </w:tcPr>
          <w:p>
            <w:r>
              <w:rPr>
                <w:rFonts w:ascii="Aptos" w:hAnsi="Aptos"/>
                <w:b/>
                <w:color w:val="FFFFFF"/>
                <w:sz w:val="17"/>
              </w:rPr>
              <w:t>Possible context wording</w:t>
            </w:r>
          </w:p>
        </w:tc>
      </w:tr>
      <w:tr>
        <w:trPr>
          <w:cantSplit/>
        </w:trPr>
        <w:tc>
          <w:tcPr>
            <w:tcW w:type="dxa" w:w="2448"/>
            <w:tcMar>
              <w:top w:w="90" w:type="dxa"/>
              <w:start w:w="100" w:type="dxa"/>
              <w:bottom w:w="90" w:type="dxa"/>
              <w:end w:w="100" w:type="dxa"/>
            </w:tcMar>
          </w:tcPr>
          <w:p>
            <w:r>
              <w:rPr>
                <w:rFonts w:ascii="Aptos" w:hAnsi="Aptos"/>
                <w:color w:val="1F2522"/>
                <w:sz w:val="17"/>
              </w:rPr>
              <w:t>Companion To</w:t>
            </w:r>
          </w:p>
        </w:tc>
        <w:tc>
          <w:tcPr>
            <w:tcW w:type="dxa" w:w="7200"/>
            <w:tcMar>
              <w:top w:w="90" w:type="dxa"/>
              <w:start w:w="100" w:type="dxa"/>
              <w:bottom w:w="90" w:type="dxa"/>
              <w:end w:w="100" w:type="dxa"/>
            </w:tcMar>
          </w:tcPr>
          <w:p>
            <w:r>
              <w:rPr>
                <w:rFonts w:ascii="Aptos" w:hAnsi="Aptos"/>
                <w:color w:val="1F2522"/>
                <w:sz w:val="17"/>
              </w:rPr>
              <w:t>Put It Into Practice → / Read the Ideas Behind This →</w:t>
            </w:r>
          </w:p>
        </w:tc>
      </w:tr>
      <w:tr>
        <w:trPr>
          <w:cantSplit/>
        </w:trPr>
        <w:tc>
          <w:tcPr>
            <w:tcW w:type="dxa" w:w="2448"/>
            <w:tcMar>
              <w:top w:w="90" w:type="dxa"/>
              <w:start w:w="100" w:type="dxa"/>
              <w:bottom w:w="90" w:type="dxa"/>
              <w:end w:w="100" w:type="dxa"/>
            </w:tcMar>
            <w:shd w:fill="F7F9F7"/>
          </w:tcPr>
          <w:p>
            <w:r>
              <w:rPr>
                <w:rFonts w:ascii="Aptos" w:hAnsi="Aptos"/>
                <w:color w:val="1F2522"/>
                <w:sz w:val="17"/>
              </w:rPr>
              <w:t>Explains</w:t>
            </w:r>
          </w:p>
        </w:tc>
        <w:tc>
          <w:tcPr>
            <w:tcW w:type="dxa" w:w="7200"/>
            <w:tcMar>
              <w:top w:w="90" w:type="dxa"/>
              <w:start w:w="100" w:type="dxa"/>
              <w:bottom w:w="90" w:type="dxa"/>
              <w:end w:w="100" w:type="dxa"/>
            </w:tcMar>
            <w:shd w:fill="F7F9F7"/>
          </w:tcPr>
          <w:p>
            <w:r>
              <w:rPr>
                <w:rFonts w:ascii="Aptos" w:hAnsi="Aptos"/>
                <w:color w:val="1F2522"/>
                <w:sz w:val="17"/>
              </w:rPr>
              <w:t>Read the Explanation → / See What This Explains →</w:t>
            </w:r>
          </w:p>
        </w:tc>
      </w:tr>
      <w:tr>
        <w:trPr>
          <w:cantSplit/>
        </w:trPr>
        <w:tc>
          <w:tcPr>
            <w:tcW w:type="dxa" w:w="2448"/>
            <w:tcMar>
              <w:top w:w="90" w:type="dxa"/>
              <w:start w:w="100" w:type="dxa"/>
              <w:bottom w:w="90" w:type="dxa"/>
              <w:end w:w="100" w:type="dxa"/>
            </w:tcMar>
          </w:tcPr>
          <w:p>
            <w:r>
              <w:rPr>
                <w:rFonts w:ascii="Aptos" w:hAnsi="Aptos"/>
                <w:color w:val="1F2522"/>
                <w:sz w:val="17"/>
              </w:rPr>
              <w:t>Applies</w:t>
            </w:r>
          </w:p>
        </w:tc>
        <w:tc>
          <w:tcPr>
            <w:tcW w:type="dxa" w:w="7200"/>
            <w:tcMar>
              <w:top w:w="90" w:type="dxa"/>
              <w:start w:w="100" w:type="dxa"/>
              <w:bottom w:w="90" w:type="dxa"/>
              <w:end w:w="100" w:type="dxa"/>
            </w:tcMar>
          </w:tcPr>
          <w:p>
            <w:r>
              <w:rPr>
                <w:rFonts w:ascii="Aptos" w:hAnsi="Aptos"/>
                <w:color w:val="1F2522"/>
                <w:sz w:val="17"/>
              </w:rPr>
              <w:t>See It Applied → / Explore the Architecture Behind This →</w:t>
            </w:r>
          </w:p>
        </w:tc>
      </w:tr>
      <w:tr>
        <w:trPr>
          <w:cantSplit/>
        </w:trPr>
        <w:tc>
          <w:tcPr>
            <w:tcW w:type="dxa" w:w="2448"/>
            <w:tcMar>
              <w:top w:w="90" w:type="dxa"/>
              <w:start w:w="100" w:type="dxa"/>
              <w:bottom w:w="90" w:type="dxa"/>
              <w:end w:w="100" w:type="dxa"/>
            </w:tcMar>
            <w:shd w:fill="F7F9F7"/>
          </w:tcPr>
          <w:p>
            <w:r>
              <w:rPr>
                <w:rFonts w:ascii="Aptos" w:hAnsi="Aptos"/>
                <w:color w:val="1F2522"/>
                <w:sz w:val="17"/>
              </w:rPr>
              <w:t>Belongs To</w:t>
            </w:r>
          </w:p>
        </w:tc>
        <w:tc>
          <w:tcPr>
            <w:tcW w:type="dxa" w:w="7200"/>
            <w:tcMar>
              <w:top w:w="90" w:type="dxa"/>
              <w:start w:w="100" w:type="dxa"/>
              <w:bottom w:w="90" w:type="dxa"/>
              <w:end w:w="100" w:type="dxa"/>
            </w:tcMar>
            <w:shd w:fill="F7F9F7"/>
          </w:tcPr>
          <w:p>
            <w:r>
              <w:rPr>
                <w:rFonts w:ascii="Aptos" w:hAnsi="Aptos"/>
                <w:color w:val="1F2522"/>
                <w:sz w:val="17"/>
              </w:rPr>
              <w:t>Part of the Architecture Series →</w:t>
            </w:r>
          </w:p>
        </w:tc>
      </w:tr>
      <w:tr>
        <w:trPr>
          <w:cantSplit/>
        </w:trPr>
        <w:tc>
          <w:tcPr>
            <w:tcW w:type="dxa" w:w="2448"/>
            <w:tcMar>
              <w:top w:w="90" w:type="dxa"/>
              <w:start w:w="100" w:type="dxa"/>
              <w:bottom w:w="90" w:type="dxa"/>
              <w:end w:w="100" w:type="dxa"/>
            </w:tcMar>
          </w:tcPr>
          <w:p>
            <w:r>
              <w:rPr>
                <w:rFonts w:ascii="Aptos" w:hAnsi="Aptos"/>
                <w:color w:val="1F2522"/>
                <w:sz w:val="17"/>
              </w:rPr>
              <w:t>Supersedes</w:t>
            </w:r>
          </w:p>
        </w:tc>
        <w:tc>
          <w:tcPr>
            <w:tcW w:type="dxa" w:w="7200"/>
            <w:tcMar>
              <w:top w:w="90" w:type="dxa"/>
              <w:start w:w="100" w:type="dxa"/>
              <w:bottom w:w="90" w:type="dxa"/>
              <w:end w:w="100" w:type="dxa"/>
            </w:tcMar>
          </w:tcPr>
          <w:p>
            <w:r>
              <w:rPr>
                <w:rFonts w:ascii="Aptos" w:hAnsi="Aptos"/>
                <w:color w:val="1F2522"/>
                <w:sz w:val="17"/>
              </w:rPr>
              <w:t>See the Current Model → / Replaces →</w:t>
            </w:r>
          </w:p>
        </w:tc>
      </w:tr>
    </w:tbl>
    <w:p>
      <w:pPr>
        <w:spacing w:after="20"/>
      </w:pPr>
    </w:p>
    <w:p>
      <w:pPr>
        <w:pStyle w:val="Heading1"/>
      </w:pPr>
      <w:r>
        <w:t>9. Breadcrumbs / Location Receipts</w:t>
      </w:r>
    </w:p>
    <w:p>
      <w:r>
        <w:t>Location receipts are derived from canonical structure, not manually authored per page. Examples: Studio → Library → Architecture Series → The Architecture of Being Human; Studio → Observatory → The Architecture of Trust. Conventional clarity wins over thematic renaming for this utility.</w:t>
      </w:r>
    </w:p>
    <w:p>
      <w:pPr>
        <w:pStyle w:val="Heading1"/>
      </w:pPr>
      <w:r>
        <w:t>10. Search</w:t>
      </w:r>
    </w:p>
    <w:p>
      <w:pPr>
        <w:pStyle w:val="ListBullet"/>
        <w:spacing w:after="40"/>
      </w:pPr>
      <w:r>
        <w:rPr>
          <w:rFonts w:ascii="Aptos" w:hAnsi="Aptos"/>
          <w:sz w:val="20"/>
        </w:rPr>
        <w:t>Search indexes canonical public truth and preserves semantic context rather than flattening results.</w:t>
      </w:r>
    </w:p>
    <w:p>
      <w:pPr>
        <w:pStyle w:val="ListBullet"/>
        <w:spacing w:after="40"/>
      </w:pPr>
      <w:r>
        <w:rPr>
          <w:rFonts w:ascii="Aptos" w:hAnsi="Aptos"/>
          <w:sz w:val="20"/>
        </w:rPr>
        <w:t>Results identify title, Artifact type, canonical Room, short description, and useful state/series/topic context.</w:t>
      </w:r>
    </w:p>
    <w:p>
      <w:pPr>
        <w:pStyle w:val="ListBullet"/>
        <w:spacing w:after="40"/>
      </w:pPr>
      <w:r>
        <w:rPr>
          <w:rFonts w:ascii="Aptos" w:hAnsi="Aptos"/>
          <w:sz w:val="20"/>
        </w:rPr>
        <w:t>Private/Internal Artifacts are excluded. Unlisted Artifacts are normally excluded from discovery.</w:t>
      </w:r>
    </w:p>
    <w:p>
      <w:pPr>
        <w:pStyle w:val="ListBullet"/>
        <w:spacing w:after="40"/>
      </w:pPr>
      <w:r>
        <w:rPr>
          <w:rFonts w:ascii="Aptos" w:hAnsi="Aptos"/>
          <w:sz w:val="20"/>
        </w:rPr>
        <w:t>Superseded/historical Artifacts may remain searchable with visible historical context.</w:t>
      </w:r>
    </w:p>
    <w:p>
      <w:pPr>
        <w:pStyle w:val="ListBullet"/>
        <w:spacing w:after="40"/>
      </w:pPr>
      <w:r>
        <w:rPr>
          <w:rFonts w:ascii="Aptos" w:hAnsi="Aptos"/>
          <w:sz w:val="20"/>
        </w:rPr>
        <w:t>Search is rebuildable derived state, never an independent authority.</w:t>
      </w:r>
    </w:p>
    <w:p>
      <w:pPr>
        <w:pStyle w:val="ListBullet"/>
        <w:spacing w:after="40"/>
      </w:pPr>
      <w:r>
        <w:rPr>
          <w:rFonts w:ascii="Aptos" w:hAnsi="Aptos"/>
          <w:sz w:val="20"/>
        </w:rPr>
        <w:t>Under uncertainty, temporary underexposure is preferable to unauthorized exposure.</w:t>
      </w:r>
    </w:p>
    <w:p>
      <w:pPr>
        <w:pStyle w:val="Heading1"/>
      </w:pPr>
      <w:r>
        <w:t>11. Context Preservation</w:t>
      </w:r>
    </w:p>
    <w:p>
      <w:r>
        <w:t>Returning from an Artifact to a Room should preserve useful local context where practical: prior series, filter, shelf, topic, or semantic position. Natural browser Back behavior is preserved. The site should not hijack history or force visitors to restart at Main Studio.</w:t>
      </w:r>
    </w:p>
    <w:p>
      <w:pPr>
        <w:pStyle w:val="Heading1"/>
      </w:pPr>
      <w:r>
        <w:t>12. Mobile Architecture</w:t>
      </w:r>
    </w:p>
    <w:p>
      <w:pPr>
        <w:pStyle w:val="FMCallout"/>
      </w:pPr>
      <w:r>
        <w:rPr>
          <w:rFonts w:ascii="Aptos" w:hAnsi="Aptos"/>
          <w:i/>
          <w:color w:val="25483A"/>
          <w:sz w:val="21"/>
        </w:rPr>
        <w:t>Mobile inherits the Studio’s semantics, not necessarily its desktop geometry.</w:t>
      </w:r>
    </w:p>
    <w:p>
      <w:pPr>
        <w:pStyle w:val="ListBullet"/>
        <w:spacing w:after="40"/>
      </w:pPr>
      <w:r>
        <w:rPr>
          <w:rFonts w:ascii="Aptos" w:hAnsi="Aptos"/>
          <w:sz w:val="20"/>
        </w:rPr>
        <w:t>Desktop and mobile share canonical routes, Artifacts, Rooms, relationships, and Surface purpose.</w:t>
      </w:r>
    </w:p>
    <w:p>
      <w:pPr>
        <w:pStyle w:val="ListBullet"/>
        <w:spacing w:after="40"/>
      </w:pPr>
      <w:r>
        <w:rPr>
          <w:rFonts w:ascii="Aptos" w:hAnsi="Aptos"/>
          <w:sz w:val="20"/>
        </w:rPr>
        <w:t>Mobile uses deliberate vertical/spatial compositions rather than arbitrary desktop crops.</w:t>
      </w:r>
    </w:p>
    <w:p>
      <w:pPr>
        <w:pStyle w:val="ListBullet"/>
        <w:spacing w:after="40"/>
      </w:pPr>
      <w:r>
        <w:rPr>
          <w:rFonts w:ascii="Aptos" w:hAnsi="Aptos"/>
          <w:sz w:val="20"/>
        </w:rPr>
        <w:t>Hover-dependent meaning is prohibited; tap/focus equivalents are provided where needed.</w:t>
      </w:r>
    </w:p>
    <w:p>
      <w:pPr>
        <w:pStyle w:val="ListBullet"/>
        <w:spacing w:after="40"/>
      </w:pPr>
      <w:r>
        <w:rPr>
          <w:rFonts w:ascii="Aptos" w:hAnsi="Aptos"/>
          <w:sz w:val="20"/>
        </w:rPr>
        <w:t>A compact mobile aperture such as Studio / Explore / Search / Now may be implemented if it preserves the same underlying architecture.</w:t>
      </w:r>
    </w:p>
    <w:p>
      <w:pPr>
        <w:pStyle w:val="ListBullet"/>
        <w:spacing w:after="40"/>
      </w:pPr>
      <w:r>
        <w:rPr>
          <w:rFonts w:ascii="Aptos" w:hAnsi="Aptos"/>
          <w:sz w:val="20"/>
        </w:rPr>
        <w:t>Room identity is carried by landmark relationships and purpose, not exact desktop pixel coordinates.</w:t>
      </w:r>
    </w:p>
    <w:p>
      <w:pPr>
        <w:pStyle w:val="Heading1"/>
      </w:pPr>
      <w:r>
        <w:t>13. Accessibility and Fallback</w:t>
      </w:r>
    </w:p>
    <w:p>
      <w:pPr>
        <w:pStyle w:val="ListBullet"/>
        <w:spacing w:after="40"/>
      </w:pPr>
      <w:r>
        <w:rPr>
          <w:rFonts w:ascii="Aptos" w:hAnsi="Aptos"/>
          <w:sz w:val="20"/>
        </w:rPr>
        <w:t>Motion may enrich but never carry unique required meaning.</w:t>
      </w:r>
    </w:p>
    <w:p>
      <w:pPr>
        <w:pStyle w:val="ListBullet"/>
        <w:spacing w:after="40"/>
      </w:pPr>
      <w:r>
        <w:rPr>
          <w:rFonts w:ascii="Aptos" w:hAnsi="Aptos"/>
          <w:sz w:val="20"/>
        </w:rPr>
        <w:t>Reduced-motion, weak-device, or JavaScript-failure paths preserve semantic navigation and Artifact access.</w:t>
      </w:r>
    </w:p>
    <w:p>
      <w:pPr>
        <w:pStyle w:val="ListBullet"/>
        <w:spacing w:after="40"/>
      </w:pPr>
      <w:r>
        <w:rPr>
          <w:rFonts w:ascii="Aptos" w:hAnsi="Aptos"/>
          <w:sz w:val="20"/>
        </w:rPr>
        <w:t>Keyboard focus order follows semantic order, not visual pixel position; decorative objects do not become focus targets.</w:t>
      </w:r>
    </w:p>
    <w:p>
      <w:pPr>
        <w:pStyle w:val="ListBullet"/>
        <w:spacing w:after="40"/>
      </w:pPr>
      <w:r>
        <w:rPr>
          <w:rFonts w:ascii="Aptos" w:hAnsi="Aptos"/>
          <w:sz w:val="20"/>
        </w:rPr>
        <w:t>If Main Studio immersion fails, the Hub degrades to a clean semantic Studio index/map.</w:t>
      </w:r>
    </w:p>
    <w:p>
      <w:pPr>
        <w:pStyle w:val="ListBullet"/>
        <w:spacing w:after="40"/>
      </w:pPr>
      <w:r>
        <w:rPr>
          <w:rFonts w:ascii="Aptos" w:hAnsi="Aptos"/>
          <w:sz w:val="20"/>
        </w:rPr>
        <w:t>No valid public Artifact is a navigational dead end.</w:t>
      </w:r>
    </w:p>
    <w:p>
      <w:pPr>
        <w:pStyle w:val="Heading1"/>
      </w:pPr>
      <w:r>
        <w:t>14. Relationship Density</w:t>
      </w:r>
    </w:p>
    <w:p>
      <w:r>
        <w:t>Default Surfaces expose only a few high-value relationship pathways. Deeper connection/lineage views may reveal more, but the site must never use unrelated content merely to fill a three-card component. Empty is preferable to meaningless adjacency.</w:t>
      </w:r>
    </w:p>
    <w:p>
      <w:pPr>
        <w:pStyle w:val="Heading1"/>
      </w:pPr>
      <w:r>
        <w:t>15. Historical Navigation</w:t>
      </w:r>
    </w:p>
    <w:p>
      <w:r>
        <w:t>History is globally searchable but primarily browsed within the Room that gives it meaning. Archives are deliberate historical Surfaces, not universal dumping grounds. Superseded work remains understandable and linked to its successor where applicable.</w:t>
      </w:r>
    </w:p>
    <w:p>
      <w:pPr>
        <w:pStyle w:val="Heading1"/>
      </w:pPr>
      <w:r>
        <w:t>16. External and Cross-Studio Movement</w:t>
      </w:r>
    </w:p>
    <w:p>
      <w:pPr>
        <w:pStyle w:val="ListBullet"/>
        <w:spacing w:after="40"/>
      </w:pPr>
      <w:r>
        <w:rPr>
          <w:rFonts w:ascii="Aptos" w:hAnsi="Aptos"/>
          <w:sz w:val="20"/>
        </w:rPr>
        <w:t>External acquisition actions return to the canonical Artifact identity when useful.</w:t>
      </w:r>
    </w:p>
    <w:p>
      <w:pPr>
        <w:pStyle w:val="ListBullet"/>
        <w:spacing w:after="40"/>
      </w:pPr>
      <w:r>
        <w:rPr>
          <w:rFonts w:ascii="Aptos" w:hAnsi="Aptos"/>
          <w:sz w:val="20"/>
        </w:rPr>
        <w:t>Social/deep links may enter anywhere and must receive normal location/orientation context.</w:t>
      </w:r>
    </w:p>
    <w:p>
      <w:pPr>
        <w:pStyle w:val="ListBullet"/>
        <w:spacing w:after="40"/>
      </w:pPr>
      <w:r>
        <w:rPr>
          <w:rFonts w:ascii="Aptos" w:hAnsi="Aptos"/>
          <w:sz w:val="20"/>
        </w:rPr>
        <w:t>ForgeSpark remains a sibling destination; cross-studio links are intentional and do not mix catalogs or Search by default.</w:t>
      </w:r>
    </w:p>
    <w:p>
      <w:pPr>
        <w:pStyle w:val="ListBullet"/>
        <w:spacing w:after="40"/>
      </w:pPr>
      <w:r>
        <w:rPr>
          <w:rFonts w:ascii="Aptos" w:hAnsi="Aptos"/>
          <w:sz w:val="20"/>
        </w:rPr>
        <w:t>Meet DJ is a Person Surface accessible semantically without being modeled as a Room.</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5F"/>
        <w:sz w:val="15"/>
      </w:rPr>
      <w:t>v1.0 · September 3, 2026 · Canonical planning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5F"/>
        <w:sz w:val="15"/>
      </w:rPr>
      <w:t>FLUXMINTDIGITAL · WEBSITE CANONICAL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25483A"/>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522"/>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5C6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2548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MCallout">
    <w:name w:val="FM Callout"/>
    <w:pPr>
      <w:spacing w:before="140" w:after="160"/>
      <w:ind w:left="403" w:right="259"/>
    </w:pPr>
    <w:rPr>
      <w:rFonts w:ascii="Aptos" w:hAnsi="Aptos"/>
      <w:i/>
      <w:color w:val="2548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