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5483A"/>
          <w:sz w:val="48"/>
        </w:rPr>
        <w:t>04 · FluxMintDigital Design Language</w:t>
      </w:r>
    </w:p>
    <w:p>
      <w:pPr>
        <w:spacing w:after="100"/>
      </w:pPr>
      <w:r>
        <w:rPr>
          <w:rFonts w:ascii="Aptos" w:hAnsi="Aptos"/>
          <w:color w:val="5C665F"/>
          <w:sz w:val="23"/>
        </w:rPr>
        <w:t>Canonical visual and interaction grammar for the Studio website</w:t>
      </w:r>
    </w:p>
    <w:p>
      <w:pPr>
        <w:spacing w:after="280"/>
      </w:pPr>
      <w:r>
        <w:rPr>
          <w:rFonts w:ascii="Aptos" w:hAnsi="Aptos"/>
          <w:b/>
          <w:color w:val="B19A5B"/>
          <w:sz w:val="17"/>
        </w:rPr>
        <w:t>v1.0 · September 3, 2026</w:t>
      </w:r>
    </w:p>
    <w:p>
      <w:pPr>
        <w:pStyle w:val="Heading1"/>
      </w:pPr>
      <w:r>
        <w:t>Document Role</w:t>
      </w:r>
    </w:p>
    <w:p>
      <w:pPr>
        <w:pStyle w:val="FMCallout"/>
      </w:pPr>
      <w:r>
        <w:rPr>
          <w:rFonts w:ascii="Aptos" w:hAnsi="Aptos"/>
          <w:i/>
          <w:color w:val="25483A"/>
          <w:sz w:val="21"/>
        </w:rPr>
        <w:t>The visual language should make FluxMintDigital feel like a living architectural research-and-making Studio: warm, handcrafted, curious, precise, and human without becoming fantasy décor or generic SaaS.</w:t>
      </w:r>
    </w:p>
    <w:p>
      <w:r>
        <w:t>This document governs visual hierarchy, typography, color/material logic, interaction states, motion, illustration roles, atmospheric restraint, accessibility, and responsive composition. Exact token values may be refined during implementation while preserving the semantic grammar.</w:t>
      </w:r>
    </w:p>
    <w:p>
      <w:r>
        <w:rPr>
          <w:rFonts w:ascii="Aptos" w:hAnsi="Aptos"/>
          <w:b/>
          <w:color w:val="1F2522"/>
        </w:rPr>
        <w:t xml:space="preserve">Authority relationship: </w:t>
      </w:r>
      <w:r>
        <w:rPr>
          <w:rFonts w:ascii="Aptos" w:hAnsi="Aptos"/>
          <w:color w:val="1F2522"/>
        </w:rPr>
        <w:t>Inherits Documents 01–03; does not redefine ontology or navigation.</w:t>
      </w:r>
    </w:p>
    <w:p>
      <w:pPr>
        <w:pStyle w:val="Heading1"/>
      </w:pPr>
      <w:r>
        <w:t>1. Design Thesis</w:t>
      </w:r>
    </w:p>
    <w:p>
      <w:pPr>
        <w:pStyle w:val="FMCallout"/>
      </w:pPr>
      <w:r>
        <w:rPr>
          <w:rFonts w:ascii="Aptos" w:hAnsi="Aptos"/>
          <w:i/>
          <w:color w:val="25483A"/>
          <w:sz w:val="21"/>
        </w:rPr>
        <w:t>Architectural drafting + scientific instrumentation + warm explorer workshop, held together with restraint.</w:t>
      </w:r>
    </w:p>
    <w:p>
      <w:r>
        <w:t>The interface should feel inhabited and intentional. It may show the evidence of real work: notebooks, diagrams, books, instruments, light, shelves, work surfaces, pinned material, partially active projects. It should not resemble a game UI, theme-park set, startup dashboard, or generic ecommerce template.</w:t>
      </w:r>
    </w:p>
    <w:p>
      <w:pPr>
        <w:pStyle w:val="Heading1"/>
      </w:pPr>
      <w:r>
        <w:t>2. Visual Priorities</w:t>
      </w:r>
    </w:p>
    <w:p>
      <w:pPr>
        <w:pStyle w:val="ListNumber"/>
        <w:spacing w:after="40"/>
      </w:pPr>
      <w:r>
        <w:rPr>
          <w:rFonts w:ascii="Aptos" w:hAnsi="Aptos"/>
          <w:sz w:val="20"/>
        </w:rPr>
        <w:t>Semantic clarity before atmosphere.</w:t>
      </w:r>
    </w:p>
    <w:p>
      <w:pPr>
        <w:pStyle w:val="ListNumber"/>
        <w:spacing w:after="40"/>
      </w:pPr>
      <w:r>
        <w:rPr>
          <w:rFonts w:ascii="Aptos" w:hAnsi="Aptos"/>
          <w:sz w:val="20"/>
        </w:rPr>
        <w:t>Object identity before decoration.</w:t>
      </w:r>
    </w:p>
    <w:p>
      <w:pPr>
        <w:pStyle w:val="ListNumber"/>
        <w:spacing w:after="40"/>
      </w:pPr>
      <w:r>
        <w:rPr>
          <w:rFonts w:ascii="Aptos" w:hAnsi="Aptos"/>
          <w:sz w:val="20"/>
        </w:rPr>
        <w:t>Warmth and curiosity without clutter.</w:t>
      </w:r>
    </w:p>
    <w:p>
      <w:pPr>
        <w:pStyle w:val="ListNumber"/>
        <w:spacing w:after="40"/>
      </w:pPr>
      <w:r>
        <w:rPr>
          <w:rFonts w:ascii="Aptos" w:hAnsi="Aptos"/>
          <w:sz w:val="20"/>
        </w:rPr>
        <w:t>Deliberate negative space.</w:t>
      </w:r>
    </w:p>
    <w:p>
      <w:pPr>
        <w:pStyle w:val="ListNumber"/>
        <w:spacing w:after="40"/>
      </w:pPr>
      <w:r>
        <w:rPr>
          <w:rFonts w:ascii="Aptos" w:hAnsi="Aptos"/>
          <w:sz w:val="20"/>
        </w:rPr>
        <w:t>Conventional readability for long-form text and ordinary utilities.</w:t>
      </w:r>
    </w:p>
    <w:p>
      <w:pPr>
        <w:pStyle w:val="ListNumber"/>
        <w:spacing w:after="40"/>
      </w:pPr>
      <w:r>
        <w:rPr>
          <w:rFonts w:ascii="Aptos" w:hAnsi="Aptos"/>
          <w:sz w:val="20"/>
        </w:rPr>
        <w:t>Visual distinction among lifecycle, visibility, availability, evidentiary/warrant, and curation when those dimensions are shown.</w:t>
      </w:r>
    </w:p>
    <w:p>
      <w:pPr>
        <w:pStyle w:val="Heading1"/>
      </w:pPr>
      <w:r>
        <w:t>3. Color Grammar</w:t>
      </w:r>
    </w:p>
    <w:p>
      <w:r>
        <w:t>Use a restrained natural/architectural palette derived from the existing Studio direction: deep greens, warm woods/earth neutrals, parchment/paper, charcoal/ink, muted brass/gold, and controlled light. Accent color is used to signal interaction or identity, not to turn every section into a colored badge system. Research status and evidentiary states must use distinct, accessible channels and never rely on color alone.</w:t>
      </w:r>
    </w:p>
    <w:p>
      <w:pPr>
        <w:pStyle w:val="Heading1"/>
      </w:pPr>
      <w:r>
        <w:t>4. Typography</w:t>
      </w:r>
    </w:p>
    <w:p>
      <w:pPr>
        <w:pStyle w:val="ListBullet"/>
        <w:spacing w:after="40"/>
      </w:pPr>
      <w:r>
        <w:rPr>
          <w:rFonts w:ascii="Aptos" w:hAnsi="Aptos"/>
          <w:sz w:val="20"/>
        </w:rPr>
        <w:t>Long-form reading must use production-grade readable typography with comfortable line length, leading, and paragraph spacing.</w:t>
      </w:r>
    </w:p>
    <w:p>
      <w:pPr>
        <w:pStyle w:val="ListBullet"/>
        <w:spacing w:after="40"/>
      </w:pPr>
      <w:r>
        <w:rPr>
          <w:rFonts w:ascii="Aptos" w:hAnsi="Aptos"/>
          <w:sz w:val="20"/>
        </w:rPr>
        <w:t>Display typography may carry architectural/explorer character but cannot compromise legibility.</w:t>
      </w:r>
    </w:p>
    <w:p>
      <w:pPr>
        <w:pStyle w:val="ListBullet"/>
        <w:spacing w:after="40"/>
      </w:pPr>
      <w:r>
        <w:rPr>
          <w:rFonts w:ascii="Aptos" w:hAnsi="Aptos"/>
          <w:sz w:val="20"/>
        </w:rPr>
        <w:t>Utility labels, breadcrumbs, metadata, and controls remain conventional and compact.</w:t>
      </w:r>
    </w:p>
    <w:p>
      <w:pPr>
        <w:pStyle w:val="ListBullet"/>
        <w:spacing w:after="40"/>
      </w:pPr>
      <w:r>
        <w:rPr>
          <w:rFonts w:ascii="Aptos" w:hAnsi="Aptos"/>
          <w:sz w:val="20"/>
        </w:rPr>
        <w:t>Hierarchy must remain clear at mobile sizes without shrinking dense desktop layouts.</w:t>
      </w:r>
    </w:p>
    <w:p>
      <w:pPr>
        <w:pStyle w:val="ListBullet"/>
        <w:spacing w:after="40"/>
      </w:pPr>
      <w:r>
        <w:rPr>
          <w:rFonts w:ascii="Aptos" w:hAnsi="Aptos"/>
          <w:sz w:val="20"/>
        </w:rPr>
        <w:t>All text remains real selectable text; scene imagery does not substitute for essential labels.</w:t>
      </w:r>
    </w:p>
    <w:p>
      <w:pPr>
        <w:pStyle w:val="Heading1"/>
      </w:pPr>
      <w:r>
        <w:t>5. Composition</w:t>
      </w:r>
    </w:p>
    <w:p>
      <w:pPr>
        <w:pStyle w:val="ListBullet"/>
        <w:spacing w:after="40"/>
      </w:pPr>
      <w:r>
        <w:rPr>
          <w:rFonts w:ascii="Aptos" w:hAnsi="Aptos"/>
          <w:sz w:val="20"/>
        </w:rPr>
        <w:t>Room compositions are purpose-led, not template-led. Shared grammar does not require identical layouts.</w:t>
      </w:r>
    </w:p>
    <w:p>
      <w:pPr>
        <w:pStyle w:val="ListBullet"/>
        <w:spacing w:after="40"/>
      </w:pPr>
      <w:r>
        <w:rPr>
          <w:rFonts w:ascii="Aptos" w:hAnsi="Aptos"/>
          <w:sz w:val="20"/>
        </w:rPr>
        <w:t>Landmarks establish Room identity through relative relationships rather than fixed pixel coordinates.</w:t>
      </w:r>
    </w:p>
    <w:p>
      <w:pPr>
        <w:pStyle w:val="ListBullet"/>
        <w:spacing w:after="40"/>
      </w:pPr>
      <w:r>
        <w:rPr>
          <w:rFonts w:ascii="Aptos" w:hAnsi="Aptos"/>
          <w:sz w:val="20"/>
        </w:rPr>
        <w:t>Primary workspace receives the clearest visual emphasis; secondary content recedes; ambient décor recedes further.</w:t>
      </w:r>
    </w:p>
    <w:p>
      <w:pPr>
        <w:pStyle w:val="ListBullet"/>
        <w:spacing w:after="40"/>
      </w:pPr>
      <w:r>
        <w:rPr>
          <w:rFonts w:ascii="Aptos" w:hAnsi="Aptos"/>
          <w:sz w:val="20"/>
        </w:rPr>
        <w:t>Negative space is an active design element.</w:t>
      </w:r>
    </w:p>
    <w:p>
      <w:pPr>
        <w:pStyle w:val="ListBullet"/>
        <w:spacing w:after="40"/>
      </w:pPr>
      <w:r>
        <w:rPr>
          <w:rFonts w:ascii="Aptos" w:hAnsi="Aptos"/>
          <w:sz w:val="20"/>
        </w:rPr>
        <w:t>Density is solved architecturally through grouping, depth, and progressive disclosure before font/card sizes are reduced.</w:t>
      </w:r>
    </w:p>
    <w:p>
      <w:pPr>
        <w:pStyle w:val="Heading1"/>
      </w:pPr>
      <w:r>
        <w:t>6. Materials and Atmosphere</w:t>
      </w:r>
    </w:p>
    <w:p>
      <w:r>
        <w:t>Materials should suggest a real exploratory Studio: wood, paper, metal, glass, fabric, field gear, drafting surfaces, shelves, instruments, lamps, windows, and tactile objects. Texture is restrained enough that text and controls remain crisp. Lighting can create orientation and warmth but must not imply truth, importance, or status.</w:t>
      </w:r>
    </w:p>
    <w:p>
      <w:pPr>
        <w:pStyle w:val="Heading1"/>
      </w:pPr>
      <w:r>
        <w:t>7. UI Elements</w:t>
      </w:r>
    </w:p>
    <w:tbl>
      <w:tblPr>
        <w:tblStyle w:val="TableGrid"/>
        <w:tblW w:type="auto" w:w="0"/>
        <w:jc w:val="center"/>
        <w:tblLook w:firstColumn="1" w:firstRow="1" w:lastColumn="0" w:lastRow="0" w:noHBand="0" w:noVBand="1" w:val="04A0"/>
      </w:tblPr>
      <w:tblGrid>
        <w:gridCol w:w="4997"/>
        <w:gridCol w:w="4997"/>
      </w:tblGrid>
      <w:tr>
        <w:trPr>
          <w:cantSplit/>
        </w:trPr>
        <w:tc>
          <w:tcPr>
            <w:tcW w:type="dxa" w:w="2160"/>
            <w:shd w:fill="25483A"/>
            <w:tcMar>
              <w:top w:w="90" w:type="dxa"/>
              <w:start w:w="100" w:type="dxa"/>
              <w:bottom w:w="90" w:type="dxa"/>
              <w:end w:w="100" w:type="dxa"/>
            </w:tcMar>
            <w:vAlign w:val="center"/>
          </w:tcPr>
          <w:p>
            <w:r>
              <w:rPr>
                <w:rFonts w:ascii="Aptos" w:hAnsi="Aptos"/>
                <w:b/>
                <w:color w:val="FFFFFF"/>
                <w:sz w:val="17"/>
              </w:rPr>
              <w:t>Element</w:t>
            </w:r>
          </w:p>
        </w:tc>
        <w:tc>
          <w:tcPr>
            <w:tcW w:type="dxa" w:w="7488"/>
            <w:shd w:fill="25483A"/>
            <w:tcMar>
              <w:top w:w="90" w:type="dxa"/>
              <w:start w:w="100" w:type="dxa"/>
              <w:bottom w:w="90" w:type="dxa"/>
              <w:end w:w="100" w:type="dxa"/>
            </w:tcMar>
            <w:vAlign w:val="center"/>
          </w:tcPr>
          <w:p>
            <w:r>
              <w:rPr>
                <w:rFonts w:ascii="Aptos" w:hAnsi="Aptos"/>
                <w:b/>
                <w:color w:val="FFFFFF"/>
                <w:sz w:val="17"/>
              </w:rPr>
              <w:t>Grammar</w:t>
            </w:r>
          </w:p>
        </w:tc>
      </w:tr>
      <w:tr>
        <w:trPr>
          <w:cantSplit/>
        </w:trPr>
        <w:tc>
          <w:tcPr>
            <w:tcW w:type="dxa" w:w="2160"/>
            <w:tcMar>
              <w:top w:w="90" w:type="dxa"/>
              <w:start w:w="100" w:type="dxa"/>
              <w:bottom w:w="90" w:type="dxa"/>
              <w:end w:w="100" w:type="dxa"/>
            </w:tcMar>
          </w:tcPr>
          <w:p>
            <w:r>
              <w:rPr>
                <w:rFonts w:ascii="Aptos" w:hAnsi="Aptos"/>
                <w:color w:val="1F2522"/>
                <w:sz w:val="17"/>
              </w:rPr>
              <w:t>Buttons</w:t>
            </w:r>
          </w:p>
        </w:tc>
        <w:tc>
          <w:tcPr>
            <w:tcW w:type="dxa" w:w="7488"/>
            <w:tcMar>
              <w:top w:w="90" w:type="dxa"/>
              <w:start w:w="100" w:type="dxa"/>
              <w:bottom w:w="90" w:type="dxa"/>
              <w:end w:w="100" w:type="dxa"/>
            </w:tcMar>
          </w:tcPr>
          <w:p>
            <w:r>
              <w:rPr>
                <w:rFonts w:ascii="Aptos" w:hAnsi="Aptos"/>
                <w:color w:val="1F2522"/>
                <w:sz w:val="17"/>
              </w:rPr>
              <w:t>Obvious action affordance; wording is invitational/functional, never manipulative.</w:t>
            </w:r>
          </w:p>
        </w:tc>
      </w:tr>
      <w:tr>
        <w:trPr>
          <w:cantSplit/>
        </w:trPr>
        <w:tc>
          <w:tcPr>
            <w:tcW w:type="dxa" w:w="2160"/>
            <w:tcMar>
              <w:top w:w="90" w:type="dxa"/>
              <w:start w:w="100" w:type="dxa"/>
              <w:bottom w:w="90" w:type="dxa"/>
              <w:end w:w="100" w:type="dxa"/>
            </w:tcMar>
            <w:shd w:fill="F7F9F7"/>
          </w:tcPr>
          <w:p>
            <w:r>
              <w:rPr>
                <w:rFonts w:ascii="Aptos" w:hAnsi="Aptos"/>
                <w:color w:val="1F2522"/>
                <w:sz w:val="17"/>
              </w:rPr>
              <w:t>Links</w:t>
            </w:r>
          </w:p>
        </w:tc>
        <w:tc>
          <w:tcPr>
            <w:tcW w:type="dxa" w:w="7488"/>
            <w:tcMar>
              <w:top w:w="90" w:type="dxa"/>
              <w:start w:w="100" w:type="dxa"/>
              <w:bottom w:w="90" w:type="dxa"/>
              <w:end w:w="100" w:type="dxa"/>
            </w:tcMar>
            <w:shd w:fill="F7F9F7"/>
          </w:tcPr>
          <w:p>
            <w:r>
              <w:rPr>
                <w:rFonts w:ascii="Aptos" w:hAnsi="Aptos"/>
                <w:color w:val="1F2522"/>
                <w:sz w:val="17"/>
              </w:rPr>
              <w:t>Readable and conventional; Studio-native wording may frame semantic relationships.</w:t>
            </w:r>
          </w:p>
        </w:tc>
      </w:tr>
      <w:tr>
        <w:trPr>
          <w:cantSplit/>
        </w:trPr>
        <w:tc>
          <w:tcPr>
            <w:tcW w:type="dxa" w:w="2160"/>
            <w:tcMar>
              <w:top w:w="90" w:type="dxa"/>
              <w:start w:w="100" w:type="dxa"/>
              <w:bottom w:w="90" w:type="dxa"/>
              <w:end w:w="100" w:type="dxa"/>
            </w:tcMar>
          </w:tcPr>
          <w:p>
            <w:r>
              <w:rPr>
                <w:rFonts w:ascii="Aptos" w:hAnsi="Aptos"/>
                <w:color w:val="1F2522"/>
                <w:sz w:val="17"/>
              </w:rPr>
              <w:t>Cards</w:t>
            </w:r>
          </w:p>
        </w:tc>
        <w:tc>
          <w:tcPr>
            <w:tcW w:type="dxa" w:w="7488"/>
            <w:tcMar>
              <w:top w:w="90" w:type="dxa"/>
              <w:start w:w="100" w:type="dxa"/>
              <w:bottom w:w="90" w:type="dxa"/>
              <w:end w:w="100" w:type="dxa"/>
            </w:tcMar>
          </w:tcPr>
          <w:p>
            <w:r>
              <w:rPr>
                <w:rFonts w:ascii="Aptos" w:hAnsi="Aptos"/>
                <w:color w:val="1F2522"/>
                <w:sz w:val="17"/>
              </w:rPr>
              <w:t>Used only when the content benefits from card containment; not the default ontology renderer.</w:t>
            </w:r>
          </w:p>
        </w:tc>
      </w:tr>
      <w:tr>
        <w:trPr>
          <w:cantSplit/>
        </w:trPr>
        <w:tc>
          <w:tcPr>
            <w:tcW w:type="dxa" w:w="2160"/>
            <w:tcMar>
              <w:top w:w="90" w:type="dxa"/>
              <w:start w:w="100" w:type="dxa"/>
              <w:bottom w:w="90" w:type="dxa"/>
              <w:end w:w="100" w:type="dxa"/>
            </w:tcMar>
            <w:shd w:fill="F7F9F7"/>
          </w:tcPr>
          <w:p>
            <w:r>
              <w:rPr>
                <w:rFonts w:ascii="Aptos" w:hAnsi="Aptos"/>
                <w:color w:val="1F2522"/>
                <w:sz w:val="17"/>
              </w:rPr>
              <w:t>Panels</w:t>
            </w:r>
          </w:p>
        </w:tc>
        <w:tc>
          <w:tcPr>
            <w:tcW w:type="dxa" w:w="7488"/>
            <w:tcMar>
              <w:top w:w="90" w:type="dxa"/>
              <w:start w:w="100" w:type="dxa"/>
              <w:bottom w:w="90" w:type="dxa"/>
              <w:end w:w="100" w:type="dxa"/>
            </w:tcMar>
            <w:shd w:fill="F7F9F7"/>
          </w:tcPr>
          <w:p>
            <w:r>
              <w:rPr>
                <w:rFonts w:ascii="Aptos" w:hAnsi="Aptos"/>
                <w:color w:val="1F2522"/>
                <w:sz w:val="17"/>
              </w:rPr>
              <w:t>Instrument-like, quiet, semantically grouped; avoid dashboard chrome.</w:t>
            </w:r>
          </w:p>
        </w:tc>
      </w:tr>
      <w:tr>
        <w:trPr>
          <w:cantSplit/>
        </w:trPr>
        <w:tc>
          <w:tcPr>
            <w:tcW w:type="dxa" w:w="2160"/>
            <w:tcMar>
              <w:top w:w="90" w:type="dxa"/>
              <w:start w:w="100" w:type="dxa"/>
              <w:bottom w:w="90" w:type="dxa"/>
              <w:end w:w="100" w:type="dxa"/>
            </w:tcMar>
          </w:tcPr>
          <w:p>
            <w:r>
              <w:rPr>
                <w:rFonts w:ascii="Aptos" w:hAnsi="Aptos"/>
                <w:color w:val="1F2522"/>
                <w:sz w:val="17"/>
              </w:rPr>
              <w:t>Badges/status</w:t>
            </w:r>
          </w:p>
        </w:tc>
        <w:tc>
          <w:tcPr>
            <w:tcW w:type="dxa" w:w="7488"/>
            <w:tcMar>
              <w:top w:w="90" w:type="dxa"/>
              <w:start w:w="100" w:type="dxa"/>
              <w:bottom w:w="90" w:type="dxa"/>
              <w:end w:w="100" w:type="dxa"/>
            </w:tcMar>
          </w:tcPr>
          <w:p>
            <w:r>
              <w:rPr>
                <w:rFonts w:ascii="Aptos" w:hAnsi="Aptos"/>
                <w:color w:val="1F2522"/>
                <w:sz w:val="17"/>
              </w:rPr>
              <w:t>Sparse and orthogonal; never collapse lifecycle, availability, warrant, or curation into one colored chip.</w:t>
            </w:r>
          </w:p>
        </w:tc>
      </w:tr>
      <w:tr>
        <w:trPr>
          <w:cantSplit/>
        </w:trPr>
        <w:tc>
          <w:tcPr>
            <w:tcW w:type="dxa" w:w="2160"/>
            <w:tcMar>
              <w:top w:w="90" w:type="dxa"/>
              <w:start w:w="100" w:type="dxa"/>
              <w:bottom w:w="90" w:type="dxa"/>
              <w:end w:w="100" w:type="dxa"/>
            </w:tcMar>
            <w:shd w:fill="F7F9F7"/>
          </w:tcPr>
          <w:p>
            <w:r>
              <w:rPr>
                <w:rFonts w:ascii="Aptos" w:hAnsi="Aptos"/>
                <w:color w:val="1F2522"/>
                <w:sz w:val="17"/>
              </w:rPr>
              <w:t>Breadcrumbs</w:t>
            </w:r>
          </w:p>
        </w:tc>
        <w:tc>
          <w:tcPr>
            <w:tcW w:type="dxa" w:w="7488"/>
            <w:tcMar>
              <w:top w:w="90" w:type="dxa"/>
              <w:start w:w="100" w:type="dxa"/>
              <w:bottom w:w="90" w:type="dxa"/>
              <w:end w:w="100" w:type="dxa"/>
            </w:tcMar>
            <w:shd w:fill="F7F9F7"/>
          </w:tcPr>
          <w:p>
            <w:r>
              <w:rPr>
                <w:rFonts w:ascii="Aptos" w:hAnsi="Aptos"/>
                <w:color w:val="1F2522"/>
                <w:sz w:val="17"/>
              </w:rPr>
              <w:t>Conventional and understated.</w:t>
            </w:r>
          </w:p>
        </w:tc>
      </w:tr>
      <w:tr>
        <w:trPr>
          <w:cantSplit/>
        </w:trPr>
        <w:tc>
          <w:tcPr>
            <w:tcW w:type="dxa" w:w="2160"/>
            <w:tcMar>
              <w:top w:w="90" w:type="dxa"/>
              <w:start w:w="100" w:type="dxa"/>
              <w:bottom w:w="90" w:type="dxa"/>
              <w:end w:w="100" w:type="dxa"/>
            </w:tcMar>
          </w:tcPr>
          <w:p>
            <w:r>
              <w:rPr>
                <w:rFonts w:ascii="Aptos" w:hAnsi="Aptos"/>
                <w:color w:val="1F2522"/>
                <w:sz w:val="17"/>
              </w:rPr>
              <w:t>Search</w:t>
            </w:r>
          </w:p>
        </w:tc>
        <w:tc>
          <w:tcPr>
            <w:tcW w:type="dxa" w:w="7488"/>
            <w:tcMar>
              <w:top w:w="90" w:type="dxa"/>
              <w:start w:w="100" w:type="dxa"/>
              <w:bottom w:w="90" w:type="dxa"/>
              <w:end w:w="100" w:type="dxa"/>
            </w:tcMar>
          </w:tcPr>
          <w:p>
            <w:r>
              <w:rPr>
                <w:rFonts w:ascii="Aptos" w:hAnsi="Aptos"/>
                <w:color w:val="1F2522"/>
                <w:sz w:val="17"/>
              </w:rPr>
              <w:t>Clear utility styling; not hidden behind metaphor.</w:t>
            </w:r>
          </w:p>
        </w:tc>
      </w:tr>
    </w:tbl>
    <w:p>
      <w:pPr>
        <w:spacing w:after="20"/>
      </w:pPr>
    </w:p>
    <w:p>
      <w:pPr>
        <w:pStyle w:val="Heading1"/>
      </w:pPr>
      <w:r>
        <w:t>8. Interaction Grammar</w:t>
      </w:r>
    </w:p>
    <w:tbl>
      <w:tblPr>
        <w:tblStyle w:val="TableGrid"/>
        <w:tblW w:type="auto" w:w="0"/>
        <w:jc w:val="center"/>
        <w:tblLook w:firstColumn="1" w:firstRow="1" w:lastColumn="0" w:lastRow="0" w:noHBand="0" w:noVBand="1" w:val="04A0"/>
      </w:tblPr>
      <w:tblGrid>
        <w:gridCol w:w="4997"/>
        <w:gridCol w:w="4997"/>
      </w:tblGrid>
      <w:tr>
        <w:trPr>
          <w:cantSplit/>
        </w:trPr>
        <w:tc>
          <w:tcPr>
            <w:tcW w:type="dxa" w:w="2016"/>
            <w:shd w:fill="25483A"/>
            <w:tcMar>
              <w:top w:w="90" w:type="dxa"/>
              <w:start w:w="100" w:type="dxa"/>
              <w:bottom w:w="90" w:type="dxa"/>
              <w:end w:w="100" w:type="dxa"/>
            </w:tcMar>
            <w:vAlign w:val="center"/>
          </w:tcPr>
          <w:p>
            <w:r>
              <w:rPr>
                <w:rFonts w:ascii="Aptos" w:hAnsi="Aptos"/>
                <w:b/>
                <w:color w:val="FFFFFF"/>
                <w:sz w:val="17"/>
              </w:rPr>
              <w:t>Class</w:t>
            </w:r>
          </w:p>
        </w:tc>
        <w:tc>
          <w:tcPr>
            <w:tcW w:type="dxa" w:w="7632"/>
            <w:shd w:fill="25483A"/>
            <w:tcMar>
              <w:top w:w="90" w:type="dxa"/>
              <w:start w:w="100" w:type="dxa"/>
              <w:bottom w:w="90" w:type="dxa"/>
              <w:end w:w="100" w:type="dxa"/>
            </w:tcMar>
            <w:vAlign w:val="center"/>
          </w:tcPr>
          <w:p>
            <w:r>
              <w:rPr>
                <w:rFonts w:ascii="Aptos" w:hAnsi="Aptos"/>
                <w:b/>
                <w:color w:val="FFFFFF"/>
                <w:sz w:val="17"/>
              </w:rPr>
              <w:t>Purpose</w:t>
            </w:r>
          </w:p>
        </w:tc>
      </w:tr>
      <w:tr>
        <w:trPr>
          <w:cantSplit/>
        </w:trPr>
        <w:tc>
          <w:tcPr>
            <w:tcW w:type="dxa" w:w="2016"/>
            <w:tcMar>
              <w:top w:w="90" w:type="dxa"/>
              <w:start w:w="100" w:type="dxa"/>
              <w:bottom w:w="90" w:type="dxa"/>
              <w:end w:w="100" w:type="dxa"/>
            </w:tcMar>
          </w:tcPr>
          <w:p>
            <w:r>
              <w:rPr>
                <w:rFonts w:ascii="Aptos" w:hAnsi="Aptos"/>
                <w:color w:val="1F2522"/>
                <w:sz w:val="17"/>
              </w:rPr>
              <w:t>Threshold</w:t>
            </w:r>
          </w:p>
        </w:tc>
        <w:tc>
          <w:tcPr>
            <w:tcW w:type="dxa" w:w="7632"/>
            <w:tcMar>
              <w:top w:w="90" w:type="dxa"/>
              <w:start w:w="100" w:type="dxa"/>
              <w:bottom w:w="90" w:type="dxa"/>
              <w:end w:w="100" w:type="dxa"/>
            </w:tcMar>
          </w:tcPr>
          <w:p>
            <w:r>
              <w:rPr>
                <w:rFonts w:ascii="Aptos" w:hAnsi="Aptos"/>
                <w:color w:val="1F2522"/>
                <w:sz w:val="17"/>
              </w:rPr>
              <w:t>Navigate between major semantic places.</w:t>
            </w:r>
          </w:p>
        </w:tc>
      </w:tr>
      <w:tr>
        <w:trPr>
          <w:cantSplit/>
        </w:trPr>
        <w:tc>
          <w:tcPr>
            <w:tcW w:type="dxa" w:w="2016"/>
            <w:tcMar>
              <w:top w:w="90" w:type="dxa"/>
              <w:start w:w="100" w:type="dxa"/>
              <w:bottom w:w="90" w:type="dxa"/>
              <w:end w:w="100" w:type="dxa"/>
            </w:tcMar>
            <w:shd w:fill="F7F9F7"/>
          </w:tcPr>
          <w:p>
            <w:r>
              <w:rPr>
                <w:rFonts w:ascii="Aptos" w:hAnsi="Aptos"/>
                <w:color w:val="1F2522"/>
                <w:sz w:val="17"/>
              </w:rPr>
              <w:t>Object</w:t>
            </w:r>
          </w:p>
        </w:tc>
        <w:tc>
          <w:tcPr>
            <w:tcW w:type="dxa" w:w="7632"/>
            <w:tcMar>
              <w:top w:w="90" w:type="dxa"/>
              <w:start w:w="100" w:type="dxa"/>
              <w:bottom w:w="90" w:type="dxa"/>
              <w:end w:w="100" w:type="dxa"/>
            </w:tcMar>
            <w:shd w:fill="F7F9F7"/>
          </w:tcPr>
          <w:p>
            <w:r>
              <w:rPr>
                <w:rFonts w:ascii="Aptos" w:hAnsi="Aptos"/>
                <w:color w:val="1F2522"/>
                <w:sz w:val="17"/>
              </w:rPr>
              <w:t>Reveal/inspect an Artifact or meaningful piece of information.</w:t>
            </w:r>
          </w:p>
        </w:tc>
      </w:tr>
      <w:tr>
        <w:trPr>
          <w:cantSplit/>
        </w:trPr>
        <w:tc>
          <w:tcPr>
            <w:tcW w:type="dxa" w:w="2016"/>
            <w:tcMar>
              <w:top w:w="90" w:type="dxa"/>
              <w:start w:w="100" w:type="dxa"/>
              <w:bottom w:w="90" w:type="dxa"/>
              <w:end w:w="100" w:type="dxa"/>
            </w:tcMar>
          </w:tcPr>
          <w:p>
            <w:r>
              <w:rPr>
                <w:rFonts w:ascii="Aptos" w:hAnsi="Aptos"/>
                <w:color w:val="1F2522"/>
                <w:sz w:val="17"/>
              </w:rPr>
              <w:t>Ambient</w:t>
            </w:r>
          </w:p>
        </w:tc>
        <w:tc>
          <w:tcPr>
            <w:tcW w:type="dxa" w:w="7632"/>
            <w:tcMar>
              <w:top w:w="90" w:type="dxa"/>
              <w:start w:w="100" w:type="dxa"/>
              <w:bottom w:w="90" w:type="dxa"/>
              <w:end w:w="100" w:type="dxa"/>
            </w:tcMar>
          </w:tcPr>
          <w:p>
            <w:r>
              <w:rPr>
                <w:rFonts w:ascii="Aptos" w:hAnsi="Aptos"/>
                <w:color w:val="1F2522"/>
                <w:sz w:val="17"/>
              </w:rPr>
              <w:t>Atmosphere or reward only; never required access.</w:t>
            </w:r>
          </w:p>
        </w:tc>
      </w:tr>
    </w:tbl>
    <w:p>
      <w:pPr>
        <w:spacing w:after="20"/>
      </w:pPr>
    </w:p>
    <w:p>
      <w:pPr>
        <w:pStyle w:val="FMCallout"/>
      </w:pPr>
      <w:r>
        <w:rPr>
          <w:rFonts w:ascii="Aptos" w:hAnsi="Aptos"/>
          <w:i/>
          <w:color w:val="25483A"/>
          <w:sz w:val="21"/>
        </w:rPr>
        <w:t>Interaction should reveal meaning, not merely demonstrate that the website can animate.</w:t>
      </w:r>
    </w:p>
    <w:p>
      <w:pPr>
        <w:pStyle w:val="Heading1"/>
      </w:pPr>
      <w:r>
        <w:t>9. Motion</w:t>
      </w:r>
    </w:p>
    <w:p>
      <w:pPr>
        <w:pStyle w:val="ListBullet"/>
        <w:spacing w:after="40"/>
      </w:pPr>
      <w:r>
        <w:rPr>
          <w:rFonts w:ascii="Aptos" w:hAnsi="Aptos"/>
          <w:sz w:val="20"/>
        </w:rPr>
        <w:t>Motion is restrained, purposeful, and interruptible.</w:t>
      </w:r>
    </w:p>
    <w:p>
      <w:pPr>
        <w:pStyle w:val="ListBullet"/>
        <w:spacing w:after="40"/>
      </w:pPr>
      <w:r>
        <w:rPr>
          <w:rFonts w:ascii="Aptos" w:hAnsi="Aptos"/>
          <w:sz w:val="20"/>
        </w:rPr>
        <w:t>Reduced-motion preferences are fully respected.</w:t>
      </w:r>
    </w:p>
    <w:p>
      <w:pPr>
        <w:pStyle w:val="ListBullet"/>
        <w:spacing w:after="40"/>
      </w:pPr>
      <w:r>
        <w:rPr>
          <w:rFonts w:ascii="Aptos" w:hAnsi="Aptos"/>
          <w:sz w:val="20"/>
        </w:rPr>
        <w:t>No unique navigation or content exists only in animation.</w:t>
      </w:r>
    </w:p>
    <w:p>
      <w:pPr>
        <w:pStyle w:val="ListBullet"/>
        <w:spacing w:after="40"/>
      </w:pPr>
      <w:r>
        <w:rPr>
          <w:rFonts w:ascii="Aptos" w:hAnsi="Aptos"/>
          <w:sz w:val="20"/>
        </w:rPr>
        <w:t>Animation may signal stateful objects, threshold transition, gentle atmospheric life, or an earned discovery moment.</w:t>
      </w:r>
    </w:p>
    <w:p>
      <w:pPr>
        <w:pStyle w:val="ListBullet"/>
        <w:spacing w:after="40"/>
      </w:pPr>
      <w:r>
        <w:rPr>
          <w:rFonts w:ascii="Aptos" w:hAnsi="Aptos"/>
          <w:sz w:val="20"/>
        </w:rPr>
        <w:t>Avoid constant movement, attention-grabbing loops, bounce-heavy UI, or game-like reward mechanics.</w:t>
      </w:r>
    </w:p>
    <w:p>
      <w:pPr>
        <w:pStyle w:val="Heading1"/>
      </w:pPr>
      <w:r>
        <w:t>10. Explorer and DJ Representation</w:t>
      </w:r>
    </w:p>
    <w:tbl>
      <w:tblPr>
        <w:tblStyle w:val="TableGrid"/>
        <w:tblW w:type="auto" w:w="0"/>
        <w:jc w:val="center"/>
        <w:tblLook w:firstColumn="1" w:firstRow="1" w:lastColumn="0" w:lastRow="0" w:noHBand="0" w:noVBand="1" w:val="04A0"/>
      </w:tblPr>
      <w:tblGrid>
        <w:gridCol w:w="4997"/>
        <w:gridCol w:w="4997"/>
      </w:tblGrid>
      <w:tr>
        <w:trPr>
          <w:cantSplit/>
        </w:trPr>
        <w:tc>
          <w:tcPr>
            <w:tcW w:type="dxa" w:w="2592"/>
            <w:shd w:fill="25483A"/>
            <w:tcMar>
              <w:top w:w="90" w:type="dxa"/>
              <w:start w:w="100" w:type="dxa"/>
              <w:bottom w:w="90" w:type="dxa"/>
              <w:end w:w="100" w:type="dxa"/>
            </w:tcMar>
            <w:vAlign w:val="center"/>
          </w:tcPr>
          <w:p>
            <w:r>
              <w:rPr>
                <w:rFonts w:ascii="Aptos" w:hAnsi="Aptos"/>
                <w:b/>
                <w:color w:val="FFFFFF"/>
                <w:sz w:val="17"/>
              </w:rPr>
              <w:t>Representation</w:t>
            </w:r>
          </w:p>
        </w:tc>
        <w:tc>
          <w:tcPr>
            <w:tcW w:type="dxa" w:w="7056"/>
            <w:shd w:fill="25483A"/>
            <w:tcMar>
              <w:top w:w="90" w:type="dxa"/>
              <w:start w:w="100" w:type="dxa"/>
              <w:bottom w:w="90" w:type="dxa"/>
              <w:end w:w="100" w:type="dxa"/>
            </w:tcMar>
            <w:vAlign w:val="center"/>
          </w:tcPr>
          <w:p>
            <w:r>
              <w:rPr>
                <w:rFonts w:ascii="Aptos" w:hAnsi="Aptos"/>
                <w:b/>
                <w:color w:val="FFFFFF"/>
                <w:sz w:val="17"/>
              </w:rPr>
              <w:t>Use</w:t>
            </w:r>
          </w:p>
        </w:tc>
      </w:tr>
      <w:tr>
        <w:trPr>
          <w:cantSplit/>
        </w:trPr>
        <w:tc>
          <w:tcPr>
            <w:tcW w:type="dxa" w:w="2592"/>
            <w:tcMar>
              <w:top w:w="90" w:type="dxa"/>
              <w:start w:w="100" w:type="dxa"/>
              <w:bottom w:w="90" w:type="dxa"/>
              <w:end w:w="100" w:type="dxa"/>
            </w:tcMar>
          </w:tcPr>
          <w:p>
            <w:r>
              <w:rPr>
                <w:rFonts w:ascii="Aptos" w:hAnsi="Aptos"/>
                <w:color w:val="1F2522"/>
                <w:sz w:val="17"/>
              </w:rPr>
              <w:t>Explorer DJ</w:t>
            </w:r>
          </w:p>
        </w:tc>
        <w:tc>
          <w:tcPr>
            <w:tcW w:type="dxa" w:w="7056"/>
            <w:tcMar>
              <w:top w:w="90" w:type="dxa"/>
              <w:start w:w="100" w:type="dxa"/>
              <w:bottom w:w="90" w:type="dxa"/>
              <w:end w:w="100" w:type="dxa"/>
            </w:tcMar>
          </w:tcPr>
          <w:p>
            <w:r>
              <w:rPr>
                <w:rFonts w:ascii="Aptos" w:hAnsi="Aptos"/>
                <w:color w:val="1F2522"/>
                <w:sz w:val="17"/>
              </w:rPr>
              <w:t>Thresholds, Main Studio orientation, occasional discoveries, DJ Field Guide/Wild Side experience contexts.</w:t>
            </w:r>
          </w:p>
        </w:tc>
      </w:tr>
      <w:tr>
        <w:trPr>
          <w:cantSplit/>
        </w:trPr>
        <w:tc>
          <w:tcPr>
            <w:tcW w:type="dxa" w:w="2592"/>
            <w:tcMar>
              <w:top w:w="90" w:type="dxa"/>
              <w:start w:w="100" w:type="dxa"/>
              <w:bottom w:w="90" w:type="dxa"/>
              <w:end w:w="100" w:type="dxa"/>
            </w:tcMar>
            <w:shd w:fill="F7F9F7"/>
          </w:tcPr>
          <w:p>
            <w:r>
              <w:rPr>
                <w:rFonts w:ascii="Aptos" w:hAnsi="Aptos"/>
                <w:color w:val="1F2522"/>
                <w:sz w:val="17"/>
              </w:rPr>
              <w:t>Realistic illustrated DJ</w:t>
            </w:r>
          </w:p>
        </w:tc>
        <w:tc>
          <w:tcPr>
            <w:tcW w:type="dxa" w:w="7056"/>
            <w:tcMar>
              <w:top w:w="90" w:type="dxa"/>
              <w:start w:w="100" w:type="dxa"/>
              <w:bottom w:w="90" w:type="dxa"/>
              <w:end w:w="100" w:type="dxa"/>
            </w:tcMar>
            <w:shd w:fill="F7F9F7"/>
          </w:tcPr>
          <w:p>
            <w:r>
              <w:rPr>
                <w:rFonts w:ascii="Aptos" w:hAnsi="Aptos"/>
                <w:color w:val="1F2522"/>
                <w:sz w:val="17"/>
              </w:rPr>
              <w:t>Author, builder, collaborator, Meeting Table, Meet DJ, professional responsibility contexts.</w:t>
            </w:r>
          </w:p>
        </w:tc>
      </w:tr>
    </w:tbl>
    <w:p>
      <w:pPr>
        <w:spacing w:after="20"/>
      </w:pPr>
    </w:p>
    <w:p>
      <w:r>
        <w:t>Both depict the same real person and should share clothing/identity cues. Explorer remains more animated/stylized; realistic DJ remains grounded. Neither changes authorship. Character expression may never obscure who is responsible for a real-world collaboration, publication, payment, privacy, or legal matter.</w:t>
      </w:r>
    </w:p>
    <w:p>
      <w:pPr>
        <w:pStyle w:val="Heading1"/>
      </w:pPr>
      <w:r>
        <w:t>11. Architecture Wall Visual Semantics</w:t>
      </w:r>
    </w:p>
    <w:p>
      <w:pPr>
        <w:pStyle w:val="ListBullet"/>
        <w:spacing w:after="40"/>
      </w:pPr>
      <w:r>
        <w:rPr>
          <w:rFonts w:ascii="Aptos" w:hAnsi="Aptos"/>
          <w:sz w:val="20"/>
        </w:rPr>
        <w:t>Visual prominence, centrality, size, polish, animation, or proximity never imply evidence strength or truth.</w:t>
      </w:r>
    </w:p>
    <w:p>
      <w:pPr>
        <w:pStyle w:val="ListBullet"/>
        <w:spacing w:after="40"/>
      </w:pPr>
      <w:r>
        <w:rPr>
          <w:rFonts w:ascii="Aptos" w:hAnsi="Aptos"/>
          <w:sz w:val="20"/>
        </w:rPr>
        <w:t>Alignment, Equivalence, and Generation remain independent when exposed; no combined “truth score.”</w:t>
      </w:r>
    </w:p>
    <w:p>
      <w:pPr>
        <w:pStyle w:val="ListBullet"/>
        <w:spacing w:after="40"/>
      </w:pPr>
      <w:r>
        <w:rPr>
          <w:rFonts w:ascii="Aptos" w:hAnsi="Aptos"/>
          <w:sz w:val="20"/>
        </w:rPr>
        <w:t>Candidate, canonical, contradictory, superseded, historical, and unresolved states remain distinguishable where relevant.</w:t>
      </w:r>
    </w:p>
    <w:p>
      <w:pPr>
        <w:pStyle w:val="ListBullet"/>
        <w:spacing w:after="40"/>
      </w:pPr>
      <w:r>
        <w:rPr>
          <w:rFonts w:ascii="Aptos" w:hAnsi="Aptos"/>
          <w:sz w:val="20"/>
        </w:rPr>
        <w:t>Open problems and contradictions receive deliberate, non-alarmist visual treatment.</w:t>
      </w:r>
    </w:p>
    <w:p>
      <w:pPr>
        <w:pStyle w:val="ListBullet"/>
        <w:spacing w:after="40"/>
      </w:pPr>
      <w:r>
        <w:rPr>
          <w:rFonts w:ascii="Aptos" w:hAnsi="Aptos"/>
          <w:sz w:val="20"/>
        </w:rPr>
        <w:t>The Room should resemble disciplined examination/drafting, not a conspiracy wall.</w:t>
      </w:r>
    </w:p>
    <w:p>
      <w:pPr>
        <w:pStyle w:val="Heading1"/>
      </w:pPr>
      <w:r>
        <w:t>12. Commerce Tone</w:t>
      </w:r>
    </w:p>
    <w:p>
      <w:r>
        <w:t>Acquisition is subordinate to Artifact understanding. Outfitters and Artifact pages may use warm phrases such as “Take This With You,” but prices, formats, shipping, downloads, and external marketplaces must remain plain and easy to understand. No fake scarcity, urgency countdowns, manipulative popups, or conversion traps.</w:t>
      </w:r>
    </w:p>
    <w:p>
      <w:pPr>
        <w:pStyle w:val="Heading1"/>
      </w:pPr>
      <w:r>
        <w:t>13. Responsive and Accessibility Grammar</w:t>
      </w:r>
    </w:p>
    <w:p>
      <w:pPr>
        <w:pStyle w:val="ListBullet"/>
        <w:spacing w:after="40"/>
      </w:pPr>
      <w:r>
        <w:rPr>
          <w:rFonts w:ascii="Aptos" w:hAnsi="Aptos"/>
          <w:sz w:val="20"/>
        </w:rPr>
        <w:t>Mobile may radically recompose geometry while preserving semantic hierarchy and Room purpose.</w:t>
      </w:r>
    </w:p>
    <w:p>
      <w:pPr>
        <w:pStyle w:val="ListBullet"/>
        <w:spacing w:after="40"/>
      </w:pPr>
      <w:r>
        <w:rPr>
          <w:rFonts w:ascii="Aptos" w:hAnsi="Aptos"/>
          <w:sz w:val="20"/>
        </w:rPr>
        <w:t>Interactive targets remain touch-friendly and focusable.</w:t>
      </w:r>
    </w:p>
    <w:p>
      <w:pPr>
        <w:pStyle w:val="ListBullet"/>
        <w:spacing w:after="40"/>
      </w:pPr>
      <w:r>
        <w:rPr>
          <w:rFonts w:ascii="Aptos" w:hAnsi="Aptos"/>
          <w:sz w:val="20"/>
        </w:rPr>
        <w:t>Color contrast, focus indicators, text size, alt text, reduced motion, and keyboard access are first-class.</w:t>
      </w:r>
    </w:p>
    <w:p>
      <w:pPr>
        <w:pStyle w:val="ListBullet"/>
        <w:spacing w:after="40"/>
      </w:pPr>
      <w:r>
        <w:rPr>
          <w:rFonts w:ascii="Aptos" w:hAnsi="Aptos"/>
          <w:sz w:val="20"/>
        </w:rPr>
        <w:t>Hover is enhancement only.</w:t>
      </w:r>
    </w:p>
    <w:p>
      <w:pPr>
        <w:pStyle w:val="ListBullet"/>
        <w:spacing w:after="40"/>
      </w:pPr>
      <w:r>
        <w:rPr>
          <w:rFonts w:ascii="Aptos" w:hAnsi="Aptos"/>
          <w:sz w:val="20"/>
        </w:rPr>
        <w:t>Background art and atmospheric overlays may never compromise long-form reading or control clarity.</w:t>
      </w:r>
    </w:p>
    <w:p>
      <w:pPr>
        <w:pStyle w:val="Heading1"/>
      </w:pPr>
      <w:r>
        <w:t>14. Visual Anti-Patterns</w:t>
      </w:r>
    </w:p>
    <w:p>
      <w:pPr>
        <w:pStyle w:val="ListBullet"/>
        <w:spacing w:after="40"/>
      </w:pPr>
      <w:r>
        <w:rPr>
          <w:rFonts w:ascii="Aptos" w:hAnsi="Aptos"/>
          <w:sz w:val="20"/>
        </w:rPr>
        <w:t>Generic SaaS dashboard/card wall.</w:t>
      </w:r>
    </w:p>
    <w:p>
      <w:pPr>
        <w:pStyle w:val="ListBullet"/>
        <w:spacing w:after="40"/>
      </w:pPr>
      <w:r>
        <w:rPr>
          <w:rFonts w:ascii="Aptos" w:hAnsi="Aptos"/>
          <w:sz w:val="20"/>
        </w:rPr>
        <w:t>Equal visual weight for every Room, Artifact, or capability.</w:t>
      </w:r>
    </w:p>
    <w:p>
      <w:pPr>
        <w:pStyle w:val="ListBullet"/>
        <w:spacing w:after="40"/>
      </w:pPr>
      <w:r>
        <w:rPr>
          <w:rFonts w:ascii="Aptos" w:hAnsi="Aptos"/>
          <w:sz w:val="20"/>
        </w:rPr>
        <w:t>Over-themed ordinary utilities.</w:t>
      </w:r>
    </w:p>
    <w:p>
      <w:pPr>
        <w:pStyle w:val="ListBullet"/>
        <w:spacing w:after="40"/>
      </w:pPr>
      <w:r>
        <w:rPr>
          <w:rFonts w:ascii="Aptos" w:hAnsi="Aptos"/>
          <w:sz w:val="20"/>
        </w:rPr>
        <w:t>Fantasy-game navigation that hides real destinations.</w:t>
      </w:r>
    </w:p>
    <w:p>
      <w:pPr>
        <w:pStyle w:val="ListBullet"/>
        <w:spacing w:after="40"/>
      </w:pPr>
      <w:r>
        <w:rPr>
          <w:rFonts w:ascii="Aptos" w:hAnsi="Aptos"/>
          <w:sz w:val="20"/>
        </w:rPr>
        <w:t>Marketing gradients/urgency used to manufacture importance.</w:t>
      </w:r>
    </w:p>
    <w:p>
      <w:pPr>
        <w:pStyle w:val="ListBullet"/>
        <w:spacing w:after="40"/>
      </w:pPr>
      <w:r>
        <w:rPr>
          <w:rFonts w:ascii="Aptos" w:hAnsi="Aptos"/>
          <w:sz w:val="20"/>
        </w:rPr>
        <w:t>Badges that imply truth, quality, or priority from lifecycle state.</w:t>
      </w:r>
    </w:p>
    <w:p>
      <w:pPr>
        <w:pStyle w:val="ListBullet"/>
        <w:spacing w:after="40"/>
      </w:pPr>
      <w:r>
        <w:rPr>
          <w:rFonts w:ascii="Aptos" w:hAnsi="Aptos"/>
          <w:sz w:val="20"/>
        </w:rPr>
        <w:t>Random merch/storefront styling dominating the Studio.</w:t>
      </w:r>
    </w:p>
    <w:p>
      <w:pPr>
        <w:pStyle w:val="ListBullet"/>
        <w:spacing w:after="40"/>
      </w:pPr>
      <w:r>
        <w:rPr>
          <w:rFonts w:ascii="Aptos" w:hAnsi="Aptos"/>
          <w:sz w:val="20"/>
        </w:rPr>
        <w:t>Pixel-perfect desktop crops forced onto mobile.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5F"/>
        <w:sz w:val="15"/>
      </w:rPr>
      <w:t>v1.0 · September 3, 2026 · Canonical planning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65F"/>
        <w:sz w:val="15"/>
      </w:rPr>
      <w:t>FLUXMINTDIGITAL · WEBSITE CANONICAL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25483A"/>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522"/>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5C66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2548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MCallout">
    <w:name w:val="FM Callout"/>
    <w:pPr>
      <w:spacing w:before="140" w:after="160"/>
      <w:ind w:left="403" w:right="259"/>
    </w:pPr>
    <w:rPr>
      <w:rFonts w:ascii="Aptos" w:hAnsi="Aptos"/>
      <w:i/>
      <w:color w:val="2548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