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05 · FluxMintDigital Visual Scene &amp; Asset Architecture</w:t>
      </w:r>
    </w:p>
    <w:p>
      <w:pPr>
        <w:spacing w:after="100"/>
      </w:pPr>
      <w:r>
        <w:rPr>
          <w:rFonts w:ascii="Aptos" w:hAnsi="Aptos"/>
          <w:color w:val="5C665F"/>
          <w:sz w:val="23"/>
        </w:rPr>
        <w:t>Canonical contracts for immersive Room scenes, interactive objects, assets, and responsive compositions</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Scenes are presentation implementations of durable semantic places. Ontology governs scenes; scenes never define ontology.</w:t>
      </w:r>
    </w:p>
    <w:p>
      <w:r>
        <w:t>This document governs scene composition, landmark roles, hotspot classes, asset decomposition, animation eligibility, responsive variants, loading/fallback behavior, and visual specimen requirements.</w:t>
      </w:r>
    </w:p>
    <w:p>
      <w:r>
        <w:rPr>
          <w:rFonts w:ascii="Aptos" w:hAnsi="Aptos"/>
          <w:b/>
          <w:color w:val="1F2522"/>
        </w:rPr>
        <w:t xml:space="preserve">Authority relationship: </w:t>
      </w:r>
      <w:r>
        <w:rPr>
          <w:rFonts w:ascii="Aptos" w:hAnsi="Aptos"/>
          <w:color w:val="1F2522"/>
        </w:rPr>
        <w:t>Inherits Studio, Experience, and Design Language documents.</w:t>
      </w:r>
    </w:p>
    <w:p>
      <w:pPr>
        <w:pStyle w:val="Heading1"/>
      </w:pPr>
      <w:r>
        <w:t>1. Scene System Principles</w:t>
      </w:r>
    </w:p>
    <w:p>
      <w:pPr>
        <w:pStyle w:val="ListBullet"/>
        <w:spacing w:after="40"/>
      </w:pPr>
      <w:r>
        <w:rPr>
          <w:rFonts w:ascii="Aptos" w:hAnsi="Aptos"/>
          <w:sz w:val="20"/>
        </w:rPr>
        <w:t>Each Room scene expresses the Room’s purpose and primary verb rather than sharing a rigid template.</w:t>
      </w:r>
    </w:p>
    <w:p>
      <w:pPr>
        <w:pStyle w:val="ListBullet"/>
        <w:spacing w:after="40"/>
      </w:pPr>
      <w:r>
        <w:rPr>
          <w:rFonts w:ascii="Aptos" w:hAnsi="Aptos"/>
          <w:sz w:val="20"/>
        </w:rPr>
        <w:t>Canonical Room identity comes from landmark relationships and interaction roles, not exact pixel positions.</w:t>
      </w:r>
    </w:p>
    <w:p>
      <w:pPr>
        <w:pStyle w:val="ListBullet"/>
        <w:spacing w:after="40"/>
      </w:pPr>
      <w:r>
        <w:rPr>
          <w:rFonts w:ascii="Aptos" w:hAnsi="Aptos"/>
          <w:sz w:val="20"/>
        </w:rPr>
        <w:t>Immersive scenes are optional apertures over the same semantic routes and Artifacts.</w:t>
      </w:r>
    </w:p>
    <w:p>
      <w:pPr>
        <w:pStyle w:val="ListBullet"/>
        <w:spacing w:after="40"/>
      </w:pPr>
      <w:r>
        <w:rPr>
          <w:rFonts w:ascii="Aptos" w:hAnsi="Aptos"/>
          <w:sz w:val="20"/>
        </w:rPr>
        <w:t>Background décor is not content ontology.</w:t>
      </w:r>
    </w:p>
    <w:p>
      <w:pPr>
        <w:pStyle w:val="ListBullet"/>
        <w:spacing w:after="40"/>
      </w:pPr>
      <w:r>
        <w:rPr>
          <w:rFonts w:ascii="Aptos" w:hAnsi="Aptos"/>
          <w:sz w:val="20"/>
        </w:rPr>
        <w:t>Visual specimens will establish approved ground truth after the textual package is locked.</w:t>
      </w:r>
    </w:p>
    <w:p>
      <w:pPr>
        <w:pStyle w:val="Heading1"/>
      </w:pPr>
      <w:r>
        <w:t>2. Canonical Scene Inventory</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Scene</w:t>
            </w:r>
          </w:p>
        </w:tc>
        <w:tc>
          <w:tcPr>
            <w:tcW w:type="dxa" w:w="7344"/>
            <w:shd w:fill="25483A"/>
            <w:tcMar>
              <w:top w:w="90" w:type="dxa"/>
              <w:start w:w="100" w:type="dxa"/>
              <w:bottom w:w="90" w:type="dxa"/>
              <w:end w:w="100" w:type="dxa"/>
            </w:tcMar>
            <w:vAlign w:val="center"/>
          </w:tcPr>
          <w:p>
            <w:r>
              <w:rPr>
                <w:rFonts w:ascii="Aptos" w:hAnsi="Aptos"/>
                <w:b/>
                <w:color w:val="FFFFFF"/>
                <w:sz w:val="17"/>
              </w:rPr>
              <w:t>Role</w:t>
            </w:r>
          </w:p>
        </w:tc>
      </w:tr>
      <w:tr>
        <w:trPr>
          <w:cantSplit/>
        </w:trPr>
        <w:tc>
          <w:tcPr>
            <w:tcW w:type="dxa" w:w="2304"/>
            <w:tcMar>
              <w:top w:w="90" w:type="dxa"/>
              <w:start w:w="100" w:type="dxa"/>
              <w:bottom w:w="90" w:type="dxa"/>
              <w:end w:w="100" w:type="dxa"/>
            </w:tcMar>
          </w:tcPr>
          <w:p>
            <w:r>
              <w:rPr>
                <w:rFonts w:ascii="Aptos" w:hAnsi="Aptos"/>
                <w:color w:val="1F2522"/>
                <w:sz w:val="17"/>
              </w:rPr>
              <w:t>Forest</w:t>
            </w:r>
          </w:p>
        </w:tc>
        <w:tc>
          <w:tcPr>
            <w:tcW w:type="dxa" w:w="7344"/>
            <w:tcMar>
              <w:top w:w="90" w:type="dxa"/>
              <w:start w:w="100" w:type="dxa"/>
              <w:bottom w:w="90" w:type="dxa"/>
              <w:end w:w="100" w:type="dxa"/>
            </w:tcMar>
          </w:tcPr>
          <w:p>
            <w:r>
              <w:rPr>
                <w:rFonts w:ascii="Aptos" w:hAnsi="Aptos"/>
                <w:color w:val="1F2522"/>
                <w:sz w:val="17"/>
              </w:rPr>
              <w:t>Threshold: transition away from noise and toward curiosity.</w:t>
            </w:r>
          </w:p>
        </w:tc>
      </w:tr>
      <w:tr>
        <w:trPr>
          <w:cantSplit/>
        </w:trPr>
        <w:tc>
          <w:tcPr>
            <w:tcW w:type="dxa" w:w="2304"/>
            <w:tcMar>
              <w:top w:w="90" w:type="dxa"/>
              <w:start w:w="100" w:type="dxa"/>
              <w:bottom w:w="90" w:type="dxa"/>
              <w:end w:w="100" w:type="dxa"/>
            </w:tcMar>
            <w:shd w:fill="F7F9F7"/>
          </w:tcPr>
          <w:p>
            <w:r>
              <w:rPr>
                <w:rFonts w:ascii="Aptos" w:hAnsi="Aptos"/>
                <w:color w:val="1F2522"/>
                <w:sz w:val="17"/>
              </w:rPr>
              <w:t>Cabin Exterior</w:t>
            </w:r>
          </w:p>
        </w:tc>
        <w:tc>
          <w:tcPr>
            <w:tcW w:type="dxa" w:w="7344"/>
            <w:tcMar>
              <w:top w:w="90" w:type="dxa"/>
              <w:start w:w="100" w:type="dxa"/>
              <w:bottom w:w="90" w:type="dxa"/>
              <w:end w:w="100" w:type="dxa"/>
            </w:tcMar>
            <w:shd w:fill="F7F9F7"/>
          </w:tcPr>
          <w:p>
            <w:r>
              <w:rPr>
                <w:rFonts w:ascii="Aptos" w:hAnsi="Aptos"/>
                <w:color w:val="1F2522"/>
                <w:sz w:val="17"/>
              </w:rPr>
              <w:t>Threshold: warm invitation and physical arrival.</w:t>
            </w:r>
          </w:p>
        </w:tc>
      </w:tr>
      <w:tr>
        <w:trPr>
          <w:cantSplit/>
        </w:trPr>
        <w:tc>
          <w:tcPr>
            <w:tcW w:type="dxa" w:w="2304"/>
            <w:tcMar>
              <w:top w:w="90" w:type="dxa"/>
              <w:start w:w="100" w:type="dxa"/>
              <w:bottom w:w="90" w:type="dxa"/>
              <w:end w:w="100" w:type="dxa"/>
            </w:tcMar>
          </w:tcPr>
          <w:p>
            <w:r>
              <w:rPr>
                <w:rFonts w:ascii="Aptos" w:hAnsi="Aptos"/>
                <w:color w:val="1F2522"/>
                <w:sz w:val="17"/>
              </w:rPr>
              <w:t>Main Studio</w:t>
            </w:r>
          </w:p>
        </w:tc>
        <w:tc>
          <w:tcPr>
            <w:tcW w:type="dxa" w:w="7344"/>
            <w:tcMar>
              <w:top w:w="90" w:type="dxa"/>
              <w:start w:w="100" w:type="dxa"/>
              <w:bottom w:w="90" w:type="dxa"/>
              <w:end w:w="100" w:type="dxa"/>
            </w:tcMar>
          </w:tcPr>
          <w:p>
            <w:r>
              <w:rPr>
                <w:rFonts w:ascii="Aptos" w:hAnsi="Aptos"/>
                <w:color w:val="1F2522"/>
                <w:sz w:val="17"/>
              </w:rPr>
              <w:t>Hub: orientation, Desk/Now, Studio Map, six Room thresholds.</w:t>
            </w:r>
          </w:p>
        </w:tc>
      </w:tr>
      <w:tr>
        <w:trPr>
          <w:cantSplit/>
        </w:trPr>
        <w:tc>
          <w:tcPr>
            <w:tcW w:type="dxa" w:w="2304"/>
            <w:tcMar>
              <w:top w:w="90" w:type="dxa"/>
              <w:start w:w="100" w:type="dxa"/>
              <w:bottom w:w="90" w:type="dxa"/>
              <w:end w:w="100" w:type="dxa"/>
            </w:tcMar>
            <w:shd w:fill="F7F9F7"/>
          </w:tcPr>
          <w:p>
            <w:r>
              <w:rPr>
                <w:rFonts w:ascii="Aptos" w:hAnsi="Aptos"/>
                <w:color w:val="1F2522"/>
                <w:sz w:val="17"/>
              </w:rPr>
              <w:t>Library</w:t>
            </w:r>
          </w:p>
        </w:tc>
        <w:tc>
          <w:tcPr>
            <w:tcW w:type="dxa" w:w="7344"/>
            <w:tcMar>
              <w:top w:w="90" w:type="dxa"/>
              <w:start w:w="100" w:type="dxa"/>
              <w:bottom w:w="90" w:type="dxa"/>
              <w:end w:w="100" w:type="dxa"/>
            </w:tcMar>
            <w:shd w:fill="F7F9F7"/>
          </w:tcPr>
          <w:p>
            <w:r>
              <w:rPr>
                <w:rFonts w:ascii="Aptos" w:hAnsi="Aptos"/>
                <w:color w:val="1F2522"/>
                <w:sz w:val="17"/>
              </w:rPr>
              <w:t>Read: shelves/series/publications and authored knowledge.</w:t>
            </w:r>
          </w:p>
        </w:tc>
      </w:tr>
      <w:tr>
        <w:trPr>
          <w:cantSplit/>
        </w:trPr>
        <w:tc>
          <w:tcPr>
            <w:tcW w:type="dxa" w:w="2304"/>
            <w:tcMar>
              <w:top w:w="90" w:type="dxa"/>
              <w:start w:w="100" w:type="dxa"/>
              <w:bottom w:w="90" w:type="dxa"/>
              <w:end w:w="100" w:type="dxa"/>
            </w:tcMar>
          </w:tcPr>
          <w:p>
            <w:r>
              <w:rPr>
                <w:rFonts w:ascii="Aptos" w:hAnsi="Aptos"/>
                <w:color w:val="1F2522"/>
                <w:sz w:val="17"/>
              </w:rPr>
              <w:t>Workshop</w:t>
            </w:r>
          </w:p>
        </w:tc>
        <w:tc>
          <w:tcPr>
            <w:tcW w:type="dxa" w:w="7344"/>
            <w:tcMar>
              <w:top w:w="90" w:type="dxa"/>
              <w:start w:w="100" w:type="dxa"/>
              <w:bottom w:w="90" w:type="dxa"/>
              <w:end w:w="100" w:type="dxa"/>
            </w:tcMar>
          </w:tcPr>
          <w:p>
            <w:r>
              <w:rPr>
                <w:rFonts w:ascii="Aptos" w:hAnsi="Aptos"/>
                <w:color w:val="1F2522"/>
                <w:sz w:val="17"/>
              </w:rPr>
              <w:t>Build: active workbench, instruments, applications, tools, prototypes.</w:t>
            </w:r>
          </w:p>
        </w:tc>
      </w:tr>
      <w:tr>
        <w:trPr>
          <w:cantSplit/>
        </w:trPr>
        <w:tc>
          <w:tcPr>
            <w:tcW w:type="dxa" w:w="2304"/>
            <w:tcMar>
              <w:top w:w="90" w:type="dxa"/>
              <w:start w:w="100" w:type="dxa"/>
              <w:bottom w:w="90" w:type="dxa"/>
              <w:end w:w="100" w:type="dxa"/>
            </w:tcMar>
            <w:shd w:fill="F7F9F7"/>
          </w:tcPr>
          <w:p>
            <w:r>
              <w:rPr>
                <w:rFonts w:ascii="Aptos" w:hAnsi="Aptos"/>
                <w:color w:val="1F2522"/>
                <w:sz w:val="17"/>
              </w:rPr>
              <w:t>Architecture Wall</w:t>
            </w:r>
          </w:p>
        </w:tc>
        <w:tc>
          <w:tcPr>
            <w:tcW w:type="dxa" w:w="7344"/>
            <w:tcMar>
              <w:top w:w="90" w:type="dxa"/>
              <w:start w:w="100" w:type="dxa"/>
              <w:bottom w:w="90" w:type="dxa"/>
              <w:end w:w="100" w:type="dxa"/>
            </w:tcMar>
            <w:shd w:fill="F7F9F7"/>
          </w:tcPr>
          <w:p>
            <w:r>
              <w:rPr>
                <w:rFonts w:ascii="Aptos" w:hAnsi="Aptos"/>
                <w:color w:val="1F2522"/>
                <w:sz w:val="17"/>
              </w:rPr>
              <w:t>Examine: diagrams, models, evidence, contradictions, inquiry structure.</w:t>
            </w:r>
          </w:p>
        </w:tc>
      </w:tr>
      <w:tr>
        <w:trPr>
          <w:cantSplit/>
        </w:trPr>
        <w:tc>
          <w:tcPr>
            <w:tcW w:type="dxa" w:w="2304"/>
            <w:tcMar>
              <w:top w:w="90" w:type="dxa"/>
              <w:start w:w="100" w:type="dxa"/>
              <w:bottom w:w="90" w:type="dxa"/>
              <w:end w:w="100" w:type="dxa"/>
            </w:tcMar>
          </w:tcPr>
          <w:p>
            <w:r>
              <w:rPr>
                <w:rFonts w:ascii="Aptos" w:hAnsi="Aptos"/>
                <w:color w:val="1F2522"/>
                <w:sz w:val="17"/>
              </w:rPr>
              <w:t>Observatory</w:t>
            </w:r>
          </w:p>
        </w:tc>
        <w:tc>
          <w:tcPr>
            <w:tcW w:type="dxa" w:w="7344"/>
            <w:tcMar>
              <w:top w:w="90" w:type="dxa"/>
              <w:start w:w="100" w:type="dxa"/>
              <w:bottom w:w="90" w:type="dxa"/>
              <w:end w:w="100" w:type="dxa"/>
            </w:tcMar>
          </w:tcPr>
          <w:p>
            <w:r>
              <w:rPr>
                <w:rFonts w:ascii="Aptos" w:hAnsi="Aptos"/>
                <w:color w:val="1F2522"/>
                <w:sz w:val="17"/>
              </w:rPr>
              <w:t>Notice: telescope/desk/notes, reflective distance, editorial exploration.</w:t>
            </w:r>
          </w:p>
        </w:tc>
      </w:tr>
      <w:tr>
        <w:trPr>
          <w:cantSplit/>
        </w:trPr>
        <w:tc>
          <w:tcPr>
            <w:tcW w:type="dxa" w:w="2304"/>
            <w:tcMar>
              <w:top w:w="90" w:type="dxa"/>
              <w:start w:w="100" w:type="dxa"/>
              <w:bottom w:w="90" w:type="dxa"/>
              <w:end w:w="100" w:type="dxa"/>
            </w:tcMar>
            <w:shd w:fill="F7F9F7"/>
          </w:tcPr>
          <w:p>
            <w:r>
              <w:rPr>
                <w:rFonts w:ascii="Aptos" w:hAnsi="Aptos"/>
                <w:color w:val="1F2522"/>
                <w:sz w:val="17"/>
              </w:rPr>
              <w:t>Meeting Table</w:t>
            </w:r>
          </w:p>
        </w:tc>
        <w:tc>
          <w:tcPr>
            <w:tcW w:type="dxa" w:w="7344"/>
            <w:tcMar>
              <w:top w:w="90" w:type="dxa"/>
              <w:start w:w="100" w:type="dxa"/>
              <w:bottom w:w="90" w:type="dxa"/>
              <w:end w:w="100" w:type="dxa"/>
            </w:tcMar>
            <w:shd w:fill="F7F9F7"/>
          </w:tcPr>
          <w:p>
            <w:r>
              <w:rPr>
                <w:rFonts w:ascii="Aptos" w:hAnsi="Aptos"/>
                <w:color w:val="1F2522"/>
                <w:sz w:val="17"/>
              </w:rPr>
              <w:t>Collaborate: real problem intake, architecture discussion, examples/deliverables.</w:t>
            </w:r>
          </w:p>
        </w:tc>
      </w:tr>
      <w:tr>
        <w:trPr>
          <w:cantSplit/>
        </w:trPr>
        <w:tc>
          <w:tcPr>
            <w:tcW w:type="dxa" w:w="2304"/>
            <w:tcMar>
              <w:top w:w="90" w:type="dxa"/>
              <w:start w:w="100" w:type="dxa"/>
              <w:bottom w:w="90" w:type="dxa"/>
              <w:end w:w="100" w:type="dxa"/>
            </w:tcMar>
          </w:tcPr>
          <w:p>
            <w:r>
              <w:rPr>
                <w:rFonts w:ascii="Aptos" w:hAnsi="Aptos"/>
                <w:color w:val="1F2522"/>
                <w:sz w:val="17"/>
              </w:rPr>
              <w:t>Explorer Outfitters</w:t>
            </w:r>
          </w:p>
        </w:tc>
        <w:tc>
          <w:tcPr>
            <w:tcW w:type="dxa" w:w="7344"/>
            <w:tcMar>
              <w:top w:w="90" w:type="dxa"/>
              <w:start w:w="100" w:type="dxa"/>
              <w:bottom w:w="90" w:type="dxa"/>
              <w:end w:w="100" w:type="dxa"/>
            </w:tcMar>
          </w:tcPr>
          <w:p>
            <w:r>
              <w:rPr>
                <w:rFonts w:ascii="Aptos" w:hAnsi="Aptos"/>
                <w:color w:val="1F2522"/>
                <w:sz w:val="17"/>
              </w:rPr>
              <w:t>Take: curated meaningful take-home objects and acquisition access.</w:t>
            </w:r>
          </w:p>
        </w:tc>
      </w:tr>
    </w:tbl>
    <w:p>
      <w:pPr>
        <w:spacing w:after="20"/>
      </w:pPr>
    </w:p>
    <w:p>
      <w:pPr>
        <w:pStyle w:val="Heading1"/>
      </w:pPr>
      <w:r>
        <w:t>3. Scene Skeleton</w:t>
      </w:r>
    </w:p>
    <w:p>
      <w:pPr>
        <w:pStyle w:val="ListBullet"/>
        <w:spacing w:after="40"/>
      </w:pPr>
      <w:r>
        <w:rPr>
          <w:rFonts w:ascii="Aptos" w:hAnsi="Aptos"/>
          <w:sz w:val="20"/>
        </w:rPr>
        <w:t>Threshold/entry</w:t>
      </w:r>
    </w:p>
    <w:p>
      <w:pPr>
        <w:pStyle w:val="ListBullet"/>
        <w:spacing w:after="40"/>
      </w:pPr>
      <w:r>
        <w:rPr>
          <w:rFonts w:ascii="Aptos" w:hAnsi="Aptos"/>
          <w:sz w:val="20"/>
        </w:rPr>
        <w:t>Room identity landmark</w:t>
      </w:r>
    </w:p>
    <w:p>
      <w:pPr>
        <w:pStyle w:val="ListBullet"/>
        <w:spacing w:after="40"/>
      </w:pPr>
      <w:r>
        <w:rPr>
          <w:rFonts w:ascii="Aptos" w:hAnsi="Aptos"/>
          <w:sz w:val="20"/>
        </w:rPr>
        <w:t>Primary workspace</w:t>
      </w:r>
    </w:p>
    <w:p>
      <w:pPr>
        <w:pStyle w:val="ListBullet"/>
        <w:spacing w:after="40"/>
      </w:pPr>
      <w:r>
        <w:rPr>
          <w:rFonts w:ascii="Aptos" w:hAnsi="Aptos"/>
          <w:sz w:val="20"/>
        </w:rPr>
        <w:t>Depth layer</w:t>
      </w:r>
    </w:p>
    <w:p>
      <w:pPr>
        <w:pStyle w:val="ListBullet"/>
        <w:spacing w:after="40"/>
      </w:pPr>
      <w:r>
        <w:rPr>
          <w:rFonts w:ascii="Aptos" w:hAnsi="Aptos"/>
          <w:sz w:val="20"/>
        </w:rPr>
        <w:t>Relationship exits</w:t>
      </w:r>
    </w:p>
    <w:p>
      <w:pPr>
        <w:pStyle w:val="ListBullet"/>
        <w:spacing w:after="40"/>
      </w:pPr>
      <w:r>
        <w:rPr>
          <w:rFonts w:ascii="Aptos" w:hAnsi="Aptos"/>
          <w:sz w:val="20"/>
        </w:rPr>
        <w:t>Return path</w:t>
      </w:r>
    </w:p>
    <w:p>
      <w:pPr>
        <w:pStyle w:val="ListBullet"/>
        <w:spacing w:after="40"/>
      </w:pPr>
      <w:r>
        <w:rPr>
          <w:rFonts w:ascii="Aptos" w:hAnsi="Aptos"/>
          <w:sz w:val="20"/>
        </w:rPr>
        <w:t>Optional Explorer/DJ presence</w:t>
      </w:r>
    </w:p>
    <w:p>
      <w:pPr>
        <w:pStyle w:val="ListBullet"/>
        <w:spacing w:after="40"/>
      </w:pPr>
      <w:r>
        <w:rPr>
          <w:rFonts w:ascii="Aptos" w:hAnsi="Aptos"/>
          <w:sz w:val="20"/>
        </w:rPr>
        <w:t>Ambient layer</w:t>
      </w:r>
    </w:p>
    <w:p>
      <w:pPr>
        <w:pStyle w:val="Heading1"/>
      </w:pPr>
      <w:r>
        <w:t>4. Object Classification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Class</w:t>
            </w:r>
          </w:p>
        </w:tc>
        <w:tc>
          <w:tcPr>
            <w:tcW w:type="dxa" w:w="3888"/>
            <w:shd w:fill="25483A"/>
            <w:tcMar>
              <w:top w:w="90" w:type="dxa"/>
              <w:start w:w="100" w:type="dxa"/>
              <w:bottom w:w="90" w:type="dxa"/>
              <w:end w:w="100" w:type="dxa"/>
            </w:tcMar>
            <w:vAlign w:val="center"/>
          </w:tcPr>
          <w:p>
            <w:r>
              <w:rPr>
                <w:rFonts w:ascii="Aptos" w:hAnsi="Aptos"/>
                <w:b/>
                <w:color w:val="FFFFFF"/>
                <w:sz w:val="17"/>
              </w:rPr>
              <w:t>Definition</w:t>
            </w:r>
          </w:p>
        </w:tc>
        <w:tc>
          <w:tcPr>
            <w:tcW w:type="dxa" w:w="3600"/>
            <w:shd w:fill="25483A"/>
            <w:tcMar>
              <w:top w:w="90" w:type="dxa"/>
              <w:start w:w="100" w:type="dxa"/>
              <w:bottom w:w="90" w:type="dxa"/>
              <w:end w:w="100" w:type="dxa"/>
            </w:tcMar>
            <w:vAlign w:val="center"/>
          </w:tcPr>
          <w:p>
            <w:r>
              <w:rPr>
                <w:rFonts w:ascii="Aptos" w:hAnsi="Aptos"/>
                <w:b/>
                <w:color w:val="FFFFFF"/>
                <w:sz w:val="17"/>
              </w:rPr>
              <w:t>Examples</w:t>
            </w:r>
          </w:p>
        </w:tc>
      </w:tr>
      <w:tr>
        <w:trPr>
          <w:cantSplit/>
        </w:trPr>
        <w:tc>
          <w:tcPr>
            <w:tcW w:type="dxa" w:w="2160"/>
            <w:tcMar>
              <w:top w:w="90" w:type="dxa"/>
              <w:start w:w="100" w:type="dxa"/>
              <w:bottom w:w="90" w:type="dxa"/>
              <w:end w:w="100" w:type="dxa"/>
            </w:tcMar>
          </w:tcPr>
          <w:p>
            <w:r>
              <w:rPr>
                <w:rFonts w:ascii="Aptos" w:hAnsi="Aptos"/>
                <w:color w:val="1F2522"/>
                <w:sz w:val="17"/>
              </w:rPr>
              <w:t>Semantic threshold</w:t>
            </w:r>
          </w:p>
        </w:tc>
        <w:tc>
          <w:tcPr>
            <w:tcW w:type="dxa" w:w="3888"/>
            <w:tcMar>
              <w:top w:w="90" w:type="dxa"/>
              <w:start w:w="100" w:type="dxa"/>
              <w:bottom w:w="90" w:type="dxa"/>
              <w:end w:w="100" w:type="dxa"/>
            </w:tcMar>
          </w:tcPr>
          <w:p>
            <w:r>
              <w:rPr>
                <w:rFonts w:ascii="Aptos" w:hAnsi="Aptos"/>
                <w:color w:val="1F2522"/>
                <w:sz w:val="17"/>
              </w:rPr>
              <w:t>Navigates to a major place.</w:t>
            </w:r>
          </w:p>
        </w:tc>
        <w:tc>
          <w:tcPr>
            <w:tcW w:type="dxa" w:w="3600"/>
            <w:tcMar>
              <w:top w:w="90" w:type="dxa"/>
              <w:start w:w="100" w:type="dxa"/>
              <w:bottom w:w="90" w:type="dxa"/>
              <w:end w:w="100" w:type="dxa"/>
            </w:tcMar>
          </w:tcPr>
          <w:p>
            <w:r>
              <w:rPr>
                <w:rFonts w:ascii="Aptos" w:hAnsi="Aptos"/>
                <w:color w:val="1F2522"/>
                <w:sz w:val="17"/>
              </w:rPr>
              <w:t>Door, passage, room threshold.</w:t>
            </w:r>
          </w:p>
        </w:tc>
      </w:tr>
      <w:tr>
        <w:trPr>
          <w:cantSplit/>
        </w:trPr>
        <w:tc>
          <w:tcPr>
            <w:tcW w:type="dxa" w:w="2160"/>
            <w:tcMar>
              <w:top w:w="90" w:type="dxa"/>
              <w:start w:w="100" w:type="dxa"/>
              <w:bottom w:w="90" w:type="dxa"/>
              <w:end w:w="100" w:type="dxa"/>
            </w:tcMar>
            <w:shd w:fill="F7F9F7"/>
          </w:tcPr>
          <w:p>
            <w:r>
              <w:rPr>
                <w:rFonts w:ascii="Aptos" w:hAnsi="Aptos"/>
                <w:color w:val="1F2522"/>
                <w:sz w:val="17"/>
              </w:rPr>
              <w:t>Artifact object</w:t>
            </w:r>
          </w:p>
        </w:tc>
        <w:tc>
          <w:tcPr>
            <w:tcW w:type="dxa" w:w="3888"/>
            <w:tcMar>
              <w:top w:w="90" w:type="dxa"/>
              <w:start w:w="100" w:type="dxa"/>
              <w:bottom w:w="90" w:type="dxa"/>
              <w:end w:w="100" w:type="dxa"/>
            </w:tcMar>
            <w:shd w:fill="F7F9F7"/>
          </w:tcPr>
          <w:p>
            <w:r>
              <w:rPr>
                <w:rFonts w:ascii="Aptos" w:hAnsi="Aptos"/>
                <w:color w:val="1F2522"/>
                <w:sz w:val="17"/>
              </w:rPr>
              <w:t>Represents a canonical Artifact or meaningful inspectable object.</w:t>
            </w:r>
          </w:p>
        </w:tc>
        <w:tc>
          <w:tcPr>
            <w:tcW w:type="dxa" w:w="3600"/>
            <w:tcMar>
              <w:top w:w="90" w:type="dxa"/>
              <w:start w:w="100" w:type="dxa"/>
              <w:bottom w:w="90" w:type="dxa"/>
              <w:end w:w="100" w:type="dxa"/>
            </w:tcMar>
            <w:shd w:fill="F7F9F7"/>
          </w:tcPr>
          <w:p>
            <w:r>
              <w:rPr>
                <w:rFonts w:ascii="Aptos" w:hAnsi="Aptos"/>
                <w:color w:val="1F2522"/>
                <w:sz w:val="17"/>
              </w:rPr>
              <w:t>Book cover, active application monitor, pinned framework.</w:t>
            </w:r>
          </w:p>
        </w:tc>
      </w:tr>
      <w:tr>
        <w:trPr>
          <w:cantSplit/>
        </w:trPr>
        <w:tc>
          <w:tcPr>
            <w:tcW w:type="dxa" w:w="2160"/>
            <w:tcMar>
              <w:top w:w="90" w:type="dxa"/>
              <w:start w:w="100" w:type="dxa"/>
              <w:bottom w:w="90" w:type="dxa"/>
              <w:end w:w="100" w:type="dxa"/>
            </w:tcMar>
          </w:tcPr>
          <w:p>
            <w:r>
              <w:rPr>
                <w:rFonts w:ascii="Aptos" w:hAnsi="Aptos"/>
                <w:color w:val="1F2522"/>
                <w:sz w:val="17"/>
              </w:rPr>
              <w:t>Stateful scene object</w:t>
            </w:r>
          </w:p>
        </w:tc>
        <w:tc>
          <w:tcPr>
            <w:tcW w:type="dxa" w:w="3888"/>
            <w:tcMar>
              <w:top w:w="90" w:type="dxa"/>
              <w:start w:w="100" w:type="dxa"/>
              <w:bottom w:w="90" w:type="dxa"/>
              <w:end w:w="100" w:type="dxa"/>
            </w:tcMar>
          </w:tcPr>
          <w:p>
            <w:r>
              <w:rPr>
                <w:rFonts w:ascii="Aptos" w:hAnsi="Aptos"/>
                <w:color w:val="1F2522"/>
                <w:sz w:val="17"/>
              </w:rPr>
              <w:t>Changes because Studio state changes.</w:t>
            </w:r>
          </w:p>
        </w:tc>
        <w:tc>
          <w:tcPr>
            <w:tcW w:type="dxa" w:w="3600"/>
            <w:tcMar>
              <w:top w:w="90" w:type="dxa"/>
              <w:start w:w="100" w:type="dxa"/>
              <w:bottom w:w="90" w:type="dxa"/>
              <w:end w:w="100" w:type="dxa"/>
            </w:tcMar>
          </w:tcPr>
          <w:p>
            <w:r>
              <w:rPr>
                <w:rFonts w:ascii="Aptos" w:hAnsi="Aptos"/>
                <w:color w:val="1F2522"/>
                <w:sz w:val="17"/>
              </w:rPr>
              <w:t>Desk stack, active workbench object, current note.</w:t>
            </w:r>
          </w:p>
        </w:tc>
      </w:tr>
      <w:tr>
        <w:trPr>
          <w:cantSplit/>
        </w:trPr>
        <w:tc>
          <w:tcPr>
            <w:tcW w:type="dxa" w:w="2160"/>
            <w:tcMar>
              <w:top w:w="90" w:type="dxa"/>
              <w:start w:w="100" w:type="dxa"/>
              <w:bottom w:w="90" w:type="dxa"/>
              <w:end w:w="100" w:type="dxa"/>
            </w:tcMar>
            <w:shd w:fill="F7F9F7"/>
          </w:tcPr>
          <w:p>
            <w:r>
              <w:rPr>
                <w:rFonts w:ascii="Aptos" w:hAnsi="Aptos"/>
                <w:color w:val="1F2522"/>
                <w:sz w:val="17"/>
              </w:rPr>
              <w:t>Ambient interactive</w:t>
            </w:r>
          </w:p>
        </w:tc>
        <w:tc>
          <w:tcPr>
            <w:tcW w:type="dxa" w:w="3888"/>
            <w:tcMar>
              <w:top w:w="90" w:type="dxa"/>
              <w:start w:w="100" w:type="dxa"/>
              <w:bottom w:w="90" w:type="dxa"/>
              <w:end w:w="100" w:type="dxa"/>
            </w:tcMar>
            <w:shd w:fill="F7F9F7"/>
          </w:tcPr>
          <w:p>
            <w:r>
              <w:rPr>
                <w:rFonts w:ascii="Aptos" w:hAnsi="Aptos"/>
                <w:color w:val="1F2522"/>
                <w:sz w:val="17"/>
              </w:rPr>
              <w:t>Optional delight or atmosphere.</w:t>
            </w:r>
          </w:p>
        </w:tc>
        <w:tc>
          <w:tcPr>
            <w:tcW w:type="dxa" w:w="3600"/>
            <w:tcMar>
              <w:top w:w="90" w:type="dxa"/>
              <w:start w:w="100" w:type="dxa"/>
              <w:bottom w:w="90" w:type="dxa"/>
              <w:end w:w="100" w:type="dxa"/>
            </w:tcMar>
            <w:shd w:fill="F7F9F7"/>
          </w:tcPr>
          <w:p>
            <w:r>
              <w:rPr>
                <w:rFonts w:ascii="Aptos" w:hAnsi="Aptos"/>
                <w:color w:val="1F2522"/>
                <w:sz w:val="17"/>
              </w:rPr>
              <w:t>Lamp toggle, subtle telescope motion, steam.</w:t>
            </w:r>
          </w:p>
        </w:tc>
      </w:tr>
      <w:tr>
        <w:trPr>
          <w:cantSplit/>
        </w:trPr>
        <w:tc>
          <w:tcPr>
            <w:tcW w:type="dxa" w:w="2160"/>
            <w:tcMar>
              <w:top w:w="90" w:type="dxa"/>
              <w:start w:w="100" w:type="dxa"/>
              <w:bottom w:w="90" w:type="dxa"/>
              <w:end w:w="100" w:type="dxa"/>
            </w:tcMar>
          </w:tcPr>
          <w:p>
            <w:r>
              <w:rPr>
                <w:rFonts w:ascii="Aptos" w:hAnsi="Aptos"/>
                <w:color w:val="1F2522"/>
                <w:sz w:val="17"/>
              </w:rPr>
              <w:t>Decorative</w:t>
            </w:r>
          </w:p>
        </w:tc>
        <w:tc>
          <w:tcPr>
            <w:tcW w:type="dxa" w:w="3888"/>
            <w:tcMar>
              <w:top w:w="90" w:type="dxa"/>
              <w:start w:w="100" w:type="dxa"/>
              <w:bottom w:w="90" w:type="dxa"/>
              <w:end w:w="100" w:type="dxa"/>
            </w:tcMar>
          </w:tcPr>
          <w:p>
            <w:r>
              <w:rPr>
                <w:rFonts w:ascii="Aptos" w:hAnsi="Aptos"/>
                <w:color w:val="1F2522"/>
                <w:sz w:val="17"/>
              </w:rPr>
              <w:t>Visual composition only.</w:t>
            </w:r>
          </w:p>
        </w:tc>
        <w:tc>
          <w:tcPr>
            <w:tcW w:type="dxa" w:w="3600"/>
            <w:tcMar>
              <w:top w:w="90" w:type="dxa"/>
              <w:start w:w="100" w:type="dxa"/>
              <w:bottom w:w="90" w:type="dxa"/>
              <w:end w:w="100" w:type="dxa"/>
            </w:tcMar>
          </w:tcPr>
          <w:p>
            <w:r>
              <w:rPr>
                <w:rFonts w:ascii="Aptos" w:hAnsi="Aptos"/>
                <w:color w:val="1F2522"/>
                <w:sz w:val="17"/>
              </w:rPr>
              <w:t>Mug, shelf filler, plant, tools unless independently meaningful.</w:t>
            </w:r>
          </w:p>
        </w:tc>
      </w:tr>
    </w:tbl>
    <w:p>
      <w:pPr>
        <w:spacing w:after="20"/>
      </w:pPr>
    </w:p>
    <w:p>
      <w:pPr>
        <w:pStyle w:val="FMCallout"/>
      </w:pPr>
      <w:r>
        <w:rPr>
          <w:rFonts w:ascii="Aptos" w:hAnsi="Aptos"/>
          <w:i/>
          <w:color w:val="25483A"/>
          <w:sz w:val="21"/>
        </w:rPr>
        <w:t>Separate an object from the background only when state, interaction, animation, or reuse requires it.</w:t>
      </w:r>
    </w:p>
    <w:p>
      <w:pPr>
        <w:pStyle w:val="Heading1"/>
      </w:pPr>
      <w:r>
        <w:t>5. Asset Decomposition Rule</w:t>
      </w:r>
    </w:p>
    <w:p>
      <w:r>
        <w:t>A scene should default to a stable composed background plus the smallest practical set of separable foreground/state assets. Do not explode every visible object into a separate file. An object earns separation when it needs independent interaction, animation, state change, layering, responsive relocation, reuse, or accessibility semantics.</w:t>
      </w:r>
    </w:p>
    <w:p>
      <w:pPr>
        <w:pStyle w:val="Heading1"/>
      </w:pPr>
      <w:r>
        <w:t>6. Asset Families and Roles</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Role</w:t>
            </w:r>
          </w:p>
        </w:tc>
        <w:tc>
          <w:tcPr>
            <w:tcW w:type="dxa" w:w="7344"/>
            <w:shd w:fill="25483A"/>
            <w:tcMar>
              <w:top w:w="90" w:type="dxa"/>
              <w:start w:w="100" w:type="dxa"/>
              <w:bottom w:w="90" w:type="dxa"/>
              <w:end w:w="100" w:type="dxa"/>
            </w:tcMar>
            <w:vAlign w:val="center"/>
          </w:tcPr>
          <w:p>
            <w:r>
              <w:rPr>
                <w:rFonts w:ascii="Aptos" w:hAnsi="Aptos"/>
                <w:b/>
                <w:color w:val="FFFFFF"/>
                <w:sz w:val="17"/>
              </w:rPr>
              <w:t>Examples</w:t>
            </w:r>
          </w:p>
        </w:tc>
      </w:tr>
      <w:tr>
        <w:trPr>
          <w:cantSplit/>
        </w:trPr>
        <w:tc>
          <w:tcPr>
            <w:tcW w:type="dxa" w:w="2304"/>
            <w:tcMar>
              <w:top w:w="90" w:type="dxa"/>
              <w:start w:w="100" w:type="dxa"/>
              <w:bottom w:w="90" w:type="dxa"/>
              <w:end w:w="100" w:type="dxa"/>
            </w:tcMar>
          </w:tcPr>
          <w:p>
            <w:r>
              <w:rPr>
                <w:rFonts w:ascii="Aptos" w:hAnsi="Aptos"/>
                <w:color w:val="1F2522"/>
                <w:sz w:val="17"/>
              </w:rPr>
              <w:t>Scene background</w:t>
            </w:r>
          </w:p>
        </w:tc>
        <w:tc>
          <w:tcPr>
            <w:tcW w:type="dxa" w:w="7344"/>
            <w:tcMar>
              <w:top w:w="90" w:type="dxa"/>
              <w:start w:w="100" w:type="dxa"/>
              <w:bottom w:w="90" w:type="dxa"/>
              <w:end w:w="100" w:type="dxa"/>
            </w:tcMar>
          </w:tcPr>
          <w:p>
            <w:r>
              <w:rPr>
                <w:rFonts w:ascii="Aptos" w:hAnsi="Aptos"/>
                <w:color w:val="1F2522"/>
                <w:sz w:val="17"/>
              </w:rPr>
              <w:t>Canonical desktop/mobile Room composition without separately stateful objects.</w:t>
            </w:r>
          </w:p>
        </w:tc>
      </w:tr>
      <w:tr>
        <w:trPr>
          <w:cantSplit/>
        </w:trPr>
        <w:tc>
          <w:tcPr>
            <w:tcW w:type="dxa" w:w="2304"/>
            <w:tcMar>
              <w:top w:w="90" w:type="dxa"/>
              <w:start w:w="100" w:type="dxa"/>
              <w:bottom w:w="90" w:type="dxa"/>
              <w:end w:w="100" w:type="dxa"/>
            </w:tcMar>
            <w:shd w:fill="F7F9F7"/>
          </w:tcPr>
          <w:p>
            <w:r>
              <w:rPr>
                <w:rFonts w:ascii="Aptos" w:hAnsi="Aptos"/>
                <w:color w:val="1F2522"/>
                <w:sz w:val="17"/>
              </w:rPr>
              <w:t>Character</w:t>
            </w:r>
          </w:p>
        </w:tc>
        <w:tc>
          <w:tcPr>
            <w:tcW w:type="dxa" w:w="7344"/>
            <w:tcMar>
              <w:top w:w="90" w:type="dxa"/>
              <w:start w:w="100" w:type="dxa"/>
              <w:bottom w:w="90" w:type="dxa"/>
              <w:end w:w="100" w:type="dxa"/>
            </w:tcMar>
            <w:shd w:fill="F7F9F7"/>
          </w:tcPr>
          <w:p>
            <w:r>
              <w:rPr>
                <w:rFonts w:ascii="Aptos" w:hAnsi="Aptos"/>
                <w:color w:val="1F2522"/>
                <w:sz w:val="17"/>
              </w:rPr>
              <w:t>Explorer DJ, realistic illustrated DJ, pose variants.</w:t>
            </w:r>
          </w:p>
        </w:tc>
      </w:tr>
      <w:tr>
        <w:trPr>
          <w:cantSplit/>
        </w:trPr>
        <w:tc>
          <w:tcPr>
            <w:tcW w:type="dxa" w:w="2304"/>
            <w:tcMar>
              <w:top w:w="90" w:type="dxa"/>
              <w:start w:w="100" w:type="dxa"/>
              <w:bottom w:w="90" w:type="dxa"/>
              <w:end w:w="100" w:type="dxa"/>
            </w:tcMar>
          </w:tcPr>
          <w:p>
            <w:r>
              <w:rPr>
                <w:rFonts w:ascii="Aptos" w:hAnsi="Aptos"/>
                <w:color w:val="1F2522"/>
                <w:sz w:val="17"/>
              </w:rPr>
              <w:t>Threshold</w:t>
            </w:r>
          </w:p>
        </w:tc>
        <w:tc>
          <w:tcPr>
            <w:tcW w:type="dxa" w:w="7344"/>
            <w:tcMar>
              <w:top w:w="90" w:type="dxa"/>
              <w:start w:w="100" w:type="dxa"/>
              <w:bottom w:w="90" w:type="dxa"/>
              <w:end w:w="100" w:type="dxa"/>
            </w:tcMar>
          </w:tcPr>
          <w:p>
            <w:r>
              <w:rPr>
                <w:rFonts w:ascii="Aptos" w:hAnsi="Aptos"/>
                <w:color w:val="1F2522"/>
                <w:sz w:val="17"/>
              </w:rPr>
              <w:t>Door/passage/Room marker if independently interactive.</w:t>
            </w:r>
          </w:p>
        </w:tc>
      </w:tr>
      <w:tr>
        <w:trPr>
          <w:cantSplit/>
        </w:trPr>
        <w:tc>
          <w:tcPr>
            <w:tcW w:type="dxa" w:w="2304"/>
            <w:tcMar>
              <w:top w:w="90" w:type="dxa"/>
              <w:start w:w="100" w:type="dxa"/>
              <w:bottom w:w="90" w:type="dxa"/>
              <w:end w:w="100" w:type="dxa"/>
            </w:tcMar>
            <w:shd w:fill="F7F9F7"/>
          </w:tcPr>
          <w:p>
            <w:r>
              <w:rPr>
                <w:rFonts w:ascii="Aptos" w:hAnsi="Aptos"/>
                <w:color w:val="1F2522"/>
                <w:sz w:val="17"/>
              </w:rPr>
              <w:t>Artifact proxy</w:t>
            </w:r>
          </w:p>
        </w:tc>
        <w:tc>
          <w:tcPr>
            <w:tcW w:type="dxa" w:w="7344"/>
            <w:tcMar>
              <w:top w:w="90" w:type="dxa"/>
              <w:start w:w="100" w:type="dxa"/>
              <w:bottom w:w="90" w:type="dxa"/>
              <w:end w:w="100" w:type="dxa"/>
            </w:tcMar>
            <w:shd w:fill="F7F9F7"/>
          </w:tcPr>
          <w:p>
            <w:r>
              <w:rPr>
                <w:rFonts w:ascii="Aptos" w:hAnsi="Aptos"/>
                <w:color w:val="1F2522"/>
                <w:sz w:val="17"/>
              </w:rPr>
              <w:t>Book cover, screen, blueprint, research card/paper.</w:t>
            </w:r>
          </w:p>
        </w:tc>
      </w:tr>
      <w:tr>
        <w:trPr>
          <w:cantSplit/>
        </w:trPr>
        <w:tc>
          <w:tcPr>
            <w:tcW w:type="dxa" w:w="2304"/>
            <w:tcMar>
              <w:top w:w="90" w:type="dxa"/>
              <w:start w:w="100" w:type="dxa"/>
              <w:bottom w:w="90" w:type="dxa"/>
              <w:end w:w="100" w:type="dxa"/>
            </w:tcMar>
          </w:tcPr>
          <w:p>
            <w:r>
              <w:rPr>
                <w:rFonts w:ascii="Aptos" w:hAnsi="Aptos"/>
                <w:color w:val="1F2522"/>
                <w:sz w:val="17"/>
              </w:rPr>
              <w:t>Stateful prop</w:t>
            </w:r>
          </w:p>
        </w:tc>
        <w:tc>
          <w:tcPr>
            <w:tcW w:type="dxa" w:w="7344"/>
            <w:tcMar>
              <w:top w:w="90" w:type="dxa"/>
              <w:start w:w="100" w:type="dxa"/>
              <w:bottom w:w="90" w:type="dxa"/>
              <w:end w:w="100" w:type="dxa"/>
            </w:tcMar>
          </w:tcPr>
          <w:p>
            <w:r>
              <w:rPr>
                <w:rFonts w:ascii="Aptos" w:hAnsi="Aptos"/>
                <w:color w:val="1F2522"/>
                <w:sz w:val="17"/>
              </w:rPr>
              <w:t>Notebook, lantern, mug steam, active tool, current stack only when stateful.</w:t>
            </w:r>
          </w:p>
        </w:tc>
      </w:tr>
      <w:tr>
        <w:trPr>
          <w:cantSplit/>
        </w:trPr>
        <w:tc>
          <w:tcPr>
            <w:tcW w:type="dxa" w:w="2304"/>
            <w:tcMar>
              <w:top w:w="90" w:type="dxa"/>
              <w:start w:w="100" w:type="dxa"/>
              <w:bottom w:w="90" w:type="dxa"/>
              <w:end w:w="100" w:type="dxa"/>
            </w:tcMar>
            <w:shd w:fill="F7F9F7"/>
          </w:tcPr>
          <w:p>
            <w:r>
              <w:rPr>
                <w:rFonts w:ascii="Aptos" w:hAnsi="Aptos"/>
                <w:color w:val="1F2522"/>
                <w:sz w:val="17"/>
              </w:rPr>
              <w:t>Ambient effect</w:t>
            </w:r>
          </w:p>
        </w:tc>
        <w:tc>
          <w:tcPr>
            <w:tcW w:type="dxa" w:w="7344"/>
            <w:tcMar>
              <w:top w:w="90" w:type="dxa"/>
              <w:start w:w="100" w:type="dxa"/>
              <w:bottom w:w="90" w:type="dxa"/>
              <w:end w:w="100" w:type="dxa"/>
            </w:tcMar>
            <w:shd w:fill="F7F9F7"/>
          </w:tcPr>
          <w:p>
            <w:r>
              <w:rPr>
                <w:rFonts w:ascii="Aptos" w:hAnsi="Aptos"/>
                <w:color w:val="1F2522"/>
                <w:sz w:val="17"/>
              </w:rPr>
              <w:t>Window light, dust, steam, glow, weather/lighting layer where appropriate.</w:t>
            </w:r>
          </w:p>
        </w:tc>
      </w:tr>
      <w:tr>
        <w:trPr>
          <w:cantSplit/>
        </w:trPr>
        <w:tc>
          <w:tcPr>
            <w:tcW w:type="dxa" w:w="2304"/>
            <w:tcMar>
              <w:top w:w="90" w:type="dxa"/>
              <w:start w:w="100" w:type="dxa"/>
              <w:bottom w:w="90" w:type="dxa"/>
              <w:end w:w="100" w:type="dxa"/>
            </w:tcMar>
          </w:tcPr>
          <w:p>
            <w:r>
              <w:rPr>
                <w:rFonts w:ascii="Aptos" w:hAnsi="Aptos"/>
                <w:color w:val="1F2522"/>
                <w:sz w:val="17"/>
              </w:rPr>
              <w:t>UI overlay</w:t>
            </w:r>
          </w:p>
        </w:tc>
        <w:tc>
          <w:tcPr>
            <w:tcW w:type="dxa" w:w="7344"/>
            <w:tcMar>
              <w:top w:w="90" w:type="dxa"/>
              <w:start w:w="100" w:type="dxa"/>
              <w:bottom w:w="90" w:type="dxa"/>
              <w:end w:w="100" w:type="dxa"/>
            </w:tcMar>
          </w:tcPr>
          <w:p>
            <w:r>
              <w:rPr>
                <w:rFonts w:ascii="Aptos" w:hAnsi="Aptos"/>
                <w:color w:val="1F2522"/>
                <w:sz w:val="17"/>
              </w:rPr>
              <w:t>Hotspot focus outline, accessible label, contextual inspect panel.</w:t>
            </w:r>
          </w:p>
        </w:tc>
      </w:tr>
    </w:tbl>
    <w:p>
      <w:pPr>
        <w:spacing w:after="20"/>
      </w:pPr>
    </w:p>
    <w:p>
      <w:pPr>
        <w:pStyle w:val="Heading1"/>
      </w:pPr>
      <w:r>
        <w:t>7. Hotspot Contract</w:t>
      </w:r>
    </w:p>
    <w:p>
      <w:pPr>
        <w:pStyle w:val="ListBullet"/>
        <w:spacing w:after="40"/>
      </w:pPr>
      <w:r>
        <w:rPr>
          <w:rFonts w:ascii="Aptos" w:hAnsi="Aptos"/>
          <w:sz w:val="20"/>
        </w:rPr>
        <w:t>Hotspots correspond only to meaningful Threshold, Object, or deliberately approved Ambient interactions.</w:t>
      </w:r>
    </w:p>
    <w:p>
      <w:pPr>
        <w:pStyle w:val="ListBullet"/>
        <w:spacing w:after="40"/>
      </w:pPr>
      <w:r>
        <w:rPr>
          <w:rFonts w:ascii="Aptos" w:hAnsi="Aptos"/>
          <w:sz w:val="20"/>
        </w:rPr>
        <w:t>Hit targets are larger than the visible fine detail where necessary for usability.</w:t>
      </w:r>
    </w:p>
    <w:p>
      <w:pPr>
        <w:pStyle w:val="ListBullet"/>
        <w:spacing w:after="40"/>
      </w:pPr>
      <w:r>
        <w:rPr>
          <w:rFonts w:ascii="Aptos" w:hAnsi="Aptos"/>
          <w:sz w:val="20"/>
        </w:rPr>
        <w:t>Hover may preview but never monopolizes meaning; focus/tap equivalents exist.</w:t>
      </w:r>
    </w:p>
    <w:p>
      <w:pPr>
        <w:pStyle w:val="ListBullet"/>
        <w:spacing w:after="40"/>
      </w:pPr>
      <w:r>
        <w:rPr>
          <w:rFonts w:ascii="Aptos" w:hAnsi="Aptos"/>
          <w:sz w:val="20"/>
        </w:rPr>
        <w:t>Hotspots expose semantic labels to assistive technology.</w:t>
      </w:r>
    </w:p>
    <w:p>
      <w:pPr>
        <w:pStyle w:val="ListBullet"/>
        <w:spacing w:after="40"/>
      </w:pPr>
      <w:r>
        <w:rPr>
          <w:rFonts w:ascii="Aptos" w:hAnsi="Aptos"/>
          <w:sz w:val="20"/>
        </w:rPr>
        <w:t>No hotspot should require pixel hunting. Decorative objects are not given fake click affordances.</w:t>
      </w:r>
    </w:p>
    <w:p>
      <w:pPr>
        <w:pStyle w:val="ListBullet"/>
        <w:spacing w:after="40"/>
      </w:pPr>
      <w:r>
        <w:rPr>
          <w:rFonts w:ascii="Aptos" w:hAnsi="Aptos"/>
          <w:sz w:val="20"/>
        </w:rPr>
        <w:t>Hotspot activation navigates or reveals information without silently mutating canonical data.</w:t>
      </w:r>
    </w:p>
    <w:p>
      <w:pPr>
        <w:pStyle w:val="Heading1"/>
      </w:pPr>
      <w:r>
        <w:t>8. Main Studio Landmark Contract</w:t>
      </w:r>
    </w:p>
    <w:p>
      <w:pPr>
        <w:pStyle w:val="ListBullet"/>
        <w:spacing w:after="40"/>
      </w:pPr>
      <w:r>
        <w:rPr>
          <w:rFonts w:ascii="Aptos" w:hAnsi="Aptos"/>
          <w:sz w:val="20"/>
        </w:rPr>
        <w:t>Desk/Now must be visibly identifiable but not visually dominate every visit.</w:t>
      </w:r>
    </w:p>
    <w:p>
      <w:pPr>
        <w:pStyle w:val="ListBullet"/>
        <w:spacing w:after="40"/>
      </w:pPr>
      <w:r>
        <w:rPr>
          <w:rFonts w:ascii="Aptos" w:hAnsi="Aptos"/>
          <w:sz w:val="20"/>
        </w:rPr>
        <w:t>Studio Map remains a distinct orientation object.</w:t>
      </w:r>
    </w:p>
    <w:p>
      <w:pPr>
        <w:pStyle w:val="ListBullet"/>
        <w:spacing w:after="40"/>
      </w:pPr>
      <w:r>
        <w:rPr>
          <w:rFonts w:ascii="Aptos" w:hAnsi="Aptos"/>
          <w:sz w:val="20"/>
        </w:rPr>
        <w:t>All six functional Room thresholds are discoverable through spatial and semantic apertures.</w:t>
      </w:r>
    </w:p>
    <w:p>
      <w:pPr>
        <w:pStyle w:val="ListBullet"/>
        <w:spacing w:after="40"/>
      </w:pPr>
      <w:r>
        <w:rPr>
          <w:rFonts w:ascii="Aptos" w:hAnsi="Aptos"/>
          <w:sz w:val="20"/>
        </w:rPr>
        <w:t>Explorer presence is optional and context-dependent.</w:t>
      </w:r>
    </w:p>
    <w:p>
      <w:pPr>
        <w:pStyle w:val="ListBullet"/>
        <w:spacing w:after="40"/>
      </w:pPr>
      <w:r>
        <w:rPr>
          <w:rFonts w:ascii="Aptos" w:hAnsi="Aptos"/>
          <w:sz w:val="20"/>
        </w:rPr>
        <w:t>Current-work evidence may change over time via stateful objects without converting Main Studio into a feed/dashboard.</w:t>
      </w:r>
    </w:p>
    <w:p>
      <w:pPr>
        <w:pStyle w:val="Heading1"/>
      </w:pPr>
      <w:r>
        <w:t>9. Room-Specific Scene Intent</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Room</w:t>
            </w:r>
          </w:p>
        </w:tc>
        <w:tc>
          <w:tcPr>
            <w:tcW w:type="dxa" w:w="7344"/>
            <w:shd w:fill="25483A"/>
            <w:tcMar>
              <w:top w:w="90" w:type="dxa"/>
              <w:start w:w="100" w:type="dxa"/>
              <w:bottom w:w="90" w:type="dxa"/>
              <w:end w:w="100" w:type="dxa"/>
            </w:tcMar>
            <w:vAlign w:val="center"/>
          </w:tcPr>
          <w:p>
            <w:r>
              <w:rPr>
                <w:rFonts w:ascii="Aptos" w:hAnsi="Aptos"/>
                <w:b/>
                <w:color w:val="FFFFFF"/>
                <w:sz w:val="17"/>
              </w:rPr>
              <w:t>Dominant visual behavior</w:t>
            </w:r>
          </w:p>
        </w:tc>
      </w:tr>
      <w:tr>
        <w:trPr>
          <w:cantSplit/>
        </w:trPr>
        <w:tc>
          <w:tcPr>
            <w:tcW w:type="dxa" w:w="2304"/>
            <w:tcMar>
              <w:top w:w="90" w:type="dxa"/>
              <w:start w:w="100" w:type="dxa"/>
              <w:bottom w:w="90" w:type="dxa"/>
              <w:end w:w="100" w:type="dxa"/>
            </w:tcMar>
          </w:tcPr>
          <w:p>
            <w:r>
              <w:rPr>
                <w:rFonts w:ascii="Aptos" w:hAnsi="Aptos"/>
                <w:color w:val="1F2522"/>
                <w:sz w:val="17"/>
              </w:rPr>
              <w:t>Library</w:t>
            </w:r>
          </w:p>
        </w:tc>
        <w:tc>
          <w:tcPr>
            <w:tcW w:type="dxa" w:w="7344"/>
            <w:tcMar>
              <w:top w:w="90" w:type="dxa"/>
              <w:start w:w="100" w:type="dxa"/>
              <w:bottom w:w="90" w:type="dxa"/>
              <w:end w:w="100" w:type="dxa"/>
            </w:tcMar>
          </w:tcPr>
          <w:p>
            <w:r>
              <w:rPr>
                <w:rFonts w:ascii="Aptos" w:hAnsi="Aptos"/>
                <w:color w:val="1F2522"/>
                <w:sz w:val="17"/>
              </w:rPr>
              <w:t>Spatial shelf/series neighborhoods with clear distinction between atmospheric books and real FluxMint publications.</w:t>
            </w:r>
          </w:p>
        </w:tc>
      </w:tr>
      <w:tr>
        <w:trPr>
          <w:cantSplit/>
        </w:trPr>
        <w:tc>
          <w:tcPr>
            <w:tcW w:type="dxa" w:w="2304"/>
            <w:tcMar>
              <w:top w:w="90" w:type="dxa"/>
              <w:start w:w="100" w:type="dxa"/>
              <w:bottom w:w="90" w:type="dxa"/>
              <w:end w:w="100" w:type="dxa"/>
            </w:tcMar>
            <w:shd w:fill="F7F9F7"/>
          </w:tcPr>
          <w:p>
            <w:r>
              <w:rPr>
                <w:rFonts w:ascii="Aptos" w:hAnsi="Aptos"/>
                <w:color w:val="1F2522"/>
                <w:sz w:val="17"/>
              </w:rPr>
              <w:t>Workshop</w:t>
            </w:r>
          </w:p>
        </w:tc>
        <w:tc>
          <w:tcPr>
            <w:tcW w:type="dxa" w:w="7344"/>
            <w:tcMar>
              <w:top w:w="90" w:type="dxa"/>
              <w:start w:w="100" w:type="dxa"/>
              <w:bottom w:w="90" w:type="dxa"/>
              <w:end w:w="100" w:type="dxa"/>
            </w:tcMar>
            <w:shd w:fill="F7F9F7"/>
          </w:tcPr>
          <w:p>
            <w:r>
              <w:rPr>
                <w:rFonts w:ascii="Aptos" w:hAnsi="Aptos"/>
                <w:color w:val="1F2522"/>
                <w:sz w:val="17"/>
              </w:rPr>
              <w:t>Workbench/instrument space showing selected active/usable work; unfinishedness may be legible without clutter.</w:t>
            </w:r>
          </w:p>
        </w:tc>
      </w:tr>
      <w:tr>
        <w:trPr>
          <w:cantSplit/>
        </w:trPr>
        <w:tc>
          <w:tcPr>
            <w:tcW w:type="dxa" w:w="2304"/>
            <w:tcMar>
              <w:top w:w="90" w:type="dxa"/>
              <w:start w:w="100" w:type="dxa"/>
              <w:bottom w:w="90" w:type="dxa"/>
              <w:end w:w="100" w:type="dxa"/>
            </w:tcMar>
          </w:tcPr>
          <w:p>
            <w:r>
              <w:rPr>
                <w:rFonts w:ascii="Aptos" w:hAnsi="Aptos"/>
                <w:color w:val="1F2522"/>
                <w:sz w:val="17"/>
              </w:rPr>
              <w:t>Architecture Wall</w:t>
            </w:r>
          </w:p>
        </w:tc>
        <w:tc>
          <w:tcPr>
            <w:tcW w:type="dxa" w:w="7344"/>
            <w:tcMar>
              <w:top w:w="90" w:type="dxa"/>
              <w:start w:w="100" w:type="dxa"/>
              <w:bottom w:w="90" w:type="dxa"/>
              <w:end w:w="100" w:type="dxa"/>
            </w:tcMar>
          </w:tcPr>
          <w:p>
            <w:r>
              <w:rPr>
                <w:rFonts w:ascii="Aptos" w:hAnsi="Aptos"/>
                <w:color w:val="1F2522"/>
                <w:sz w:val="17"/>
              </w:rPr>
              <w:t>Disciplined drafting/examination surface with progressive depth; no visual authority-by-centrality.</w:t>
            </w:r>
          </w:p>
        </w:tc>
      </w:tr>
      <w:tr>
        <w:trPr>
          <w:cantSplit/>
        </w:trPr>
        <w:tc>
          <w:tcPr>
            <w:tcW w:type="dxa" w:w="2304"/>
            <w:tcMar>
              <w:top w:w="90" w:type="dxa"/>
              <w:start w:w="100" w:type="dxa"/>
              <w:bottom w:w="90" w:type="dxa"/>
              <w:end w:w="100" w:type="dxa"/>
            </w:tcMar>
            <w:shd w:fill="F7F9F7"/>
          </w:tcPr>
          <w:p>
            <w:r>
              <w:rPr>
                <w:rFonts w:ascii="Aptos" w:hAnsi="Aptos"/>
                <w:color w:val="1F2522"/>
                <w:sz w:val="17"/>
              </w:rPr>
              <w:t>Observatory</w:t>
            </w:r>
          </w:p>
        </w:tc>
        <w:tc>
          <w:tcPr>
            <w:tcW w:type="dxa" w:w="7344"/>
            <w:tcMar>
              <w:top w:w="90" w:type="dxa"/>
              <w:start w:w="100" w:type="dxa"/>
              <w:bottom w:w="90" w:type="dxa"/>
              <w:end w:w="100" w:type="dxa"/>
            </w:tcMar>
            <w:shd w:fill="F7F9F7"/>
          </w:tcPr>
          <w:p>
            <w:r>
              <w:rPr>
                <w:rFonts w:ascii="Aptos" w:hAnsi="Aptos"/>
                <w:color w:val="1F2522"/>
                <w:sz w:val="17"/>
              </w:rPr>
              <w:t>Reflective reading/noticing space; long-form access stays conventional even if scene is atmospheric.</w:t>
            </w:r>
          </w:p>
        </w:tc>
      </w:tr>
      <w:tr>
        <w:trPr>
          <w:cantSplit/>
        </w:trPr>
        <w:tc>
          <w:tcPr>
            <w:tcW w:type="dxa" w:w="2304"/>
            <w:tcMar>
              <w:top w:w="90" w:type="dxa"/>
              <w:start w:w="100" w:type="dxa"/>
              <w:bottom w:w="90" w:type="dxa"/>
              <w:end w:w="100" w:type="dxa"/>
            </w:tcMar>
          </w:tcPr>
          <w:p>
            <w:r>
              <w:rPr>
                <w:rFonts w:ascii="Aptos" w:hAnsi="Aptos"/>
                <w:color w:val="1F2522"/>
                <w:sz w:val="17"/>
              </w:rPr>
              <w:t>Meeting Table</w:t>
            </w:r>
          </w:p>
        </w:tc>
        <w:tc>
          <w:tcPr>
            <w:tcW w:type="dxa" w:w="7344"/>
            <w:tcMar>
              <w:top w:w="90" w:type="dxa"/>
              <w:start w:w="100" w:type="dxa"/>
              <w:bottom w:w="90" w:type="dxa"/>
              <w:end w:w="100" w:type="dxa"/>
            </w:tcMar>
          </w:tcPr>
          <w:p>
            <w:r>
              <w:rPr>
                <w:rFonts w:ascii="Aptos" w:hAnsi="Aptos"/>
                <w:color w:val="1F2522"/>
                <w:sz w:val="17"/>
              </w:rPr>
              <w:t>Human collaboration foregrounded; real DJ identity more appropriate than heavy Explorer performance.</w:t>
            </w:r>
          </w:p>
        </w:tc>
      </w:tr>
      <w:tr>
        <w:trPr>
          <w:cantSplit/>
        </w:trPr>
        <w:tc>
          <w:tcPr>
            <w:tcW w:type="dxa" w:w="2304"/>
            <w:tcMar>
              <w:top w:w="90" w:type="dxa"/>
              <w:start w:w="100" w:type="dxa"/>
              <w:bottom w:w="90" w:type="dxa"/>
              <w:end w:w="100" w:type="dxa"/>
            </w:tcMar>
            <w:shd w:fill="F7F9F7"/>
          </w:tcPr>
          <w:p>
            <w:r>
              <w:rPr>
                <w:rFonts w:ascii="Aptos" w:hAnsi="Aptos"/>
                <w:color w:val="1F2522"/>
                <w:sz w:val="17"/>
              </w:rPr>
              <w:t>Outfitters</w:t>
            </w:r>
          </w:p>
        </w:tc>
        <w:tc>
          <w:tcPr>
            <w:tcW w:type="dxa" w:w="7344"/>
            <w:tcMar>
              <w:top w:w="90" w:type="dxa"/>
              <w:start w:w="100" w:type="dxa"/>
              <w:bottom w:w="90" w:type="dxa"/>
              <w:end w:w="100" w:type="dxa"/>
            </w:tcMar>
            <w:shd w:fill="F7F9F7"/>
          </w:tcPr>
          <w:p>
            <w:r>
              <w:rPr>
                <w:rFonts w:ascii="Aptos" w:hAnsi="Aptos"/>
                <w:color w:val="1F2522"/>
                <w:sz w:val="17"/>
              </w:rPr>
              <w:t>Curated field-shop feel; transactional facts remain plain and subordinate to meaning.</w:t>
            </w:r>
          </w:p>
        </w:tc>
      </w:tr>
    </w:tbl>
    <w:p>
      <w:pPr>
        <w:spacing w:after="20"/>
      </w:pPr>
    </w:p>
    <w:p>
      <w:pPr>
        <w:pStyle w:val="Heading1"/>
      </w:pPr>
      <w:r>
        <w:t>10. Responsive Composition</w:t>
      </w:r>
    </w:p>
    <w:p>
      <w:pPr>
        <w:pStyle w:val="FMCallout"/>
      </w:pPr>
      <w:r>
        <w:rPr>
          <w:rFonts w:ascii="Aptos" w:hAnsi="Aptos"/>
          <w:i/>
          <w:color w:val="25483A"/>
          <w:sz w:val="21"/>
        </w:rPr>
        <w:t>Mobile uses deliberate compositions of the same place, not arbitrary crops of desktop artwork.</w:t>
      </w:r>
    </w:p>
    <w:p>
      <w:pPr>
        <w:pStyle w:val="ListBullet"/>
        <w:spacing w:after="40"/>
      </w:pPr>
      <w:r>
        <w:rPr>
          <w:rFonts w:ascii="Aptos" w:hAnsi="Aptos"/>
          <w:sz w:val="20"/>
        </w:rPr>
        <w:t>Desktop and mobile scene assets may differ materially in framing, landmark placement, and depth.</w:t>
      </w:r>
    </w:p>
    <w:p>
      <w:pPr>
        <w:pStyle w:val="ListBullet"/>
        <w:spacing w:after="40"/>
      </w:pPr>
      <w:r>
        <w:rPr>
          <w:rFonts w:ascii="Aptos" w:hAnsi="Aptos"/>
          <w:sz w:val="20"/>
        </w:rPr>
        <w:t>Both variants preserve canonical Room identity, primary workspace, semantic destinations, and object meaning.</w:t>
      </w:r>
    </w:p>
    <w:p>
      <w:pPr>
        <w:pStyle w:val="ListBullet"/>
        <w:spacing w:after="40"/>
      </w:pPr>
      <w:r>
        <w:rPr>
          <w:rFonts w:ascii="Aptos" w:hAnsi="Aptos"/>
          <w:sz w:val="20"/>
        </w:rPr>
        <w:t>Mobile does not require hover-dependent affordances or tiny scene hotspots.</w:t>
      </w:r>
    </w:p>
    <w:p>
      <w:pPr>
        <w:pStyle w:val="ListBullet"/>
        <w:spacing w:after="40"/>
      </w:pPr>
      <w:r>
        <w:rPr>
          <w:rFonts w:ascii="Aptos" w:hAnsi="Aptos"/>
          <w:sz w:val="20"/>
        </w:rPr>
        <w:t>When scene complexity would harm usability, mobile may reveal the semantic composition more directly while preserving atmosphere.</w:t>
      </w:r>
    </w:p>
    <w:p>
      <w:pPr>
        <w:pStyle w:val="Heading1"/>
      </w:pPr>
      <w:r>
        <w:t>11. Motion Eligibility</w:t>
      </w:r>
    </w:p>
    <w:p>
      <w:r>
        <w:t>Motion is allowed only for threshold transitions, state communication, ambient life, or meaningful discovery. Decorative constant animation is discouraged. All motion has reduced-motion behavior. The absence of animation must not remove semantic access.</w:t>
      </w:r>
    </w:p>
    <w:p>
      <w:pPr>
        <w:pStyle w:val="Heading1"/>
      </w:pPr>
      <w:r>
        <w:t>12. Loading and Fallback</w:t>
      </w:r>
    </w:p>
    <w:p>
      <w:pPr>
        <w:pStyle w:val="ListBullet"/>
        <w:spacing w:after="40"/>
      </w:pPr>
      <w:r>
        <w:rPr>
          <w:rFonts w:ascii="Aptos" w:hAnsi="Aptos"/>
          <w:sz w:val="20"/>
        </w:rPr>
        <w:t>Scene loading never blocks access to semantic navigation.</w:t>
      </w:r>
    </w:p>
    <w:p>
      <w:pPr>
        <w:pStyle w:val="ListBullet"/>
        <w:spacing w:after="40"/>
      </w:pPr>
      <w:r>
        <w:rPr>
          <w:rFonts w:ascii="Aptos" w:hAnsi="Aptos"/>
          <w:sz w:val="20"/>
        </w:rPr>
        <w:t>Failed or slow image/animation assets degrade to accessible semantic Room presentation.</w:t>
      </w:r>
    </w:p>
    <w:p>
      <w:pPr>
        <w:pStyle w:val="ListBullet"/>
        <w:spacing w:after="40"/>
      </w:pPr>
      <w:r>
        <w:rPr>
          <w:rFonts w:ascii="Aptos" w:hAnsi="Aptos"/>
          <w:sz w:val="20"/>
        </w:rPr>
        <w:t>Main Studio has an explicit semantic fallback mode.</w:t>
      </w:r>
    </w:p>
    <w:p>
      <w:pPr>
        <w:pStyle w:val="ListBullet"/>
        <w:spacing w:after="40"/>
      </w:pPr>
      <w:r>
        <w:rPr>
          <w:rFonts w:ascii="Aptos" w:hAnsi="Aptos"/>
          <w:sz w:val="20"/>
        </w:rPr>
        <w:t>Artifact identity and essential labels are not baked only into images.</w:t>
      </w:r>
    </w:p>
    <w:p>
      <w:pPr>
        <w:pStyle w:val="ListBullet"/>
        <w:spacing w:after="40"/>
      </w:pPr>
      <w:r>
        <w:rPr>
          <w:rFonts w:ascii="Aptos" w:hAnsi="Aptos"/>
          <w:sz w:val="20"/>
        </w:rPr>
        <w:t>Derived/generated image assets are replaceable; canonical content truth is not stored inside the image system.</w:t>
      </w:r>
    </w:p>
    <w:p>
      <w:pPr>
        <w:pStyle w:val="Heading1"/>
      </w:pPr>
      <w:r>
        <w:t>13. Asset Naming and Versioning</w:t>
      </w:r>
    </w:p>
    <w:p>
      <w:r>
        <w:t>Implementation should use stable semantic names based on Room, role, and variant rather than ad-hoc “final-v7” naming. Exact convention is implementation-determined, but it should distinguish scene, object role, breakpoint/variant, and version where needed without duplicating Artifact identity.</w:t>
      </w:r>
    </w:p>
    <w:p>
      <w:pPr>
        <w:pStyle w:val="Heading1"/>
      </w:pPr>
      <w:r>
        <w:t>14. Canonical Visual Specimens</w:t>
      </w:r>
    </w:p>
    <w:p>
      <w:r>
        <w:t>After this package is locked, specimens are produced only where visual ambiguity would otherwise remain. Likely specimen families include Main Studio desktop/mobile, each functional Room desktop/mobile where composition materially differs, representative Artifact detail, Search, Desk/Now, and selected state/interaction examples. The final list is derived from implementation needs rather than assumed mechanically.</w:t>
      </w:r>
    </w:p>
    <w:p>
      <w:pPr>
        <w:pStyle w:val="Heading1"/>
      </w:pPr>
      <w:r>
        <w:t>15. Existing Artwork</w:t>
      </w:r>
    </w:p>
    <w:p>
      <w:r>
        <w:t>Existing FluxMint renders are reference evidence and may be retained, refined, or rebuilt. Preserve successful composition, lighting, atmosphere, and recognizable Studio identity where they conform to the canonical architecture. Do not redesign merely for novelty.</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