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06 · FluxMintDigital Implementation &amp; Validation Standard</w:t>
      </w:r>
    </w:p>
    <w:p>
      <w:pPr>
        <w:spacing w:after="100"/>
      </w:pPr>
      <w:r>
        <w:rPr>
          <w:rFonts w:ascii="Aptos" w:hAnsi="Aptos"/>
          <w:color w:val="5C665F"/>
          <w:sz w:val="23"/>
        </w:rPr>
        <w:t>Canonical implementation sequence, migration controls, invariants, failure handling, and release gates</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Implementation succeeds only when it preserves canonical meaning, access rules, orientation, historical integrity, and graceful degradation. “Looks correct” is not sufficient.</w:t>
      </w:r>
    </w:p>
    <w:p>
      <w:r>
        <w:t>This document defines repository audit posture, implementation sequencing, validation categories, governance boundaries, failure behavior, migration requirements, and release gates.</w:t>
      </w:r>
    </w:p>
    <w:p>
      <w:r>
        <w:rPr>
          <w:rFonts w:ascii="Aptos" w:hAnsi="Aptos"/>
          <w:b/>
          <w:color w:val="1F2522"/>
        </w:rPr>
        <w:t xml:space="preserve">Authority relationship: </w:t>
      </w:r>
      <w:r>
        <w:rPr>
          <w:rFonts w:ascii="Aptos" w:hAnsi="Aptos"/>
          <w:color w:val="1F2522"/>
        </w:rPr>
        <w:t>Tests compliance with Documents 01–05 and may not invent a conflicting architecture.</w:t>
      </w:r>
    </w:p>
    <w:p>
      <w:pPr>
        <w:pStyle w:val="Heading1"/>
      </w:pPr>
      <w:r>
        <w:t>1. Implementation Posture</w:t>
      </w:r>
    </w:p>
    <w:p>
      <w:pPr>
        <w:pStyle w:val="FMCallout"/>
      </w:pPr>
      <w:r>
        <w:rPr>
          <w:rFonts w:ascii="Aptos" w:hAnsi="Aptos"/>
          <w:i/>
          <w:color w:val="25483A"/>
          <w:sz w:val="21"/>
        </w:rPr>
        <w:t>Architecture migration, not reflexive rewrite.</w:t>
      </w:r>
    </w:p>
    <w:p>
      <w:r>
        <w:t>Codex begins with a non-destructive census of the current repository and live site. Existing code/content receives KEEP, REFINE, RESTRUCTURE, or REPLACE disposition. Replacement carries the burden of proof.</w:t>
      </w:r>
    </w:p>
    <w:p>
      <w:pPr>
        <w:pStyle w:val="Heading1"/>
      </w:pPr>
      <w:r>
        <w:t>2. Phase Sequence</w:t>
      </w:r>
    </w:p>
    <w:tbl>
      <w:tblPr>
        <w:tblStyle w:val="TableGrid"/>
        <w:tblW w:type="auto" w:w="0"/>
        <w:jc w:val="center"/>
        <w:tblLook w:firstColumn="1" w:firstRow="1" w:lastColumn="0" w:lastRow="0" w:noHBand="0" w:noVBand="1" w:val="04A0"/>
      </w:tblPr>
      <w:tblGrid>
        <w:gridCol w:w="4997"/>
        <w:gridCol w:w="4997"/>
      </w:tblGrid>
      <w:tr>
        <w:trPr>
          <w:cantSplit/>
        </w:trPr>
        <w:tc>
          <w:tcPr>
            <w:tcW w:type="dxa" w:w="2160"/>
            <w:shd w:fill="25483A"/>
            <w:tcMar>
              <w:top w:w="90" w:type="dxa"/>
              <w:start w:w="100" w:type="dxa"/>
              <w:bottom w:w="90" w:type="dxa"/>
              <w:end w:w="100" w:type="dxa"/>
            </w:tcMar>
            <w:vAlign w:val="center"/>
          </w:tcPr>
          <w:p>
            <w:r>
              <w:rPr>
                <w:rFonts w:ascii="Aptos" w:hAnsi="Aptos"/>
                <w:b/>
                <w:color w:val="FFFFFF"/>
                <w:sz w:val="17"/>
              </w:rPr>
              <w:t>Phase</w:t>
            </w:r>
          </w:p>
        </w:tc>
        <w:tc>
          <w:tcPr>
            <w:tcW w:type="dxa" w:w="7488"/>
            <w:shd w:fill="25483A"/>
            <w:tcMar>
              <w:top w:w="90" w:type="dxa"/>
              <w:start w:w="100" w:type="dxa"/>
              <w:bottom w:w="90" w:type="dxa"/>
              <w:end w:w="100" w:type="dxa"/>
            </w:tcMar>
            <w:vAlign w:val="center"/>
          </w:tcPr>
          <w:p>
            <w:r>
              <w:rPr>
                <w:rFonts w:ascii="Aptos" w:hAnsi="Aptos"/>
                <w:b/>
                <w:color w:val="FFFFFF"/>
                <w:sz w:val="17"/>
              </w:rPr>
              <w:t>Required outcome</w:t>
            </w:r>
          </w:p>
        </w:tc>
      </w:tr>
      <w:tr>
        <w:trPr>
          <w:cantSplit/>
        </w:trPr>
        <w:tc>
          <w:tcPr>
            <w:tcW w:type="dxa" w:w="2160"/>
            <w:tcMar>
              <w:top w:w="90" w:type="dxa"/>
              <w:start w:w="100" w:type="dxa"/>
              <w:bottom w:w="90" w:type="dxa"/>
              <w:end w:w="100" w:type="dxa"/>
            </w:tcMar>
          </w:tcPr>
          <w:p>
            <w:r>
              <w:rPr>
                <w:rFonts w:ascii="Aptos" w:hAnsi="Aptos"/>
                <w:color w:val="1F2522"/>
                <w:sz w:val="17"/>
              </w:rPr>
              <w:t>0 · Audit</w:t>
            </w:r>
          </w:p>
        </w:tc>
        <w:tc>
          <w:tcPr>
            <w:tcW w:type="dxa" w:w="7488"/>
            <w:tcMar>
              <w:top w:w="90" w:type="dxa"/>
              <w:start w:w="100" w:type="dxa"/>
              <w:bottom w:w="90" w:type="dxa"/>
              <w:end w:w="100" w:type="dxa"/>
            </w:tcMar>
          </w:tcPr>
          <w:p>
            <w:r>
              <w:rPr>
                <w:rFonts w:ascii="Aptos" w:hAnsi="Aptos"/>
                <w:color w:val="1F2522"/>
                <w:sz w:val="17"/>
              </w:rPr>
              <w:t>Repository, routes, content, assets, SEO, integrations, current data/state model, responsive behavior, and scene inventory.</w:t>
            </w:r>
          </w:p>
        </w:tc>
      </w:tr>
      <w:tr>
        <w:trPr>
          <w:cantSplit/>
        </w:trPr>
        <w:tc>
          <w:tcPr>
            <w:tcW w:type="dxa" w:w="2160"/>
            <w:tcMar>
              <w:top w:w="90" w:type="dxa"/>
              <w:start w:w="100" w:type="dxa"/>
              <w:bottom w:w="90" w:type="dxa"/>
              <w:end w:w="100" w:type="dxa"/>
            </w:tcMar>
            <w:shd w:fill="F7F9F7"/>
          </w:tcPr>
          <w:p>
            <w:r>
              <w:rPr>
                <w:rFonts w:ascii="Aptos" w:hAnsi="Aptos"/>
                <w:color w:val="1F2522"/>
                <w:sz w:val="17"/>
              </w:rPr>
              <w:t>1 · Canonical foundation</w:t>
            </w:r>
          </w:p>
        </w:tc>
        <w:tc>
          <w:tcPr>
            <w:tcW w:type="dxa" w:w="7488"/>
            <w:tcMar>
              <w:top w:w="90" w:type="dxa"/>
              <w:start w:w="100" w:type="dxa"/>
              <w:bottom w:w="90" w:type="dxa"/>
              <w:end w:w="100" w:type="dxa"/>
            </w:tcMar>
            <w:shd w:fill="F7F9F7"/>
          </w:tcPr>
          <w:p>
            <w:r>
              <w:rPr>
                <w:rFonts w:ascii="Aptos" w:hAnsi="Aptos"/>
                <w:color w:val="1F2522"/>
                <w:sz w:val="17"/>
              </w:rPr>
              <w:t>Artifact/content authority, relationships, lifecycle, visibility, availability, governance, redirects, data validation.</w:t>
            </w:r>
          </w:p>
        </w:tc>
      </w:tr>
      <w:tr>
        <w:trPr>
          <w:cantSplit/>
        </w:trPr>
        <w:tc>
          <w:tcPr>
            <w:tcW w:type="dxa" w:w="2160"/>
            <w:tcMar>
              <w:top w:w="90" w:type="dxa"/>
              <w:start w:w="100" w:type="dxa"/>
              <w:bottom w:w="90" w:type="dxa"/>
              <w:end w:w="100" w:type="dxa"/>
            </w:tcMar>
          </w:tcPr>
          <w:p>
            <w:r>
              <w:rPr>
                <w:rFonts w:ascii="Aptos" w:hAnsi="Aptos"/>
                <w:color w:val="1F2522"/>
                <w:sz w:val="17"/>
              </w:rPr>
              <w:t>2 · Semantic shell</w:t>
            </w:r>
          </w:p>
        </w:tc>
        <w:tc>
          <w:tcPr>
            <w:tcW w:type="dxa" w:w="7488"/>
            <w:tcMar>
              <w:top w:w="90" w:type="dxa"/>
              <w:start w:w="100" w:type="dxa"/>
              <w:bottom w:w="90" w:type="dxa"/>
              <w:end w:w="100" w:type="dxa"/>
            </w:tcMar>
          </w:tcPr>
          <w:p>
            <w:r>
              <w:rPr>
                <w:rFonts w:ascii="Aptos" w:hAnsi="Aptos"/>
                <w:color w:val="1F2522"/>
                <w:sz w:val="17"/>
              </w:rPr>
              <w:t>Canonical routes, Room shells, Artifact detail rendering, navigation, breadcrumbs, Search interface/fallback structure.</w:t>
            </w:r>
          </w:p>
        </w:tc>
      </w:tr>
      <w:tr>
        <w:trPr>
          <w:cantSplit/>
        </w:trPr>
        <w:tc>
          <w:tcPr>
            <w:tcW w:type="dxa" w:w="2160"/>
            <w:tcMar>
              <w:top w:w="90" w:type="dxa"/>
              <w:start w:w="100" w:type="dxa"/>
              <w:bottom w:w="90" w:type="dxa"/>
              <w:end w:w="100" w:type="dxa"/>
            </w:tcMar>
            <w:shd w:fill="F7F9F7"/>
          </w:tcPr>
          <w:p>
            <w:r>
              <w:rPr>
                <w:rFonts w:ascii="Aptos" w:hAnsi="Aptos"/>
                <w:color w:val="1F2522"/>
                <w:sz w:val="17"/>
              </w:rPr>
              <w:t>3 · Design Language</w:t>
            </w:r>
          </w:p>
        </w:tc>
        <w:tc>
          <w:tcPr>
            <w:tcW w:type="dxa" w:w="7488"/>
            <w:tcMar>
              <w:top w:w="90" w:type="dxa"/>
              <w:start w:w="100" w:type="dxa"/>
              <w:bottom w:w="90" w:type="dxa"/>
              <w:end w:w="100" w:type="dxa"/>
            </w:tcMar>
            <w:shd w:fill="F7F9F7"/>
          </w:tcPr>
          <w:p>
            <w:r>
              <w:rPr>
                <w:rFonts w:ascii="Aptos" w:hAnsi="Aptos"/>
                <w:color w:val="1F2522"/>
                <w:sz w:val="17"/>
              </w:rPr>
              <w:t>Shared visual tokens/components/typography/interaction/accessibility implementing Document 04.</w:t>
            </w:r>
          </w:p>
        </w:tc>
      </w:tr>
      <w:tr>
        <w:trPr>
          <w:cantSplit/>
        </w:trPr>
        <w:tc>
          <w:tcPr>
            <w:tcW w:type="dxa" w:w="2160"/>
            <w:tcMar>
              <w:top w:w="90" w:type="dxa"/>
              <w:start w:w="100" w:type="dxa"/>
              <w:bottom w:w="90" w:type="dxa"/>
              <w:end w:w="100" w:type="dxa"/>
            </w:tcMar>
          </w:tcPr>
          <w:p>
            <w:r>
              <w:rPr>
                <w:rFonts w:ascii="Aptos" w:hAnsi="Aptos"/>
                <w:color w:val="1F2522"/>
                <w:sz w:val="17"/>
              </w:rPr>
              <w:t>4 · Main Studio</w:t>
            </w:r>
          </w:p>
        </w:tc>
        <w:tc>
          <w:tcPr>
            <w:tcW w:type="dxa" w:w="7488"/>
            <w:tcMar>
              <w:top w:w="90" w:type="dxa"/>
              <w:start w:w="100" w:type="dxa"/>
              <w:bottom w:w="90" w:type="dxa"/>
              <w:end w:w="100" w:type="dxa"/>
            </w:tcMar>
          </w:tcPr>
          <w:p>
            <w:r>
              <w:rPr>
                <w:rFonts w:ascii="Aptos" w:hAnsi="Aptos"/>
                <w:color w:val="1F2522"/>
                <w:sz w:val="17"/>
              </w:rPr>
              <w:t>Hub, Desk/Now, Studio Map, semantic fallbacks, stateful object integration.</w:t>
            </w:r>
          </w:p>
        </w:tc>
      </w:tr>
      <w:tr>
        <w:trPr>
          <w:cantSplit/>
        </w:trPr>
        <w:tc>
          <w:tcPr>
            <w:tcW w:type="dxa" w:w="2160"/>
            <w:tcMar>
              <w:top w:w="90" w:type="dxa"/>
              <w:start w:w="100" w:type="dxa"/>
              <w:bottom w:w="90" w:type="dxa"/>
              <w:end w:w="100" w:type="dxa"/>
            </w:tcMar>
            <w:shd w:fill="F7F9F7"/>
          </w:tcPr>
          <w:p>
            <w:r>
              <w:rPr>
                <w:rFonts w:ascii="Aptos" w:hAnsi="Aptos"/>
                <w:color w:val="1F2522"/>
                <w:sz w:val="17"/>
              </w:rPr>
              <w:t>5 · Room scenes</w:t>
            </w:r>
          </w:p>
        </w:tc>
        <w:tc>
          <w:tcPr>
            <w:tcW w:type="dxa" w:w="7488"/>
            <w:tcMar>
              <w:top w:w="90" w:type="dxa"/>
              <w:start w:w="100" w:type="dxa"/>
              <w:bottom w:w="90" w:type="dxa"/>
              <w:end w:w="100" w:type="dxa"/>
            </w:tcMar>
            <w:shd w:fill="F7F9F7"/>
          </w:tcPr>
          <w:p>
            <w:r>
              <w:rPr>
                <w:rFonts w:ascii="Aptos" w:hAnsi="Aptos"/>
                <w:color w:val="1F2522"/>
                <w:sz w:val="17"/>
              </w:rPr>
              <w:t>Immersive Room implementations, hotspots, responsive scene variants, approved visual contracts.</w:t>
            </w:r>
          </w:p>
        </w:tc>
      </w:tr>
      <w:tr>
        <w:trPr>
          <w:cantSplit/>
        </w:trPr>
        <w:tc>
          <w:tcPr>
            <w:tcW w:type="dxa" w:w="2160"/>
            <w:tcMar>
              <w:top w:w="90" w:type="dxa"/>
              <w:start w:w="100" w:type="dxa"/>
              <w:bottom w:w="90" w:type="dxa"/>
              <w:end w:w="100" w:type="dxa"/>
            </w:tcMar>
          </w:tcPr>
          <w:p>
            <w:r>
              <w:rPr>
                <w:rFonts w:ascii="Aptos" w:hAnsi="Aptos"/>
                <w:color w:val="1F2522"/>
                <w:sz w:val="17"/>
              </w:rPr>
              <w:t>6 · Deep systems</w:t>
            </w:r>
          </w:p>
        </w:tc>
        <w:tc>
          <w:tcPr>
            <w:tcW w:type="dxa" w:w="7488"/>
            <w:tcMar>
              <w:top w:w="90" w:type="dxa"/>
              <w:start w:w="100" w:type="dxa"/>
              <w:bottom w:w="90" w:type="dxa"/>
              <w:end w:w="100" w:type="dxa"/>
            </w:tcMar>
          </w:tcPr>
          <w:p>
            <w:r>
              <w:rPr>
                <w:rFonts w:ascii="Aptos" w:hAnsi="Aptos"/>
                <w:color w:val="1F2522"/>
                <w:sz w:val="17"/>
              </w:rPr>
              <w:t>Search index, relationships/lineage, history/archive, richer retrieval and contextual navigation.</w:t>
            </w:r>
          </w:p>
        </w:tc>
      </w:tr>
      <w:tr>
        <w:trPr>
          <w:cantSplit/>
        </w:trPr>
        <w:tc>
          <w:tcPr>
            <w:tcW w:type="dxa" w:w="2160"/>
            <w:tcMar>
              <w:top w:w="90" w:type="dxa"/>
              <w:start w:w="100" w:type="dxa"/>
              <w:bottom w:w="90" w:type="dxa"/>
              <w:end w:w="100" w:type="dxa"/>
            </w:tcMar>
            <w:shd w:fill="F7F9F7"/>
          </w:tcPr>
          <w:p>
            <w:r>
              <w:rPr>
                <w:rFonts w:ascii="Aptos" w:hAnsi="Aptos"/>
                <w:color w:val="1F2522"/>
                <w:sz w:val="17"/>
              </w:rPr>
              <w:t>7 · Commerce channels</w:t>
            </w:r>
          </w:p>
        </w:tc>
        <w:tc>
          <w:tcPr>
            <w:tcW w:type="dxa" w:w="7488"/>
            <w:tcMar>
              <w:top w:w="90" w:type="dxa"/>
              <w:start w:w="100" w:type="dxa"/>
              <w:bottom w:w="90" w:type="dxa"/>
              <w:end w:w="100" w:type="dxa"/>
            </w:tcMar>
            <w:shd w:fill="F7F9F7"/>
          </w:tcPr>
          <w:p>
            <w:r>
              <w:rPr>
                <w:rFonts w:ascii="Aptos" w:hAnsi="Aptos"/>
                <w:color w:val="1F2522"/>
                <w:sz w:val="17"/>
              </w:rPr>
              <w:t>Outfitters/acquisition presentation and external-channel integrity.</w:t>
            </w:r>
          </w:p>
        </w:tc>
      </w:tr>
      <w:tr>
        <w:trPr>
          <w:cantSplit/>
        </w:trPr>
        <w:tc>
          <w:tcPr>
            <w:tcW w:type="dxa" w:w="2160"/>
            <w:tcMar>
              <w:top w:w="90" w:type="dxa"/>
              <w:start w:w="100" w:type="dxa"/>
              <w:bottom w:w="90" w:type="dxa"/>
              <w:end w:w="100" w:type="dxa"/>
            </w:tcMar>
          </w:tcPr>
          <w:p>
            <w:r>
              <w:rPr>
                <w:rFonts w:ascii="Aptos" w:hAnsi="Aptos"/>
                <w:color w:val="1F2522"/>
                <w:sz w:val="17"/>
              </w:rPr>
              <w:t>8 · Validation/cutover</w:t>
            </w:r>
          </w:p>
        </w:tc>
        <w:tc>
          <w:tcPr>
            <w:tcW w:type="dxa" w:w="7488"/>
            <w:tcMar>
              <w:top w:w="90" w:type="dxa"/>
              <w:start w:w="100" w:type="dxa"/>
              <w:bottom w:w="90" w:type="dxa"/>
              <w:end w:w="100" w:type="dxa"/>
            </w:tcMar>
          </w:tcPr>
          <w:p>
            <w:r>
              <w:rPr>
                <w:rFonts w:ascii="Aptos" w:hAnsi="Aptos"/>
                <w:color w:val="1F2522"/>
                <w:sz w:val="17"/>
              </w:rPr>
              <w:t>Full invariant testing, route/redirect validation, migration integrity, performance/accessibility, release gate.</w:t>
            </w:r>
          </w:p>
        </w:tc>
      </w:tr>
    </w:tbl>
    <w:p>
      <w:pPr>
        <w:spacing w:after="20"/>
      </w:pPr>
    </w:p>
    <w:p>
      <w:pPr>
        <w:pStyle w:val="Heading1"/>
      </w:pPr>
      <w:r>
        <w:t>3. Codex Authority Classes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592"/>
            <w:shd w:fill="25483A"/>
            <w:tcMar>
              <w:top w:w="90" w:type="dxa"/>
              <w:start w:w="100" w:type="dxa"/>
              <w:bottom w:w="90" w:type="dxa"/>
              <w:end w:w="100" w:type="dxa"/>
            </w:tcMar>
            <w:vAlign w:val="center"/>
          </w:tcPr>
          <w:p>
            <w:r>
              <w:rPr>
                <w:rFonts w:ascii="Aptos" w:hAnsi="Aptos"/>
                <w:b/>
                <w:color w:val="FFFFFF"/>
                <w:sz w:val="17"/>
              </w:rPr>
              <w:t>Class</w:t>
            </w:r>
          </w:p>
        </w:tc>
        <w:tc>
          <w:tcPr>
            <w:tcW w:type="dxa" w:w="2880"/>
            <w:shd w:fill="25483A"/>
            <w:tcMar>
              <w:top w:w="90" w:type="dxa"/>
              <w:start w:w="100" w:type="dxa"/>
              <w:bottom w:w="90" w:type="dxa"/>
              <w:end w:w="100" w:type="dxa"/>
            </w:tcMar>
            <w:vAlign w:val="center"/>
          </w:tcPr>
          <w:p>
            <w:r>
              <w:rPr>
                <w:rFonts w:ascii="Aptos" w:hAnsi="Aptos"/>
                <w:b/>
                <w:color w:val="FFFFFF"/>
                <w:sz w:val="17"/>
              </w:rPr>
              <w:t>May execute automatically?</w:t>
            </w:r>
          </w:p>
        </w:tc>
        <w:tc>
          <w:tcPr>
            <w:tcW w:type="dxa" w:w="4176"/>
            <w:shd w:fill="25483A"/>
            <w:tcMar>
              <w:top w:w="90" w:type="dxa"/>
              <w:start w:w="100" w:type="dxa"/>
              <w:bottom w:w="90" w:type="dxa"/>
              <w:end w:w="100" w:type="dxa"/>
            </w:tcMar>
            <w:vAlign w:val="center"/>
          </w:tcPr>
          <w:p>
            <w:r>
              <w:rPr>
                <w:rFonts w:ascii="Aptos" w:hAnsi="Aptos"/>
                <w:b/>
                <w:color w:val="FFFFFF"/>
                <w:sz w:val="17"/>
              </w:rPr>
              <w:t>Examples</w:t>
            </w:r>
          </w:p>
        </w:tc>
      </w:tr>
      <w:tr>
        <w:trPr>
          <w:cantSplit/>
        </w:trPr>
        <w:tc>
          <w:tcPr>
            <w:tcW w:type="dxa" w:w="2592"/>
            <w:tcMar>
              <w:top w:w="90" w:type="dxa"/>
              <w:start w:w="100" w:type="dxa"/>
              <w:bottom w:w="90" w:type="dxa"/>
              <w:end w:w="100" w:type="dxa"/>
            </w:tcMar>
          </w:tcPr>
          <w:p>
            <w:r>
              <w:rPr>
                <w:rFonts w:ascii="Aptos" w:hAnsi="Aptos"/>
                <w:color w:val="1F2522"/>
                <w:sz w:val="17"/>
              </w:rPr>
              <w:t>A · Derived</w:t>
            </w:r>
          </w:p>
        </w:tc>
        <w:tc>
          <w:tcPr>
            <w:tcW w:type="dxa" w:w="2880"/>
            <w:tcMar>
              <w:top w:w="90" w:type="dxa"/>
              <w:start w:w="100" w:type="dxa"/>
              <w:bottom w:w="90" w:type="dxa"/>
              <w:end w:w="100" w:type="dxa"/>
            </w:tcMar>
          </w:tcPr>
          <w:p>
            <w:r>
              <w:rPr>
                <w:rFonts w:ascii="Aptos" w:hAnsi="Aptos"/>
                <w:color w:val="1F2522"/>
                <w:sz w:val="17"/>
              </w:rPr>
              <w:t>Yes</w:t>
            </w:r>
          </w:p>
        </w:tc>
        <w:tc>
          <w:tcPr>
            <w:tcW w:type="dxa" w:w="4176"/>
            <w:tcMar>
              <w:top w:w="90" w:type="dxa"/>
              <w:start w:w="100" w:type="dxa"/>
              <w:bottom w:w="90" w:type="dxa"/>
              <w:end w:w="100" w:type="dxa"/>
            </w:tcMar>
          </w:tcPr>
          <w:p>
            <w:r>
              <w:rPr>
                <w:rFonts w:ascii="Aptos" w:hAnsi="Aptos"/>
                <w:color w:val="1F2522"/>
                <w:sz w:val="17"/>
              </w:rPr>
              <w:t>Rebuild Search/sitemap, render cards, recalculate series order, invalidate caches, generate metadata.</w:t>
            </w:r>
          </w:p>
        </w:tc>
      </w:tr>
      <w:tr>
        <w:trPr>
          <w:cantSplit/>
        </w:trPr>
        <w:tc>
          <w:tcPr>
            <w:tcW w:type="dxa" w:w="2592"/>
            <w:tcMar>
              <w:top w:w="90" w:type="dxa"/>
              <w:start w:w="100" w:type="dxa"/>
              <w:bottom w:w="90" w:type="dxa"/>
              <w:end w:w="100" w:type="dxa"/>
            </w:tcMar>
            <w:shd w:fill="F7F9F7"/>
          </w:tcPr>
          <w:p>
            <w:r>
              <w:rPr>
                <w:rFonts w:ascii="Aptos" w:hAnsi="Aptos"/>
                <w:color w:val="1F2522"/>
                <w:sz w:val="17"/>
              </w:rPr>
              <w:t>B · Mechanical/validation</w:t>
            </w:r>
          </w:p>
        </w:tc>
        <w:tc>
          <w:tcPr>
            <w:tcW w:type="dxa" w:w="2880"/>
            <w:tcMar>
              <w:top w:w="90" w:type="dxa"/>
              <w:start w:w="100" w:type="dxa"/>
              <w:bottom w:w="90" w:type="dxa"/>
              <w:end w:w="100" w:type="dxa"/>
            </w:tcMar>
            <w:shd w:fill="F7F9F7"/>
          </w:tcPr>
          <w:p>
            <w:r>
              <w:rPr>
                <w:rFonts w:ascii="Aptos" w:hAnsi="Aptos"/>
                <w:color w:val="1F2522"/>
                <w:sz w:val="17"/>
              </w:rPr>
              <w:t>Yes for non-semantic repair; semantic finding becomes proposal</w:t>
            </w:r>
          </w:p>
        </w:tc>
        <w:tc>
          <w:tcPr>
            <w:tcW w:type="dxa" w:w="4176"/>
            <w:tcMar>
              <w:top w:w="90" w:type="dxa"/>
              <w:start w:w="100" w:type="dxa"/>
              <w:bottom w:w="90" w:type="dxa"/>
              <w:end w:w="100" w:type="dxa"/>
            </w:tcMar>
            <w:shd w:fill="F7F9F7"/>
          </w:tcPr>
          <w:p>
            <w:r>
              <w:rPr>
                <w:rFonts w:ascii="Aptos" w:hAnsi="Aptos"/>
                <w:color w:val="1F2522"/>
                <w:sz w:val="17"/>
              </w:rPr>
              <w:t>Broken internal route, CSS defect, missing alt text, orphan reference, dead external-link finding.</w:t>
            </w:r>
          </w:p>
        </w:tc>
      </w:tr>
      <w:tr>
        <w:trPr>
          <w:cantSplit/>
        </w:trPr>
        <w:tc>
          <w:tcPr>
            <w:tcW w:type="dxa" w:w="2592"/>
            <w:tcMar>
              <w:top w:w="90" w:type="dxa"/>
              <w:start w:w="100" w:type="dxa"/>
              <w:bottom w:w="90" w:type="dxa"/>
              <w:end w:w="100" w:type="dxa"/>
            </w:tcMar>
          </w:tcPr>
          <w:p>
            <w:r>
              <w:rPr>
                <w:rFonts w:ascii="Aptos" w:hAnsi="Aptos"/>
                <w:color w:val="1F2522"/>
                <w:sz w:val="17"/>
              </w:rPr>
              <w:t>C · Canonical semantic mutation</w:t>
            </w:r>
          </w:p>
        </w:tc>
        <w:tc>
          <w:tcPr>
            <w:tcW w:type="dxa" w:w="2880"/>
            <w:tcMar>
              <w:top w:w="90" w:type="dxa"/>
              <w:start w:w="100" w:type="dxa"/>
              <w:bottom w:w="90" w:type="dxa"/>
              <w:end w:w="100" w:type="dxa"/>
            </w:tcMar>
          </w:tcPr>
          <w:p>
            <w:r>
              <w:rPr>
                <w:rFonts w:ascii="Aptos" w:hAnsi="Aptos"/>
                <w:color w:val="1F2522"/>
                <w:sz w:val="17"/>
              </w:rPr>
              <w:t>Only with authorized intent</w:t>
            </w:r>
          </w:p>
        </w:tc>
        <w:tc>
          <w:tcPr>
            <w:tcW w:type="dxa" w:w="4176"/>
            <w:tcMar>
              <w:top w:w="90" w:type="dxa"/>
              <w:start w:w="100" w:type="dxa"/>
              <w:bottom w:w="90" w:type="dxa"/>
              <w:end w:w="100" w:type="dxa"/>
            </w:tcMar>
          </w:tcPr>
          <w:p>
            <w:r>
              <w:rPr>
                <w:rFonts w:ascii="Aptos" w:hAnsi="Aptos"/>
                <w:color w:val="1F2522"/>
                <w:sz w:val="17"/>
              </w:rPr>
              <w:t>Create/reclassify Artifact, lifecycle/visibility/availability change, meaningful relationship, canonical description/cover.</w:t>
            </w:r>
          </w:p>
        </w:tc>
      </w:tr>
      <w:tr>
        <w:trPr>
          <w:cantSplit/>
        </w:trPr>
        <w:tc>
          <w:tcPr>
            <w:tcW w:type="dxa" w:w="2592"/>
            <w:tcMar>
              <w:top w:w="90" w:type="dxa"/>
              <w:start w:w="100" w:type="dxa"/>
              <w:bottom w:w="90" w:type="dxa"/>
              <w:end w:w="100" w:type="dxa"/>
            </w:tcMar>
            <w:shd w:fill="F7F9F7"/>
          </w:tcPr>
          <w:p>
            <w:r>
              <w:rPr>
                <w:rFonts w:ascii="Aptos" w:hAnsi="Aptos"/>
                <w:color w:val="1F2522"/>
                <w:sz w:val="17"/>
              </w:rPr>
              <w:t>D · Sensitive/destructive</w:t>
            </w:r>
          </w:p>
        </w:tc>
        <w:tc>
          <w:tcPr>
            <w:tcW w:type="dxa" w:w="2880"/>
            <w:tcMar>
              <w:top w:w="90" w:type="dxa"/>
              <w:start w:w="100" w:type="dxa"/>
              <w:bottom w:w="90" w:type="dxa"/>
              <w:end w:w="100" w:type="dxa"/>
            </w:tcMar>
            <w:shd w:fill="F7F9F7"/>
          </w:tcPr>
          <w:p>
            <w:r>
              <w:rPr>
                <w:rFonts w:ascii="Aptos" w:hAnsi="Aptos"/>
                <w:color w:val="1F2522"/>
                <w:sz w:val="17"/>
              </w:rPr>
              <w:t>Explicit narrow authorization required</w:t>
            </w:r>
          </w:p>
        </w:tc>
        <w:tc>
          <w:tcPr>
            <w:tcW w:type="dxa" w:w="4176"/>
            <w:tcMar>
              <w:top w:w="90" w:type="dxa"/>
              <w:start w:w="100" w:type="dxa"/>
              <w:bottom w:w="90" w:type="dxa"/>
              <w:end w:w="100" w:type="dxa"/>
            </w:tcMar>
            <w:shd w:fill="F7F9F7"/>
          </w:tcPr>
          <w:p>
            <w:r>
              <w:rPr>
                <w:rFonts w:ascii="Aptos" w:hAnsi="Aptos"/>
                <w:color w:val="1F2522"/>
                <w:sz w:val="17"/>
              </w:rPr>
              <w:t>Expose client/private content, ownership change, payment destination, hard deletion, destructive bulk migration.</w:t>
            </w:r>
          </w:p>
        </w:tc>
      </w:tr>
    </w:tbl>
    <w:p>
      <w:pPr>
        <w:spacing w:after="20"/>
      </w:pPr>
    </w:p>
    <w:p>
      <w:pPr>
        <w:pStyle w:val="Heading1"/>
      </w:pPr>
      <w:r>
        <w:t>4. Validation Categories</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Category</w:t>
            </w:r>
          </w:p>
        </w:tc>
        <w:tc>
          <w:tcPr>
            <w:tcW w:type="dxa" w:w="7344"/>
            <w:shd w:fill="25483A"/>
            <w:tcMar>
              <w:top w:w="90" w:type="dxa"/>
              <w:start w:w="100" w:type="dxa"/>
              <w:bottom w:w="90" w:type="dxa"/>
              <w:end w:w="100" w:type="dxa"/>
            </w:tcMar>
            <w:vAlign w:val="center"/>
          </w:tcPr>
          <w:p>
            <w:r>
              <w:rPr>
                <w:rFonts w:ascii="Aptos" w:hAnsi="Aptos"/>
                <w:b/>
                <w:color w:val="FFFFFF"/>
                <w:sz w:val="17"/>
              </w:rPr>
              <w:t>Must validate</w:t>
            </w:r>
          </w:p>
        </w:tc>
      </w:tr>
      <w:tr>
        <w:trPr>
          <w:cantSplit/>
        </w:trPr>
        <w:tc>
          <w:tcPr>
            <w:tcW w:type="dxa" w:w="2304"/>
            <w:tcMar>
              <w:top w:w="90" w:type="dxa"/>
              <w:start w:w="100" w:type="dxa"/>
              <w:bottom w:w="90" w:type="dxa"/>
              <w:end w:w="100" w:type="dxa"/>
            </w:tcMar>
          </w:tcPr>
          <w:p>
            <w:r>
              <w:rPr>
                <w:rFonts w:ascii="Aptos" w:hAnsi="Aptos"/>
                <w:color w:val="1F2522"/>
                <w:sz w:val="17"/>
              </w:rPr>
              <w:t>Data</w:t>
            </w:r>
          </w:p>
        </w:tc>
        <w:tc>
          <w:tcPr>
            <w:tcW w:type="dxa" w:w="7344"/>
            <w:tcMar>
              <w:top w:w="90" w:type="dxa"/>
              <w:start w:w="100" w:type="dxa"/>
              <w:bottom w:w="90" w:type="dxa"/>
              <w:end w:w="100" w:type="dxa"/>
            </w:tcMar>
          </w:tcPr>
          <w:p>
            <w:r>
              <w:rPr>
                <w:rFonts w:ascii="Aptos" w:hAnsi="Aptos"/>
                <w:color w:val="1F2522"/>
                <w:sz w:val="17"/>
              </w:rPr>
              <w:t>Required canonical fields, enum semantics, canonical authority, no contradictory duplicate truth.</w:t>
            </w:r>
          </w:p>
        </w:tc>
      </w:tr>
      <w:tr>
        <w:trPr>
          <w:cantSplit/>
        </w:trPr>
        <w:tc>
          <w:tcPr>
            <w:tcW w:type="dxa" w:w="2304"/>
            <w:tcMar>
              <w:top w:w="90" w:type="dxa"/>
              <w:start w:w="100" w:type="dxa"/>
              <w:bottom w:w="90" w:type="dxa"/>
              <w:end w:w="100" w:type="dxa"/>
            </w:tcMar>
            <w:shd w:fill="F7F9F7"/>
          </w:tcPr>
          <w:p>
            <w:r>
              <w:rPr>
                <w:rFonts w:ascii="Aptos" w:hAnsi="Aptos"/>
                <w:color w:val="1F2522"/>
                <w:sz w:val="17"/>
              </w:rPr>
              <w:t>Relationships</w:t>
            </w:r>
          </w:p>
        </w:tc>
        <w:tc>
          <w:tcPr>
            <w:tcW w:type="dxa" w:w="7344"/>
            <w:tcMar>
              <w:top w:w="90" w:type="dxa"/>
              <w:start w:w="100" w:type="dxa"/>
              <w:bottom w:w="90" w:type="dxa"/>
              <w:end w:w="100" w:type="dxa"/>
            </w:tcMar>
            <w:shd w:fill="F7F9F7"/>
          </w:tcPr>
          <w:p>
            <w:r>
              <w:rPr>
                <w:rFonts w:ascii="Aptos" w:hAnsi="Aptos"/>
                <w:color w:val="1F2522"/>
                <w:sz w:val="17"/>
              </w:rPr>
              <w:t>Target validity, direction/type, visibility, provenance/status, no broken identity dependency.</w:t>
            </w:r>
          </w:p>
        </w:tc>
      </w:tr>
      <w:tr>
        <w:trPr>
          <w:cantSplit/>
        </w:trPr>
        <w:tc>
          <w:tcPr>
            <w:tcW w:type="dxa" w:w="2304"/>
            <w:tcMar>
              <w:top w:w="90" w:type="dxa"/>
              <w:start w:w="100" w:type="dxa"/>
              <w:bottom w:w="90" w:type="dxa"/>
              <w:end w:w="100" w:type="dxa"/>
            </w:tcMar>
          </w:tcPr>
          <w:p>
            <w:r>
              <w:rPr>
                <w:rFonts w:ascii="Aptos" w:hAnsi="Aptos"/>
                <w:color w:val="1F2522"/>
                <w:sz w:val="17"/>
              </w:rPr>
              <w:t>Visibility/permissions</w:t>
            </w:r>
          </w:p>
        </w:tc>
        <w:tc>
          <w:tcPr>
            <w:tcW w:type="dxa" w:w="7344"/>
            <w:tcMar>
              <w:top w:w="90" w:type="dxa"/>
              <w:start w:w="100" w:type="dxa"/>
              <w:bottom w:w="90" w:type="dxa"/>
              <w:end w:w="100" w:type="dxa"/>
            </w:tcMar>
          </w:tcPr>
          <w:p>
            <w:r>
              <w:rPr>
                <w:rFonts w:ascii="Aptos" w:hAnsi="Aptos"/>
                <w:color w:val="1F2522"/>
                <w:sz w:val="17"/>
              </w:rPr>
              <w:t>No restricted Artifact or metadata leaks through Search, relationships, sitemap, feeds, or Surface placement.</w:t>
            </w:r>
          </w:p>
        </w:tc>
      </w:tr>
      <w:tr>
        <w:trPr>
          <w:cantSplit/>
        </w:trPr>
        <w:tc>
          <w:tcPr>
            <w:tcW w:type="dxa" w:w="2304"/>
            <w:tcMar>
              <w:top w:w="90" w:type="dxa"/>
              <w:start w:w="100" w:type="dxa"/>
              <w:bottom w:w="90" w:type="dxa"/>
              <w:end w:w="100" w:type="dxa"/>
            </w:tcMar>
            <w:shd w:fill="F7F9F7"/>
          </w:tcPr>
          <w:p>
            <w:r>
              <w:rPr>
                <w:rFonts w:ascii="Aptos" w:hAnsi="Aptos"/>
                <w:color w:val="1F2522"/>
                <w:sz w:val="17"/>
              </w:rPr>
              <w:t>Routing</w:t>
            </w:r>
          </w:p>
        </w:tc>
        <w:tc>
          <w:tcPr>
            <w:tcW w:type="dxa" w:w="7344"/>
            <w:tcMar>
              <w:top w:w="90" w:type="dxa"/>
              <w:start w:w="100" w:type="dxa"/>
              <w:bottom w:w="90" w:type="dxa"/>
              <w:end w:w="100" w:type="dxa"/>
            </w:tcMar>
            <w:shd w:fill="F7F9F7"/>
          </w:tcPr>
          <w:p>
            <w:r>
              <w:rPr>
                <w:rFonts w:ascii="Aptos" w:hAnsi="Aptos"/>
                <w:color w:val="1F2522"/>
                <w:sz w:val="17"/>
              </w:rPr>
              <w:t>Canonical URLs, redirects, deep links, Room reassignment, no dead-end public pages.</w:t>
            </w:r>
          </w:p>
        </w:tc>
      </w:tr>
      <w:tr>
        <w:trPr>
          <w:cantSplit/>
        </w:trPr>
        <w:tc>
          <w:tcPr>
            <w:tcW w:type="dxa" w:w="2304"/>
            <w:tcMar>
              <w:top w:w="90" w:type="dxa"/>
              <w:start w:w="100" w:type="dxa"/>
              <w:bottom w:w="90" w:type="dxa"/>
              <w:end w:w="100" w:type="dxa"/>
            </w:tcMar>
          </w:tcPr>
          <w:p>
            <w:r>
              <w:rPr>
                <w:rFonts w:ascii="Aptos" w:hAnsi="Aptos"/>
                <w:color w:val="1F2522"/>
                <w:sz w:val="17"/>
              </w:rPr>
              <w:t>Surfaces</w:t>
            </w:r>
          </w:p>
        </w:tc>
        <w:tc>
          <w:tcPr>
            <w:tcW w:type="dxa" w:w="7344"/>
            <w:tcMar>
              <w:top w:w="90" w:type="dxa"/>
              <w:start w:w="100" w:type="dxa"/>
              <w:bottom w:w="90" w:type="dxa"/>
              <w:end w:w="100" w:type="dxa"/>
            </w:tcMar>
          </w:tcPr>
          <w:p>
            <w:r>
              <w:rPr>
                <w:rFonts w:ascii="Aptos" w:hAnsi="Aptos"/>
                <w:color w:val="1F2522"/>
                <w:sz w:val="17"/>
              </w:rPr>
              <w:t>Derived state agrees with canonical data; Surface copy never contradicts identity/truth.</w:t>
            </w:r>
          </w:p>
        </w:tc>
      </w:tr>
      <w:tr>
        <w:trPr>
          <w:cantSplit/>
        </w:trPr>
        <w:tc>
          <w:tcPr>
            <w:tcW w:type="dxa" w:w="2304"/>
            <w:tcMar>
              <w:top w:w="90" w:type="dxa"/>
              <w:start w:w="100" w:type="dxa"/>
              <w:bottom w:w="90" w:type="dxa"/>
              <w:end w:w="100" w:type="dxa"/>
            </w:tcMar>
            <w:shd w:fill="F7F9F7"/>
          </w:tcPr>
          <w:p>
            <w:r>
              <w:rPr>
                <w:rFonts w:ascii="Aptos" w:hAnsi="Aptos"/>
                <w:color w:val="1F2522"/>
                <w:sz w:val="17"/>
              </w:rPr>
              <w:t>Assets</w:t>
            </w:r>
          </w:p>
        </w:tc>
        <w:tc>
          <w:tcPr>
            <w:tcW w:type="dxa" w:w="7344"/>
            <w:tcMar>
              <w:top w:w="90" w:type="dxa"/>
              <w:start w:w="100" w:type="dxa"/>
              <w:bottom w:w="90" w:type="dxa"/>
              <w:end w:w="100" w:type="dxa"/>
            </w:tcMar>
            <w:shd w:fill="F7F9F7"/>
          </w:tcPr>
          <w:p>
            <w:r>
              <w:rPr>
                <w:rFonts w:ascii="Aptos" w:hAnsi="Aptos"/>
                <w:color w:val="1F2522"/>
                <w:sz w:val="17"/>
              </w:rPr>
              <w:t>Required assets resolve; missing optional assets collapse gracefully; essential text is not image-only.</w:t>
            </w:r>
          </w:p>
        </w:tc>
      </w:tr>
      <w:tr>
        <w:trPr>
          <w:cantSplit/>
        </w:trPr>
        <w:tc>
          <w:tcPr>
            <w:tcW w:type="dxa" w:w="2304"/>
            <w:tcMar>
              <w:top w:w="90" w:type="dxa"/>
              <w:start w:w="100" w:type="dxa"/>
              <w:bottom w:w="90" w:type="dxa"/>
              <w:end w:w="100" w:type="dxa"/>
            </w:tcMar>
          </w:tcPr>
          <w:p>
            <w:r>
              <w:rPr>
                <w:rFonts w:ascii="Aptos" w:hAnsi="Aptos"/>
                <w:color w:val="1F2522"/>
                <w:sz w:val="17"/>
              </w:rPr>
              <w:t>External channels</w:t>
            </w:r>
          </w:p>
        </w:tc>
        <w:tc>
          <w:tcPr>
            <w:tcW w:type="dxa" w:w="7344"/>
            <w:tcMar>
              <w:top w:w="90" w:type="dxa"/>
              <w:start w:w="100" w:type="dxa"/>
              <w:bottom w:w="90" w:type="dxa"/>
              <w:end w:w="100" w:type="dxa"/>
            </w:tcMar>
          </w:tcPr>
          <w:p>
            <w:r>
              <w:rPr>
                <w:rFonts w:ascii="Aptos" w:hAnsi="Aptos"/>
                <w:color w:val="1F2522"/>
                <w:sz w:val="17"/>
              </w:rPr>
              <w:t>Links and price freshness are represented honestly; provider failure does not rewrite Artifact identity.</w:t>
            </w:r>
          </w:p>
        </w:tc>
      </w:tr>
      <w:tr>
        <w:trPr>
          <w:cantSplit/>
        </w:trPr>
        <w:tc>
          <w:tcPr>
            <w:tcW w:type="dxa" w:w="2304"/>
            <w:tcMar>
              <w:top w:w="90" w:type="dxa"/>
              <w:start w:w="100" w:type="dxa"/>
              <w:bottom w:w="90" w:type="dxa"/>
              <w:end w:w="100" w:type="dxa"/>
            </w:tcMar>
            <w:shd w:fill="F7F9F7"/>
          </w:tcPr>
          <w:p>
            <w:r>
              <w:rPr>
                <w:rFonts w:ascii="Aptos" w:hAnsi="Aptos"/>
                <w:color w:val="1F2522"/>
                <w:sz w:val="17"/>
              </w:rPr>
              <w:t>Accessibility</w:t>
            </w:r>
          </w:p>
        </w:tc>
        <w:tc>
          <w:tcPr>
            <w:tcW w:type="dxa" w:w="7344"/>
            <w:tcMar>
              <w:top w:w="90" w:type="dxa"/>
              <w:start w:w="100" w:type="dxa"/>
              <w:bottom w:w="90" w:type="dxa"/>
              <w:end w:w="100" w:type="dxa"/>
            </w:tcMar>
            <w:shd w:fill="F7F9F7"/>
          </w:tcPr>
          <w:p>
            <w:r>
              <w:rPr>
                <w:rFonts w:ascii="Aptos" w:hAnsi="Aptos"/>
                <w:color w:val="1F2522"/>
                <w:sz w:val="17"/>
              </w:rPr>
              <w:t>Keyboard/focus, semantic labels, contrast, alt text, reduced motion, touch/hover equivalence.</w:t>
            </w:r>
          </w:p>
        </w:tc>
      </w:tr>
      <w:tr>
        <w:trPr>
          <w:cantSplit/>
        </w:trPr>
        <w:tc>
          <w:tcPr>
            <w:tcW w:type="dxa" w:w="2304"/>
            <w:tcMar>
              <w:top w:w="90" w:type="dxa"/>
              <w:start w:w="100" w:type="dxa"/>
              <w:bottom w:w="90" w:type="dxa"/>
              <w:end w:w="100" w:type="dxa"/>
            </w:tcMar>
          </w:tcPr>
          <w:p>
            <w:r>
              <w:rPr>
                <w:rFonts w:ascii="Aptos" w:hAnsi="Aptos"/>
                <w:color w:val="1F2522"/>
                <w:sz w:val="17"/>
              </w:rPr>
              <w:t>Responsive</w:t>
            </w:r>
          </w:p>
        </w:tc>
        <w:tc>
          <w:tcPr>
            <w:tcW w:type="dxa" w:w="7344"/>
            <w:tcMar>
              <w:top w:w="90" w:type="dxa"/>
              <w:start w:w="100" w:type="dxa"/>
              <w:bottom w:w="90" w:type="dxa"/>
              <w:end w:w="100" w:type="dxa"/>
            </w:tcMar>
          </w:tcPr>
          <w:p>
            <w:r>
              <w:rPr>
                <w:rFonts w:ascii="Aptos" w:hAnsi="Aptos"/>
                <w:color w:val="1F2522"/>
                <w:sz w:val="17"/>
              </w:rPr>
              <w:t>Semantic equivalence across desktop/mobile and deliberate scene composition.</w:t>
            </w:r>
          </w:p>
        </w:tc>
      </w:tr>
      <w:tr>
        <w:trPr>
          <w:cantSplit/>
        </w:trPr>
        <w:tc>
          <w:tcPr>
            <w:tcW w:type="dxa" w:w="2304"/>
            <w:tcMar>
              <w:top w:w="90" w:type="dxa"/>
              <w:start w:w="100" w:type="dxa"/>
              <w:bottom w:w="90" w:type="dxa"/>
              <w:end w:w="100" w:type="dxa"/>
            </w:tcMar>
            <w:shd w:fill="F7F9F7"/>
          </w:tcPr>
          <w:p>
            <w:r>
              <w:rPr>
                <w:rFonts w:ascii="Aptos" w:hAnsi="Aptos"/>
                <w:color w:val="1F2522"/>
                <w:sz w:val="17"/>
              </w:rPr>
              <w:t>History</w:t>
            </w:r>
          </w:p>
        </w:tc>
        <w:tc>
          <w:tcPr>
            <w:tcW w:type="dxa" w:w="7344"/>
            <w:tcMar>
              <w:top w:w="90" w:type="dxa"/>
              <w:start w:w="100" w:type="dxa"/>
              <w:bottom w:w="90" w:type="dxa"/>
              <w:end w:w="100" w:type="dxa"/>
            </w:tcMar>
            <w:shd w:fill="F7F9F7"/>
          </w:tcPr>
          <w:p>
            <w:r>
              <w:rPr>
                <w:rFonts w:ascii="Aptos" w:hAnsi="Aptos"/>
                <w:color w:val="1F2522"/>
                <w:sz w:val="17"/>
              </w:rPr>
              <w:t>Superseded/revised/historical content remains legible and does not silently become current.</w:t>
            </w:r>
          </w:p>
        </w:tc>
      </w:tr>
    </w:tbl>
    <w:p>
      <w:pPr>
        <w:spacing w:after="20"/>
      </w:pPr>
    </w:p>
    <w:p>
      <w:pPr>
        <w:pStyle w:val="Heading1"/>
      </w:pPr>
      <w:r>
        <w:t>5. Hard Invariant Stack</w:t>
      </w:r>
    </w:p>
    <w:tbl>
      <w:tblPr>
        <w:tblStyle w:val="TableGrid"/>
        <w:tblW w:type="auto" w:w="0"/>
        <w:jc w:val="center"/>
        <w:tblLook w:firstColumn="1" w:firstRow="1" w:lastColumn="0" w:lastRow="0" w:noHBand="0" w:noVBand="1" w:val="04A0"/>
      </w:tblPr>
      <w:tblGrid>
        <w:gridCol w:w="4997"/>
        <w:gridCol w:w="4997"/>
      </w:tblGrid>
      <w:tr>
        <w:trPr>
          <w:cantSplit/>
        </w:trPr>
        <w:tc>
          <w:tcPr>
            <w:tcW w:type="dxa" w:w="2016"/>
            <w:shd w:fill="25483A"/>
            <w:tcMar>
              <w:top w:w="90" w:type="dxa"/>
              <w:start w:w="100" w:type="dxa"/>
              <w:bottom w:w="90" w:type="dxa"/>
              <w:end w:w="100" w:type="dxa"/>
            </w:tcMar>
            <w:vAlign w:val="center"/>
          </w:tcPr>
          <w:p>
            <w:r>
              <w:rPr>
                <w:rFonts w:ascii="Aptos" w:hAnsi="Aptos"/>
                <w:b/>
                <w:color w:val="FFFFFF"/>
                <w:sz w:val="17"/>
              </w:rPr>
              <w:t>Invariant</w:t>
            </w:r>
          </w:p>
        </w:tc>
        <w:tc>
          <w:tcPr>
            <w:tcW w:type="dxa" w:w="7632"/>
            <w:shd w:fill="25483A"/>
            <w:tcMar>
              <w:top w:w="90" w:type="dxa"/>
              <w:start w:w="100" w:type="dxa"/>
              <w:bottom w:w="90" w:type="dxa"/>
              <w:end w:w="100" w:type="dxa"/>
            </w:tcMar>
            <w:vAlign w:val="center"/>
          </w:tcPr>
          <w:p>
            <w:r>
              <w:rPr>
                <w:rFonts w:ascii="Aptos" w:hAnsi="Aptos"/>
                <w:b/>
                <w:color w:val="FFFFFF"/>
                <w:sz w:val="17"/>
              </w:rPr>
              <w:t>Requirement</w:t>
            </w:r>
          </w:p>
        </w:tc>
      </w:tr>
      <w:tr>
        <w:trPr>
          <w:cantSplit/>
        </w:trPr>
        <w:tc>
          <w:tcPr>
            <w:tcW w:type="dxa" w:w="2016"/>
            <w:tcMar>
              <w:top w:w="90" w:type="dxa"/>
              <w:start w:w="100" w:type="dxa"/>
              <w:bottom w:w="90" w:type="dxa"/>
              <w:end w:w="100" w:type="dxa"/>
            </w:tcMar>
          </w:tcPr>
          <w:p>
            <w:r>
              <w:rPr>
                <w:rFonts w:ascii="Aptos" w:hAnsi="Aptos"/>
                <w:color w:val="1F2522"/>
                <w:sz w:val="17"/>
              </w:rPr>
              <w:t>Identity</w:t>
            </w:r>
          </w:p>
        </w:tc>
        <w:tc>
          <w:tcPr>
            <w:tcW w:type="dxa" w:w="7632"/>
            <w:tcMar>
              <w:top w:w="90" w:type="dxa"/>
              <w:start w:w="100" w:type="dxa"/>
              <w:bottom w:w="90" w:type="dxa"/>
              <w:end w:w="100" w:type="dxa"/>
            </w:tcMar>
          </w:tcPr>
          <w:p>
            <w:r>
              <w:rPr>
                <w:rFonts w:ascii="Aptos" w:hAnsi="Aptos"/>
                <w:color w:val="1F2522"/>
                <w:sz w:val="17"/>
              </w:rPr>
              <w:t>Artifact remains itself regardless of Surface, Room reassignment, external platform, scene, or route change.</w:t>
            </w:r>
          </w:p>
        </w:tc>
      </w:tr>
      <w:tr>
        <w:trPr>
          <w:cantSplit/>
        </w:trPr>
        <w:tc>
          <w:tcPr>
            <w:tcW w:type="dxa" w:w="2016"/>
            <w:tcMar>
              <w:top w:w="90" w:type="dxa"/>
              <w:start w:w="100" w:type="dxa"/>
              <w:bottom w:w="90" w:type="dxa"/>
              <w:end w:w="100" w:type="dxa"/>
            </w:tcMar>
            <w:shd w:fill="F7F9F7"/>
          </w:tcPr>
          <w:p>
            <w:r>
              <w:rPr>
                <w:rFonts w:ascii="Aptos" w:hAnsi="Aptos"/>
                <w:color w:val="1F2522"/>
                <w:sz w:val="17"/>
              </w:rPr>
              <w:t>Truth</w:t>
            </w:r>
          </w:p>
        </w:tc>
        <w:tc>
          <w:tcPr>
            <w:tcW w:type="dxa" w:w="7632"/>
            <w:tcMar>
              <w:top w:w="90" w:type="dxa"/>
              <w:start w:w="100" w:type="dxa"/>
              <w:bottom w:w="90" w:type="dxa"/>
              <w:end w:w="100" w:type="dxa"/>
            </w:tcMar>
            <w:shd w:fill="F7F9F7"/>
          </w:tcPr>
          <w:p>
            <w:r>
              <w:rPr>
                <w:rFonts w:ascii="Aptos" w:hAnsi="Aptos"/>
                <w:color w:val="1F2522"/>
                <w:sz w:val="17"/>
              </w:rPr>
              <w:t>Canonical facts have one authority; derived systems never silently contradict them.</w:t>
            </w:r>
          </w:p>
        </w:tc>
      </w:tr>
      <w:tr>
        <w:trPr>
          <w:cantSplit/>
        </w:trPr>
        <w:tc>
          <w:tcPr>
            <w:tcW w:type="dxa" w:w="2016"/>
            <w:tcMar>
              <w:top w:w="90" w:type="dxa"/>
              <w:start w:w="100" w:type="dxa"/>
              <w:bottom w:w="90" w:type="dxa"/>
              <w:end w:w="100" w:type="dxa"/>
            </w:tcMar>
          </w:tcPr>
          <w:p>
            <w:r>
              <w:rPr>
                <w:rFonts w:ascii="Aptos" w:hAnsi="Aptos"/>
                <w:color w:val="1F2522"/>
                <w:sz w:val="17"/>
              </w:rPr>
              <w:t>Access</w:t>
            </w:r>
          </w:p>
        </w:tc>
        <w:tc>
          <w:tcPr>
            <w:tcW w:type="dxa" w:w="7632"/>
            <w:tcMar>
              <w:top w:w="90" w:type="dxa"/>
              <w:start w:w="100" w:type="dxa"/>
              <w:bottom w:w="90" w:type="dxa"/>
              <w:end w:w="100" w:type="dxa"/>
            </w:tcMar>
          </w:tcPr>
          <w:p>
            <w:r>
              <w:rPr>
                <w:rFonts w:ascii="Aptos" w:hAnsi="Aptos"/>
                <w:color w:val="1F2522"/>
                <w:sz w:val="17"/>
              </w:rPr>
              <w:t>Visibility/permission dominates curation, relationships, Search, availability, and presentation.</w:t>
            </w:r>
          </w:p>
        </w:tc>
      </w:tr>
      <w:tr>
        <w:trPr>
          <w:cantSplit/>
        </w:trPr>
        <w:tc>
          <w:tcPr>
            <w:tcW w:type="dxa" w:w="2016"/>
            <w:tcMar>
              <w:top w:w="90" w:type="dxa"/>
              <w:start w:w="100" w:type="dxa"/>
              <w:bottom w:w="90" w:type="dxa"/>
              <w:end w:w="100" w:type="dxa"/>
            </w:tcMar>
            <w:shd w:fill="F7F9F7"/>
          </w:tcPr>
          <w:p>
            <w:r>
              <w:rPr>
                <w:rFonts w:ascii="Aptos" w:hAnsi="Aptos"/>
                <w:color w:val="1F2522"/>
                <w:sz w:val="17"/>
              </w:rPr>
              <w:t>History</w:t>
            </w:r>
          </w:p>
        </w:tc>
        <w:tc>
          <w:tcPr>
            <w:tcW w:type="dxa" w:w="7632"/>
            <w:tcMar>
              <w:top w:w="90" w:type="dxa"/>
              <w:start w:w="100" w:type="dxa"/>
              <w:bottom w:w="90" w:type="dxa"/>
              <w:end w:w="100" w:type="dxa"/>
            </w:tcMar>
            <w:shd w:fill="F7F9F7"/>
          </w:tcPr>
          <w:p>
            <w:r>
              <w:rPr>
                <w:rFonts w:ascii="Aptos" w:hAnsi="Aptos"/>
                <w:color w:val="1F2522"/>
                <w:sz w:val="17"/>
              </w:rPr>
              <w:t>Current truth may propagate; intentional historical records remain intact unless intentionally revised.</w:t>
            </w:r>
          </w:p>
        </w:tc>
      </w:tr>
      <w:tr>
        <w:trPr>
          <w:cantSplit/>
        </w:trPr>
        <w:tc>
          <w:tcPr>
            <w:tcW w:type="dxa" w:w="2016"/>
            <w:tcMar>
              <w:top w:w="90" w:type="dxa"/>
              <w:start w:w="100" w:type="dxa"/>
              <w:bottom w:w="90" w:type="dxa"/>
              <w:end w:w="100" w:type="dxa"/>
            </w:tcMar>
          </w:tcPr>
          <w:p>
            <w:r>
              <w:rPr>
                <w:rFonts w:ascii="Aptos" w:hAnsi="Aptos"/>
                <w:color w:val="1F2522"/>
                <w:sz w:val="17"/>
              </w:rPr>
              <w:t>Governance</w:t>
            </w:r>
          </w:p>
        </w:tc>
        <w:tc>
          <w:tcPr>
            <w:tcW w:type="dxa" w:w="7632"/>
            <w:tcMar>
              <w:top w:w="90" w:type="dxa"/>
              <w:start w:w="100" w:type="dxa"/>
              <w:bottom w:w="90" w:type="dxa"/>
              <w:end w:w="100" w:type="dxa"/>
            </w:tcMar>
          </w:tcPr>
          <w:p>
            <w:r>
              <w:rPr>
                <w:rFonts w:ascii="Aptos" w:hAnsi="Aptos"/>
                <w:color w:val="1F2522"/>
                <w:sz w:val="17"/>
              </w:rPr>
              <w:t>Machines may derive, validate, repair mechanics, and propose; semantic meaning changes require authorized intent.</w:t>
            </w:r>
          </w:p>
        </w:tc>
      </w:tr>
      <w:tr>
        <w:trPr>
          <w:cantSplit/>
        </w:trPr>
        <w:tc>
          <w:tcPr>
            <w:tcW w:type="dxa" w:w="2016"/>
            <w:tcMar>
              <w:top w:w="90" w:type="dxa"/>
              <w:start w:w="100" w:type="dxa"/>
              <w:bottom w:w="90" w:type="dxa"/>
              <w:end w:w="100" w:type="dxa"/>
            </w:tcMar>
            <w:shd w:fill="F7F9F7"/>
          </w:tcPr>
          <w:p>
            <w:r>
              <w:rPr>
                <w:rFonts w:ascii="Aptos" w:hAnsi="Aptos"/>
                <w:color w:val="1F2522"/>
                <w:sz w:val="17"/>
              </w:rPr>
              <w:t>Epistemics</w:t>
            </w:r>
          </w:p>
        </w:tc>
        <w:tc>
          <w:tcPr>
            <w:tcW w:type="dxa" w:w="7632"/>
            <w:tcMar>
              <w:top w:w="90" w:type="dxa"/>
              <w:start w:w="100" w:type="dxa"/>
              <w:bottom w:w="90" w:type="dxa"/>
              <w:end w:w="100" w:type="dxa"/>
            </w:tcMar>
            <w:shd w:fill="F7F9F7"/>
          </w:tcPr>
          <w:p>
            <w:r>
              <w:rPr>
                <w:rFonts w:ascii="Aptos" w:hAnsi="Aptos"/>
                <w:color w:val="1F2522"/>
                <w:sz w:val="17"/>
              </w:rPr>
              <w:t>Presentation, popularity, recency, analytics, and AI inference never confer warrant.</w:t>
            </w:r>
          </w:p>
        </w:tc>
      </w:tr>
      <w:tr>
        <w:trPr>
          <w:cantSplit/>
        </w:trPr>
        <w:tc>
          <w:tcPr>
            <w:tcW w:type="dxa" w:w="2016"/>
            <w:tcMar>
              <w:top w:w="90" w:type="dxa"/>
              <w:start w:w="100" w:type="dxa"/>
              <w:bottom w:w="90" w:type="dxa"/>
              <w:end w:w="100" w:type="dxa"/>
            </w:tcMar>
          </w:tcPr>
          <w:p>
            <w:r>
              <w:rPr>
                <w:rFonts w:ascii="Aptos" w:hAnsi="Aptos"/>
                <w:color w:val="1F2522"/>
                <w:sz w:val="17"/>
              </w:rPr>
              <w:t>Navigation</w:t>
            </w:r>
          </w:p>
        </w:tc>
        <w:tc>
          <w:tcPr>
            <w:tcW w:type="dxa" w:w="7632"/>
            <w:tcMar>
              <w:top w:w="90" w:type="dxa"/>
              <w:start w:w="100" w:type="dxa"/>
              <w:bottom w:w="90" w:type="dxa"/>
              <w:end w:w="100" w:type="dxa"/>
            </w:tcMar>
          </w:tcPr>
          <w:p>
            <w:r>
              <w:rPr>
                <w:rFonts w:ascii="Aptos" w:hAnsi="Aptos"/>
                <w:color w:val="1F2522"/>
                <w:sz w:val="17"/>
              </w:rPr>
              <w:t>Every meaningful destination has semantic access and a path back into the Studio.</w:t>
            </w:r>
          </w:p>
        </w:tc>
      </w:tr>
      <w:tr>
        <w:trPr>
          <w:cantSplit/>
        </w:trPr>
        <w:tc>
          <w:tcPr>
            <w:tcW w:type="dxa" w:w="2016"/>
            <w:tcMar>
              <w:top w:w="90" w:type="dxa"/>
              <w:start w:w="100" w:type="dxa"/>
              <w:bottom w:w="90" w:type="dxa"/>
              <w:end w:w="100" w:type="dxa"/>
            </w:tcMar>
            <w:shd w:fill="F7F9F7"/>
          </w:tcPr>
          <w:p>
            <w:r>
              <w:rPr>
                <w:rFonts w:ascii="Aptos" w:hAnsi="Aptos"/>
                <w:color w:val="1F2522"/>
                <w:sz w:val="17"/>
              </w:rPr>
              <w:t>Resilience</w:t>
            </w:r>
          </w:p>
        </w:tc>
        <w:tc>
          <w:tcPr>
            <w:tcW w:type="dxa" w:w="7632"/>
            <w:tcMar>
              <w:top w:w="90" w:type="dxa"/>
              <w:start w:w="100" w:type="dxa"/>
              <w:bottom w:w="90" w:type="dxa"/>
              <w:end w:w="100" w:type="dxa"/>
            </w:tcMar>
            <w:shd w:fill="F7F9F7"/>
          </w:tcPr>
          <w:p>
            <w:r>
              <w:rPr>
                <w:rFonts w:ascii="Aptos" w:hAnsi="Aptos"/>
                <w:color w:val="1F2522"/>
                <w:sz w:val="17"/>
              </w:rPr>
              <w:t>Immersion, animation, assets, external services, and derived systems may fail without destroying semantic access.</w:t>
            </w:r>
          </w:p>
        </w:tc>
      </w:tr>
      <w:tr>
        <w:trPr>
          <w:cantSplit/>
        </w:trPr>
        <w:tc>
          <w:tcPr>
            <w:tcW w:type="dxa" w:w="2016"/>
            <w:tcMar>
              <w:top w:w="90" w:type="dxa"/>
              <w:start w:w="100" w:type="dxa"/>
              <w:bottom w:w="90" w:type="dxa"/>
              <w:end w:w="100" w:type="dxa"/>
            </w:tcMar>
          </w:tcPr>
          <w:p>
            <w:r>
              <w:rPr>
                <w:rFonts w:ascii="Aptos" w:hAnsi="Aptos"/>
                <w:color w:val="1F2522"/>
                <w:sz w:val="17"/>
              </w:rPr>
              <w:t>Commerce</w:t>
            </w:r>
          </w:p>
        </w:tc>
        <w:tc>
          <w:tcPr>
            <w:tcW w:type="dxa" w:w="7632"/>
            <w:tcMar>
              <w:top w:w="90" w:type="dxa"/>
              <w:start w:w="100" w:type="dxa"/>
              <w:bottom w:w="90" w:type="dxa"/>
              <w:end w:w="100" w:type="dxa"/>
            </w:tcMar>
          </w:tcPr>
          <w:p>
            <w:r>
              <w:rPr>
                <w:rFonts w:ascii="Aptos" w:hAnsi="Aptos"/>
                <w:color w:val="1F2522"/>
                <w:sz w:val="17"/>
              </w:rPr>
              <w:t>Marketplaces/payment channels provide access but never own Artifact identity.</w:t>
            </w:r>
          </w:p>
        </w:tc>
      </w:tr>
      <w:tr>
        <w:trPr>
          <w:cantSplit/>
        </w:trPr>
        <w:tc>
          <w:tcPr>
            <w:tcW w:type="dxa" w:w="2016"/>
            <w:tcMar>
              <w:top w:w="90" w:type="dxa"/>
              <w:start w:w="100" w:type="dxa"/>
              <w:bottom w:w="90" w:type="dxa"/>
              <w:end w:w="100" w:type="dxa"/>
            </w:tcMar>
            <w:shd w:fill="F7F9F7"/>
          </w:tcPr>
          <w:p>
            <w:r>
              <w:rPr>
                <w:rFonts w:ascii="Aptos" w:hAnsi="Aptos"/>
                <w:color w:val="1F2522"/>
                <w:sz w:val="17"/>
              </w:rPr>
              <w:t>Scalability</w:t>
            </w:r>
          </w:p>
        </w:tc>
        <w:tc>
          <w:tcPr>
            <w:tcW w:type="dxa" w:w="7632"/>
            <w:tcMar>
              <w:top w:w="90" w:type="dxa"/>
              <w:start w:w="100" w:type="dxa"/>
              <w:bottom w:w="90" w:type="dxa"/>
              <w:end w:w="100" w:type="dxa"/>
            </w:tcMar>
            <w:shd w:fill="F7F9F7"/>
          </w:tcPr>
          <w:p>
            <w:r>
              <w:rPr>
                <w:rFonts w:ascii="Aptos" w:hAnsi="Aptos"/>
                <w:color w:val="1F2522"/>
                <w:sz w:val="17"/>
              </w:rPr>
              <w:t>Growth deepens organization and retrieval rather than flattening the Studio.</w:t>
            </w:r>
          </w:p>
        </w:tc>
      </w:tr>
      <w:tr>
        <w:trPr>
          <w:cantSplit/>
        </w:trPr>
        <w:tc>
          <w:tcPr>
            <w:tcW w:type="dxa" w:w="2016"/>
            <w:tcMar>
              <w:top w:w="90" w:type="dxa"/>
              <w:start w:w="100" w:type="dxa"/>
              <w:bottom w:w="90" w:type="dxa"/>
              <w:end w:w="100" w:type="dxa"/>
            </w:tcMar>
          </w:tcPr>
          <w:p>
            <w:r>
              <w:rPr>
                <w:rFonts w:ascii="Aptos" w:hAnsi="Aptos"/>
                <w:color w:val="1F2522"/>
                <w:sz w:val="17"/>
              </w:rPr>
              <w:t>Abstention</w:t>
            </w:r>
          </w:p>
        </w:tc>
        <w:tc>
          <w:tcPr>
            <w:tcW w:type="dxa" w:w="7632"/>
            <w:tcMar>
              <w:top w:w="90" w:type="dxa"/>
              <w:start w:w="100" w:type="dxa"/>
              <w:bottom w:w="90" w:type="dxa"/>
              <w:end w:w="100" w:type="dxa"/>
            </w:tcMar>
          </w:tcPr>
          <w:p>
            <w:r>
              <w:rPr>
                <w:rFonts w:ascii="Aptos" w:hAnsi="Aptos"/>
                <w:color w:val="1F2522"/>
                <w:sz w:val="17"/>
              </w:rPr>
              <w:t>When meaning cannot be resolved safely, omit/flag/ask rather than fabricate certainty.</w:t>
            </w:r>
          </w:p>
        </w:tc>
      </w:tr>
    </w:tbl>
    <w:p>
      <w:pPr>
        <w:spacing w:after="20"/>
      </w:pPr>
    </w:p>
    <w:p>
      <w:pPr>
        <w:pStyle w:val="Heading1"/>
      </w:pPr>
      <w:r>
        <w:t>6. Required-vs-Optional Failure Behavior</w:t>
      </w:r>
    </w:p>
    <w:tbl>
      <w:tblPr>
        <w:tblStyle w:val="TableGrid"/>
        <w:tblW w:type="auto" w:w="0"/>
        <w:jc w:val="center"/>
        <w:tblLook w:firstColumn="1" w:firstRow="1" w:lastColumn="0" w:lastRow="0" w:noHBand="0" w:noVBand="1" w:val="04A0"/>
      </w:tblPr>
      <w:tblGrid>
        <w:gridCol w:w="4997"/>
        <w:gridCol w:w="4997"/>
      </w:tblGrid>
      <w:tr>
        <w:trPr>
          <w:cantSplit/>
        </w:trPr>
        <w:tc>
          <w:tcPr>
            <w:tcW w:type="dxa" w:w="3168"/>
            <w:shd w:fill="25483A"/>
            <w:tcMar>
              <w:top w:w="90" w:type="dxa"/>
              <w:start w:w="100" w:type="dxa"/>
              <w:bottom w:w="90" w:type="dxa"/>
              <w:end w:w="100" w:type="dxa"/>
            </w:tcMar>
            <w:vAlign w:val="center"/>
          </w:tcPr>
          <w:p>
            <w:r>
              <w:rPr>
                <w:rFonts w:ascii="Aptos" w:hAnsi="Aptos"/>
                <w:b/>
                <w:color w:val="FFFFFF"/>
                <w:sz w:val="17"/>
              </w:rPr>
              <w:t>Condition</w:t>
            </w:r>
          </w:p>
        </w:tc>
        <w:tc>
          <w:tcPr>
            <w:tcW w:type="dxa" w:w="6480"/>
            <w:shd w:fill="25483A"/>
            <w:tcMar>
              <w:top w:w="90" w:type="dxa"/>
              <w:start w:w="100" w:type="dxa"/>
              <w:bottom w:w="90" w:type="dxa"/>
              <w:end w:w="100" w:type="dxa"/>
            </w:tcMar>
            <w:vAlign w:val="center"/>
          </w:tcPr>
          <w:p>
            <w:r>
              <w:rPr>
                <w:rFonts w:ascii="Aptos" w:hAnsi="Aptos"/>
                <w:b/>
                <w:color w:val="FFFFFF"/>
                <w:sz w:val="17"/>
              </w:rPr>
              <w:t>Behavior</w:t>
            </w:r>
          </w:p>
        </w:tc>
      </w:tr>
      <w:tr>
        <w:trPr>
          <w:cantSplit/>
        </w:trPr>
        <w:tc>
          <w:tcPr>
            <w:tcW w:type="dxa" w:w="3168"/>
            <w:tcMar>
              <w:top w:w="90" w:type="dxa"/>
              <w:start w:w="100" w:type="dxa"/>
              <w:bottom w:w="90" w:type="dxa"/>
              <w:end w:w="100" w:type="dxa"/>
            </w:tcMar>
          </w:tcPr>
          <w:p>
            <w:r>
              <w:rPr>
                <w:rFonts w:ascii="Aptos" w:hAnsi="Aptos"/>
                <w:color w:val="1F2522"/>
                <w:sz w:val="17"/>
              </w:rPr>
              <w:t>Optional data missing</w:t>
            </w:r>
          </w:p>
        </w:tc>
        <w:tc>
          <w:tcPr>
            <w:tcW w:type="dxa" w:w="6480"/>
            <w:tcMar>
              <w:top w:w="90" w:type="dxa"/>
              <w:start w:w="100" w:type="dxa"/>
              <w:bottom w:w="90" w:type="dxa"/>
              <w:end w:w="100" w:type="dxa"/>
            </w:tcMar>
          </w:tcPr>
          <w:p>
            <w:r>
              <w:rPr>
                <w:rFonts w:ascii="Aptos" w:hAnsi="Aptos"/>
                <w:color w:val="1F2522"/>
                <w:sz w:val="17"/>
              </w:rPr>
              <w:t>Omit/collapse presentation region cleanly; do not generate placeholder clutter.</w:t>
            </w:r>
          </w:p>
        </w:tc>
      </w:tr>
      <w:tr>
        <w:trPr>
          <w:cantSplit/>
        </w:trPr>
        <w:tc>
          <w:tcPr>
            <w:tcW w:type="dxa" w:w="3168"/>
            <w:tcMar>
              <w:top w:w="90" w:type="dxa"/>
              <w:start w:w="100" w:type="dxa"/>
              <w:bottom w:w="90" w:type="dxa"/>
              <w:end w:w="100" w:type="dxa"/>
            </w:tcMar>
            <w:shd w:fill="F7F9F7"/>
          </w:tcPr>
          <w:p>
            <w:r>
              <w:rPr>
                <w:rFonts w:ascii="Aptos" w:hAnsi="Aptos"/>
                <w:color w:val="1F2522"/>
                <w:sz w:val="17"/>
              </w:rPr>
              <w:t>Required public/canonical data missing</w:t>
            </w:r>
          </w:p>
        </w:tc>
        <w:tc>
          <w:tcPr>
            <w:tcW w:type="dxa" w:w="6480"/>
            <w:tcMar>
              <w:top w:w="90" w:type="dxa"/>
              <w:start w:w="100" w:type="dxa"/>
              <w:bottom w:w="90" w:type="dxa"/>
              <w:end w:w="100" w:type="dxa"/>
            </w:tcMar>
            <w:shd w:fill="F7F9F7"/>
          </w:tcPr>
          <w:p>
            <w:r>
              <w:rPr>
                <w:rFonts w:ascii="Aptos" w:hAnsi="Aptos"/>
                <w:color w:val="1F2522"/>
                <w:sz w:val="17"/>
              </w:rPr>
              <w:t>Fail validation and block invalid transition/deployment.</w:t>
            </w:r>
          </w:p>
        </w:tc>
      </w:tr>
      <w:tr>
        <w:trPr>
          <w:cantSplit/>
        </w:trPr>
        <w:tc>
          <w:tcPr>
            <w:tcW w:type="dxa" w:w="3168"/>
            <w:tcMar>
              <w:top w:w="90" w:type="dxa"/>
              <w:start w:w="100" w:type="dxa"/>
              <w:bottom w:w="90" w:type="dxa"/>
              <w:end w:w="100" w:type="dxa"/>
            </w:tcMar>
          </w:tcPr>
          <w:p>
            <w:r>
              <w:rPr>
                <w:rFonts w:ascii="Aptos" w:hAnsi="Aptos"/>
                <w:color w:val="1F2522"/>
                <w:sz w:val="17"/>
              </w:rPr>
              <w:t>Relationship target unavailable/restricted</w:t>
            </w:r>
          </w:p>
        </w:tc>
        <w:tc>
          <w:tcPr>
            <w:tcW w:type="dxa" w:w="6480"/>
            <w:tcMar>
              <w:top w:w="90" w:type="dxa"/>
              <w:start w:w="100" w:type="dxa"/>
              <w:bottom w:w="90" w:type="dxa"/>
              <w:end w:w="100" w:type="dxa"/>
            </w:tcMar>
          </w:tcPr>
          <w:p>
            <w:r>
              <w:rPr>
                <w:rFonts w:ascii="Aptos" w:hAnsi="Aptos"/>
                <w:color w:val="1F2522"/>
                <w:sz w:val="17"/>
              </w:rPr>
              <w:t>Omit/degrade relation; never break source Artifact; never leak restricted metadata.</w:t>
            </w:r>
          </w:p>
        </w:tc>
      </w:tr>
      <w:tr>
        <w:trPr>
          <w:cantSplit/>
        </w:trPr>
        <w:tc>
          <w:tcPr>
            <w:tcW w:type="dxa" w:w="3168"/>
            <w:tcMar>
              <w:top w:w="90" w:type="dxa"/>
              <w:start w:w="100" w:type="dxa"/>
              <w:bottom w:w="90" w:type="dxa"/>
              <w:end w:w="100" w:type="dxa"/>
            </w:tcMar>
            <w:shd w:fill="F7F9F7"/>
          </w:tcPr>
          <w:p>
            <w:r>
              <w:rPr>
                <w:rFonts w:ascii="Aptos" w:hAnsi="Aptos"/>
                <w:color w:val="1F2522"/>
                <w:sz w:val="17"/>
              </w:rPr>
              <w:t>Malformed/unknown semantic value</w:t>
            </w:r>
          </w:p>
        </w:tc>
        <w:tc>
          <w:tcPr>
            <w:tcW w:type="dxa" w:w="6480"/>
            <w:tcMar>
              <w:top w:w="90" w:type="dxa"/>
              <w:start w:w="100" w:type="dxa"/>
              <w:bottom w:w="90" w:type="dxa"/>
              <w:end w:w="100" w:type="dxa"/>
            </w:tcMar>
            <w:shd w:fill="F7F9F7"/>
          </w:tcPr>
          <w:p>
            <w:r>
              <w:rPr>
                <w:rFonts w:ascii="Aptos" w:hAnsi="Aptos"/>
                <w:color w:val="1F2522"/>
                <w:sz w:val="17"/>
              </w:rPr>
              <w:t>Abstain or fail validation; never map to a confident invented meaning.</w:t>
            </w:r>
          </w:p>
        </w:tc>
      </w:tr>
      <w:tr>
        <w:trPr>
          <w:cantSplit/>
        </w:trPr>
        <w:tc>
          <w:tcPr>
            <w:tcW w:type="dxa" w:w="3168"/>
            <w:tcMar>
              <w:top w:w="90" w:type="dxa"/>
              <w:start w:w="100" w:type="dxa"/>
              <w:bottom w:w="90" w:type="dxa"/>
              <w:end w:w="100" w:type="dxa"/>
            </w:tcMar>
          </w:tcPr>
          <w:p>
            <w:r>
              <w:rPr>
                <w:rFonts w:ascii="Aptos" w:hAnsi="Aptos"/>
                <w:color w:val="1F2522"/>
                <w:sz w:val="17"/>
              </w:rPr>
              <w:t>Immersive asset/JS failure</w:t>
            </w:r>
          </w:p>
        </w:tc>
        <w:tc>
          <w:tcPr>
            <w:tcW w:type="dxa" w:w="6480"/>
            <w:tcMar>
              <w:top w:w="90" w:type="dxa"/>
              <w:start w:w="100" w:type="dxa"/>
              <w:bottom w:w="90" w:type="dxa"/>
              <w:end w:w="100" w:type="dxa"/>
            </w:tcMar>
          </w:tcPr>
          <w:p>
            <w:r>
              <w:rPr>
                <w:rFonts w:ascii="Aptos" w:hAnsi="Aptos"/>
                <w:color w:val="1F2522"/>
                <w:sz w:val="17"/>
              </w:rPr>
              <w:t>Use semantic fallback; essential navigation/content remains functional.</w:t>
            </w:r>
          </w:p>
        </w:tc>
      </w:tr>
    </w:tbl>
    <w:p>
      <w:pPr>
        <w:spacing w:after="20"/>
      </w:pPr>
    </w:p>
    <w:p>
      <w:pPr>
        <w:pStyle w:val="Heading1"/>
      </w:pPr>
      <w:r>
        <w:t>7. Privacy and Visibility Precedence</w:t>
      </w:r>
    </w:p>
    <w:p>
      <w:pPr>
        <w:pStyle w:val="FMCallout"/>
      </w:pPr>
      <w:r>
        <w:rPr>
          <w:rFonts w:ascii="Aptos" w:hAnsi="Aptos"/>
          <w:i/>
          <w:color w:val="25483A"/>
          <w:sz w:val="21"/>
        </w:rPr>
        <w:t>No curation, availability, lifecycle, relationship, Search index, cache, or old Surface placement may override canonical access restrictions.</w:t>
      </w:r>
    </w:p>
    <w:p>
      <w:r>
        <w:t>Public rendering resolves permission before target metadata is constructed. Private-to-public client transitions require explicit authorization. If Search cannot reindex reliably after a privacy change, immediate underexposure is preferable to stale unauthorized exposure.</w:t>
      </w:r>
    </w:p>
    <w:p>
      <w:pPr>
        <w:pStyle w:val="Heading1"/>
      </w:pPr>
      <w:r>
        <w:t>8. External Channel Failure</w:t>
      </w:r>
    </w:p>
    <w:p>
      <w:pPr>
        <w:pStyle w:val="ListBullet"/>
        <w:spacing w:after="40"/>
      </w:pPr>
      <w:r>
        <w:rPr>
          <w:rFonts w:ascii="Aptos" w:hAnsi="Aptos"/>
          <w:sz w:val="20"/>
        </w:rPr>
        <w:t>A dead marketplace/payment link affects channel presentation before it changes Artifact lifecycle.</w:t>
      </w:r>
    </w:p>
    <w:p>
      <w:pPr>
        <w:pStyle w:val="ListBullet"/>
        <w:spacing w:after="40"/>
      </w:pPr>
      <w:r>
        <w:rPr>
          <w:rFonts w:ascii="Aptos" w:hAnsi="Aptos"/>
          <w:sz w:val="20"/>
        </w:rPr>
        <w:t>One transient request failure does not automatically prove an Artifact is unavailable.</w:t>
      </w:r>
    </w:p>
    <w:p>
      <w:pPr>
        <w:pStyle w:val="ListBullet"/>
        <w:spacing w:after="40"/>
      </w:pPr>
      <w:r>
        <w:rPr>
          <w:rFonts w:ascii="Aptos" w:hAnsi="Aptos"/>
          <w:sz w:val="20"/>
        </w:rPr>
        <w:t>Unknown external price freshness is not displayed as current truth.</w:t>
      </w:r>
    </w:p>
    <w:p>
      <w:pPr>
        <w:pStyle w:val="ListBullet"/>
        <w:spacing w:after="40"/>
      </w:pPr>
      <w:r>
        <w:rPr>
          <w:rFonts w:ascii="Aptos" w:hAnsi="Aptos"/>
          <w:sz w:val="20"/>
        </w:rPr>
        <w:t>Provider outages never trigger weaker handling of sensitive card data.</w:t>
      </w:r>
    </w:p>
    <w:p>
      <w:pPr>
        <w:pStyle w:val="ListBullet"/>
        <w:spacing w:after="40"/>
      </w:pPr>
      <w:r>
        <w:rPr>
          <w:rFonts w:ascii="Aptos" w:hAnsi="Aptos"/>
          <w:sz w:val="20"/>
        </w:rPr>
        <w:t>External platform disappearance never deletes or reidentifies the canonical Artifact.</w:t>
      </w:r>
    </w:p>
    <w:p>
      <w:pPr>
        <w:pStyle w:val="Heading1"/>
      </w:pPr>
      <w:r>
        <w:t>9. Route and Identity Migration</w:t>
      </w:r>
    </w:p>
    <w:p>
      <w:pPr>
        <w:pStyle w:val="ListBullet"/>
        <w:spacing w:after="40"/>
      </w:pPr>
      <w:r>
        <w:rPr>
          <w:rFonts w:ascii="Aptos" w:hAnsi="Aptos"/>
          <w:sz w:val="20"/>
        </w:rPr>
        <w:t>Canonical Artifact IDs survive Room or slug changes.</w:t>
      </w:r>
    </w:p>
    <w:p>
      <w:pPr>
        <w:pStyle w:val="ListBullet"/>
        <w:spacing w:after="40"/>
      </w:pPr>
      <w:r>
        <w:rPr>
          <w:rFonts w:ascii="Aptos" w:hAnsi="Aptos"/>
          <w:sz w:val="20"/>
        </w:rPr>
        <w:t>Known prior public routes redirect where practical.</w:t>
      </w:r>
    </w:p>
    <w:p>
      <w:pPr>
        <w:pStyle w:val="ListBullet"/>
        <w:spacing w:after="40"/>
      </w:pPr>
      <w:r>
        <w:rPr>
          <w:rFonts w:ascii="Aptos" w:hAnsi="Aptos"/>
          <w:sz w:val="20"/>
        </w:rPr>
        <w:t>Dated Observatory URLs may redirect into stable canonical identity without losing historical publication dates.</w:t>
      </w:r>
    </w:p>
    <w:p>
      <w:pPr>
        <w:pStyle w:val="ListBullet"/>
        <w:spacing w:after="40"/>
      </w:pPr>
      <w:r>
        <w:rPr>
          <w:rFonts w:ascii="Aptos" w:hAnsi="Aptos"/>
          <w:sz w:val="20"/>
        </w:rPr>
        <w:t>Published identities are normally archived, retired, superseded, or redirected rather than hard-deleted.</w:t>
      </w:r>
    </w:p>
    <w:p>
      <w:pPr>
        <w:pStyle w:val="ListBullet"/>
        <w:spacing w:after="40"/>
      </w:pPr>
      <w:r>
        <w:rPr>
          <w:rFonts w:ascii="Aptos" w:hAnsi="Aptos"/>
          <w:sz w:val="20"/>
        </w:rPr>
        <w:t>Current route changes never rewrite historical quotations or dated editorial snapshots.</w:t>
      </w:r>
    </w:p>
    <w:p>
      <w:pPr>
        <w:pStyle w:val="Heading1"/>
      </w:pPr>
      <w:r>
        <w:t>10. Rebuildability</w:t>
      </w:r>
    </w:p>
    <w:p>
      <w:r>
        <w:t>Search indexes, generated pages, feeds, sitemaps, thumbnails, caches, and derived metadata should be disposable and reconstructible from canonical truth. Derived infrastructure must never become the only holder of semantic data.</w:t>
      </w:r>
    </w:p>
    <w:p>
      <w:pPr>
        <w:pStyle w:val="Heading1"/>
      </w:pPr>
      <w:r>
        <w:t>11. Atomic Change and Rollback</w:t>
      </w:r>
    </w:p>
    <w:p>
      <w:r>
        <w:t>Publishing, visibility, ownership, relationship, or migration operations that span multiple canonical fields are validated as logical change sets. If partial application would create contradiction, commit atomically where the implementation permits. Rollback restores the coherent prior change set, not an ad-hoc subset.</w:t>
      </w:r>
    </w:p>
    <w:p>
      <w:pPr>
        <w:pStyle w:val="Heading1"/>
      </w:pPr>
      <w:r>
        <w:t>12. Scaling Rules</w:t>
      </w:r>
    </w:p>
    <w:p>
      <w:pPr>
        <w:pStyle w:val="ListBullet"/>
        <w:spacing w:after="40"/>
      </w:pPr>
      <w:r>
        <w:rPr>
          <w:rFonts w:ascii="Aptos" w:hAnsi="Aptos"/>
          <w:sz w:val="20"/>
        </w:rPr>
        <w:t>Growth must not add equal top-level product categories.</w:t>
      </w:r>
    </w:p>
    <w:p>
      <w:pPr>
        <w:pStyle w:val="ListBullet"/>
        <w:spacing w:after="40"/>
      </w:pPr>
      <w:r>
        <w:rPr>
          <w:rFonts w:ascii="Aptos" w:hAnsi="Aptos"/>
          <w:sz w:val="20"/>
        </w:rPr>
        <w:t>Empty future Divisions remain hidden.</w:t>
      </w:r>
    </w:p>
    <w:p>
      <w:pPr>
        <w:pStyle w:val="ListBullet"/>
        <w:spacing w:after="40"/>
      </w:pPr>
      <w:r>
        <w:rPr>
          <w:rFonts w:ascii="Aptos" w:hAnsi="Aptos"/>
          <w:sz w:val="20"/>
        </w:rPr>
        <w:t>Large Rooms deepen through Divisions, relationships, Search, filters, archives, and progressive disclosure.</w:t>
      </w:r>
    </w:p>
    <w:p>
      <w:pPr>
        <w:pStyle w:val="ListBullet"/>
        <w:spacing w:after="40"/>
      </w:pPr>
      <w:r>
        <w:rPr>
          <w:rFonts w:ascii="Aptos" w:hAnsi="Aptos"/>
          <w:sz w:val="20"/>
        </w:rPr>
        <w:t>Density is solved architecturally before typography/components are compressed.</w:t>
      </w:r>
    </w:p>
    <w:p>
      <w:pPr>
        <w:pStyle w:val="ListBullet"/>
        <w:spacing w:after="40"/>
      </w:pPr>
      <w:r>
        <w:rPr>
          <w:rFonts w:ascii="Aptos" w:hAnsi="Aptos"/>
          <w:sz w:val="20"/>
        </w:rPr>
        <w:t>Recommendation blocks may show fewer or zero items rather than meaningless adjacency.</w:t>
      </w:r>
    </w:p>
    <w:p>
      <w:pPr>
        <w:pStyle w:val="Heading1"/>
      </w:pPr>
      <w:r>
        <w:t>13. Accessibility Release Gate</w:t>
      </w:r>
    </w:p>
    <w:p>
      <w:pPr>
        <w:pStyle w:val="ListBullet"/>
        <w:spacing w:after="40"/>
      </w:pPr>
      <w:r>
        <w:rPr>
          <w:rFonts w:ascii="Aptos" w:hAnsi="Aptos"/>
          <w:sz w:val="20"/>
        </w:rPr>
        <w:t>Keyboard and focus reach all meaningful interactive paths in semantic order.</w:t>
      </w:r>
    </w:p>
    <w:p>
      <w:pPr>
        <w:pStyle w:val="ListBullet"/>
        <w:spacing w:after="40"/>
      </w:pPr>
      <w:r>
        <w:rPr>
          <w:rFonts w:ascii="Aptos" w:hAnsi="Aptos"/>
          <w:sz w:val="20"/>
        </w:rPr>
        <w:t>Hover is never the only means to reveal required information.</w:t>
      </w:r>
    </w:p>
    <w:p>
      <w:pPr>
        <w:pStyle w:val="ListBullet"/>
        <w:spacing w:after="40"/>
      </w:pPr>
      <w:r>
        <w:rPr>
          <w:rFonts w:ascii="Aptos" w:hAnsi="Aptos"/>
          <w:sz w:val="20"/>
        </w:rPr>
        <w:t>Reduced-motion preference preserves full function.</w:t>
      </w:r>
    </w:p>
    <w:p>
      <w:pPr>
        <w:pStyle w:val="ListBullet"/>
        <w:spacing w:after="40"/>
      </w:pPr>
      <w:r>
        <w:rPr>
          <w:rFonts w:ascii="Aptos" w:hAnsi="Aptos"/>
          <w:sz w:val="20"/>
        </w:rPr>
        <w:t>Touch targets are usable on mobile.</w:t>
      </w:r>
    </w:p>
    <w:p>
      <w:pPr>
        <w:pStyle w:val="ListBullet"/>
        <w:spacing w:after="40"/>
      </w:pPr>
      <w:r>
        <w:rPr>
          <w:rFonts w:ascii="Aptos" w:hAnsi="Aptos"/>
          <w:sz w:val="20"/>
        </w:rPr>
        <w:t>Long-form content remains readable without scene dependence.</w:t>
      </w:r>
    </w:p>
    <w:p>
      <w:pPr>
        <w:pStyle w:val="ListBullet"/>
        <w:spacing w:after="40"/>
      </w:pPr>
      <w:r>
        <w:rPr>
          <w:rFonts w:ascii="Aptos" w:hAnsi="Aptos"/>
          <w:sz w:val="20"/>
        </w:rPr>
        <w:t>Interactive scene objects expose accessible names; decorative objects do not pollute the focus tree.</w:t>
      </w:r>
    </w:p>
    <w:p>
      <w:pPr>
        <w:pStyle w:val="Heading1"/>
      </w:pPr>
      <w:r>
        <w:t>14. Migration Acceptance Criteria</w:t>
      </w:r>
    </w:p>
    <w:p>
      <w:pPr>
        <w:pStyle w:val="ListNumber"/>
        <w:spacing w:after="40"/>
      </w:pPr>
      <w:r>
        <w:rPr>
          <w:rFonts w:ascii="Aptos" w:hAnsi="Aptos"/>
          <w:sz w:val="20"/>
        </w:rPr>
        <w:t>All current public content has an explicit migration disposition.</w:t>
      </w:r>
    </w:p>
    <w:p>
      <w:pPr>
        <w:pStyle w:val="ListNumber"/>
        <w:spacing w:after="40"/>
      </w:pPr>
      <w:r>
        <w:rPr>
          <w:rFonts w:ascii="Aptos" w:hAnsi="Aptos"/>
          <w:sz w:val="20"/>
        </w:rPr>
        <w:t>No known published Artifact is represented with stale lifecycle or availability truth on a truth-bearing Surface.</w:t>
      </w:r>
    </w:p>
    <w:p>
      <w:pPr>
        <w:pStyle w:val="ListNumber"/>
        <w:spacing w:after="40"/>
      </w:pPr>
      <w:r>
        <w:rPr>
          <w:rFonts w:ascii="Aptos" w:hAnsi="Aptos"/>
          <w:sz w:val="20"/>
        </w:rPr>
        <w:t>Existing Observatory articles retain authored content, publication history, and canonical deep-link behavior.</w:t>
      </w:r>
    </w:p>
    <w:p>
      <w:pPr>
        <w:pStyle w:val="ListNumber"/>
        <w:spacing w:after="40"/>
      </w:pPr>
      <w:r>
        <w:rPr>
          <w:rFonts w:ascii="Aptos" w:hAnsi="Aptos"/>
          <w:sz w:val="20"/>
        </w:rPr>
        <w:t>Old conventional nav taxonomy is removed as the primary information architecture while legacy routes are redirected where appropriate.</w:t>
      </w:r>
    </w:p>
    <w:p>
      <w:pPr>
        <w:pStyle w:val="ListNumber"/>
        <w:spacing w:after="40"/>
      </w:pPr>
      <w:r>
        <w:rPr>
          <w:rFonts w:ascii="Aptos" w:hAnsi="Aptos"/>
          <w:sz w:val="20"/>
        </w:rPr>
        <w:t>Public/private boundaries are validated across Search, relationships, Room landings, sitemap/metadata, and direct routes.</w:t>
      </w:r>
    </w:p>
    <w:p>
      <w:pPr>
        <w:pStyle w:val="ListNumber"/>
        <w:spacing w:after="40"/>
      </w:pPr>
      <w:r>
        <w:rPr>
          <w:rFonts w:ascii="Aptos" w:hAnsi="Aptos"/>
          <w:sz w:val="20"/>
        </w:rPr>
        <w:t>Canonical route map and redirects pass automated and manual checks.</w:t>
      </w:r>
    </w:p>
    <w:p>
      <w:pPr>
        <w:pStyle w:val="ListNumber"/>
        <w:spacing w:after="40"/>
      </w:pPr>
      <w:r>
        <w:rPr>
          <w:rFonts w:ascii="Aptos" w:hAnsi="Aptos"/>
          <w:sz w:val="20"/>
        </w:rPr>
        <w:t>Semantic fallback navigation works without immersive scene behavior.</w:t>
      </w:r>
    </w:p>
    <w:p>
      <w:pPr>
        <w:pStyle w:val="ListNumber"/>
        <w:spacing w:after="40"/>
      </w:pPr>
      <w:r>
        <w:rPr>
          <w:rFonts w:ascii="Aptos" w:hAnsi="Aptos"/>
          <w:sz w:val="20"/>
        </w:rPr>
        <w:t>Key desktop/mobile surfaces pass visual and accessibility review.</w:t>
      </w:r>
    </w:p>
    <w:p>
      <w:pPr>
        <w:pStyle w:val="ListNumber"/>
        <w:spacing w:after="40"/>
      </w:pPr>
      <w:r>
        <w:rPr>
          <w:rFonts w:ascii="Aptos" w:hAnsi="Aptos"/>
          <w:sz w:val="20"/>
        </w:rPr>
        <w:t>Document 01–05 invariants are satisfied or any exception is explicitly documented and approved.</w:t>
      </w:r>
    </w:p>
    <w:p>
      <w:pPr>
        <w:pStyle w:val="Heading1"/>
      </w:pPr>
      <w:r>
        <w:t>15. Release Decision</w:t>
      </w:r>
    </w:p>
    <w:p>
      <w:pPr>
        <w:pStyle w:val="FMCallout"/>
      </w:pPr>
      <w:r>
        <w:rPr>
          <w:rFonts w:ascii="Aptos" w:hAnsi="Aptos"/>
          <w:i/>
          <w:color w:val="25483A"/>
          <w:sz w:val="21"/>
        </w:rPr>
        <w:t>PASS requires architectural integrity, not merely visual similarity. A defect that corrupts identity, truth, access, history, or orientation is blocking even if the page looks polished.</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