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5483A"/>
          <w:sz w:val="48"/>
        </w:rPr>
        <w:t>Canonical Package Guide</w:t>
      </w:r>
    </w:p>
    <w:p>
      <w:pPr>
        <w:spacing w:after="100"/>
      </w:pPr>
      <w:r>
        <w:rPr>
          <w:rFonts w:ascii="Aptos" w:hAnsi="Aptos"/>
          <w:color w:val="5C665F"/>
          <w:sz w:val="23"/>
        </w:rPr>
        <w:t>Reading order, authority, freeze rules, and Codex operating boundaries</w:t>
      </w:r>
    </w:p>
    <w:p>
      <w:pPr>
        <w:spacing w:after="280"/>
      </w:pPr>
      <w:r>
        <w:rPr>
          <w:rFonts w:ascii="Aptos" w:hAnsi="Aptos"/>
          <w:b/>
          <w:color w:val="B19A5B"/>
          <w:sz w:val="17"/>
        </w:rPr>
        <w:t>v1.0 · September 3, 2026</w:t>
      </w:r>
    </w:p>
    <w:p>
      <w:pPr>
        <w:pStyle w:val="Heading1"/>
      </w:pPr>
      <w:r>
        <w:t>Document Role</w:t>
      </w:r>
    </w:p>
    <w:p>
      <w:pPr>
        <w:pStyle w:val="FMCallout"/>
      </w:pPr>
      <w:r>
        <w:rPr>
          <w:rFonts w:ascii="Aptos" w:hAnsi="Aptos"/>
          <w:i/>
          <w:color w:val="25483A"/>
          <w:sz w:val="21"/>
        </w:rPr>
        <w:t>This guide explains how the six governing documents work together. It does not create a seventh architectural authority.</w:t>
      </w:r>
    </w:p>
    <w:p>
      <w:r>
        <w:t>The package translates the frozen FluxMintDigital website architecture into an implementation constitution that can guide repository audit, migration, build work, validation, and later visual specimen production.</w:t>
      </w:r>
    </w:p>
    <w:p>
      <w:pPr>
        <w:pStyle w:val="Heading1"/>
      </w:pPr>
      <w:r>
        <w:t>Package Contents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168"/>
            <w:shd w:fill="25483A"/>
            <w:tcMar>
              <w:top w:w="90" w:type="dxa"/>
              <w:start w:w="100" w:type="dxa"/>
              <w:bottom w:w="90" w:type="dxa"/>
              <w:end w:w="100" w:type="dxa"/>
            </w:tcMar>
            <w:vAlign w:val="center"/>
          </w:tcPr>
          <w:p>
            <w:r>
              <w:rPr>
                <w:rFonts w:ascii="Aptos" w:hAnsi="Aptos"/>
                <w:b/>
                <w:color w:val="FFFFFF"/>
                <w:sz w:val="17"/>
              </w:rPr>
              <w:t>File</w:t>
            </w:r>
          </w:p>
        </w:tc>
        <w:tc>
          <w:tcPr>
            <w:tcW w:type="dxa" w:w="3888"/>
            <w:shd w:fill="25483A"/>
            <w:tcMar>
              <w:top w:w="90" w:type="dxa"/>
              <w:start w:w="100" w:type="dxa"/>
              <w:bottom w:w="90" w:type="dxa"/>
              <w:end w:w="100" w:type="dxa"/>
            </w:tcMar>
            <w:vAlign w:val="center"/>
          </w:tcPr>
          <w:p>
            <w:r>
              <w:rPr>
                <w:rFonts w:ascii="Aptos" w:hAnsi="Aptos"/>
                <w:b/>
                <w:color w:val="FFFFFF"/>
                <w:sz w:val="17"/>
              </w:rPr>
              <w:t>Primary question</w:t>
            </w:r>
          </w:p>
        </w:tc>
        <w:tc>
          <w:tcPr>
            <w:tcW w:type="dxa" w:w="2304"/>
            <w:shd w:fill="25483A"/>
            <w:tcMar>
              <w:top w:w="90" w:type="dxa"/>
              <w:start w:w="100" w:type="dxa"/>
              <w:bottom w:w="90" w:type="dxa"/>
              <w:end w:w="100" w:type="dxa"/>
            </w:tcMar>
            <w:vAlign w:val="center"/>
          </w:tcPr>
          <w:p>
            <w:r>
              <w:rPr>
                <w:rFonts w:ascii="Aptos" w:hAnsi="Aptos"/>
                <w:b/>
                <w:color w:val="FFFFFF"/>
                <w:sz w:val="17"/>
              </w:rPr>
              <w:t>Authority</w:t>
            </w:r>
          </w:p>
        </w:tc>
      </w:tr>
      <w:tr>
        <w:trPr>
          <w:cantSplit/>
        </w:trPr>
        <w:tc>
          <w:tcPr>
            <w:tcW w:type="dxa" w:w="3168"/>
            <w:tcMar>
              <w:top w:w="90" w:type="dxa"/>
              <w:start w:w="100" w:type="dxa"/>
              <w:bottom w:w="90" w:type="dxa"/>
              <w:end w:w="100" w:type="dxa"/>
            </w:tcMar>
          </w:tcPr>
          <w:p>
            <w:r>
              <w:rPr>
                <w:rFonts w:ascii="Aptos" w:hAnsi="Aptos"/>
                <w:color w:val="1F2522"/>
                <w:sz w:val="17"/>
              </w:rPr>
              <w:t>01 Studio Architecture</w:t>
            </w:r>
          </w:p>
        </w:tc>
        <w:tc>
          <w:tcPr>
            <w:tcW w:type="dxa" w:w="3888"/>
            <w:tcMar>
              <w:top w:w="90" w:type="dxa"/>
              <w:start w:w="100" w:type="dxa"/>
              <w:bottom w:w="90" w:type="dxa"/>
              <w:end w:w="100" w:type="dxa"/>
            </w:tcMar>
          </w:tcPr>
          <w:p>
            <w:r>
              <w:rPr>
                <w:rFonts w:ascii="Aptos" w:hAnsi="Aptos"/>
                <w:color w:val="1F2522"/>
                <w:sz w:val="17"/>
              </w:rPr>
              <w:t>What is FluxMintDigital structurally?</w:t>
            </w:r>
          </w:p>
        </w:tc>
        <w:tc>
          <w:tcPr>
            <w:tcW w:type="dxa" w:w="2304"/>
            <w:tcMar>
              <w:top w:w="90" w:type="dxa"/>
              <w:start w:w="100" w:type="dxa"/>
              <w:bottom w:w="90" w:type="dxa"/>
              <w:end w:w="100" w:type="dxa"/>
            </w:tcMar>
          </w:tcPr>
          <w:p>
            <w:r>
              <w:rPr>
                <w:rFonts w:ascii="Aptos" w:hAnsi="Aptos"/>
                <w:color w:val="1F2522"/>
                <w:sz w:val="17"/>
              </w:rPr>
              <w:t>Highest conceptual authority</w:t>
            </w:r>
          </w:p>
        </w:tc>
      </w:tr>
      <w:tr>
        <w:trPr>
          <w:cantSplit/>
        </w:trPr>
        <w:tc>
          <w:tcPr>
            <w:tcW w:type="dxa" w:w="3168"/>
            <w:tcMar>
              <w:top w:w="90" w:type="dxa"/>
              <w:start w:w="100" w:type="dxa"/>
              <w:bottom w:w="90" w:type="dxa"/>
              <w:end w:w="100" w:type="dxa"/>
            </w:tcMar>
            <w:shd w:fill="F7F9F7"/>
          </w:tcPr>
          <w:p>
            <w:r>
              <w:rPr>
                <w:rFonts w:ascii="Aptos" w:hAnsi="Aptos"/>
                <w:color w:val="1F2522"/>
                <w:sz w:val="17"/>
              </w:rPr>
              <w:t>02 Content &amp; Data Architecture</w:t>
            </w:r>
          </w:p>
        </w:tc>
        <w:tc>
          <w:tcPr>
            <w:tcW w:type="dxa" w:w="3888"/>
            <w:tcMar>
              <w:top w:w="90" w:type="dxa"/>
              <w:start w:w="100" w:type="dxa"/>
              <w:bottom w:w="90" w:type="dxa"/>
              <w:end w:w="100" w:type="dxa"/>
            </w:tcMar>
            <w:shd w:fill="F7F9F7"/>
          </w:tcPr>
          <w:p>
            <w:r>
              <w:rPr>
                <w:rFonts w:ascii="Aptos" w:hAnsi="Aptos"/>
                <w:color w:val="1F2522"/>
                <w:sz w:val="17"/>
              </w:rPr>
              <w:t>What information exists and where is truth owned?</w:t>
            </w:r>
          </w:p>
        </w:tc>
        <w:tc>
          <w:tcPr>
            <w:tcW w:type="dxa" w:w="2304"/>
            <w:tcMar>
              <w:top w:w="90" w:type="dxa"/>
              <w:start w:w="100" w:type="dxa"/>
              <w:bottom w:w="90" w:type="dxa"/>
              <w:end w:w="100" w:type="dxa"/>
            </w:tcMar>
            <w:shd w:fill="F7F9F7"/>
          </w:tcPr>
          <w:p>
            <w:r>
              <w:rPr>
                <w:rFonts w:ascii="Aptos" w:hAnsi="Aptos"/>
                <w:color w:val="1F2522"/>
                <w:sz w:val="17"/>
              </w:rPr>
              <w:t>Canonical logical content model</w:t>
            </w:r>
          </w:p>
        </w:tc>
      </w:tr>
      <w:tr>
        <w:trPr>
          <w:cantSplit/>
        </w:trPr>
        <w:tc>
          <w:tcPr>
            <w:tcW w:type="dxa" w:w="3168"/>
            <w:tcMar>
              <w:top w:w="90" w:type="dxa"/>
              <w:start w:w="100" w:type="dxa"/>
              <w:bottom w:w="90" w:type="dxa"/>
              <w:end w:w="100" w:type="dxa"/>
            </w:tcMar>
          </w:tcPr>
          <w:p>
            <w:r>
              <w:rPr>
                <w:rFonts w:ascii="Aptos" w:hAnsi="Aptos"/>
                <w:color w:val="1F2522"/>
                <w:sz w:val="17"/>
              </w:rPr>
              <w:t>03 Experience &amp; Navigation Architecture</w:t>
            </w:r>
          </w:p>
        </w:tc>
        <w:tc>
          <w:tcPr>
            <w:tcW w:type="dxa" w:w="3888"/>
            <w:tcMar>
              <w:top w:w="90" w:type="dxa"/>
              <w:start w:w="100" w:type="dxa"/>
              <w:bottom w:w="90" w:type="dxa"/>
              <w:end w:w="100" w:type="dxa"/>
            </w:tcMar>
          </w:tcPr>
          <w:p>
            <w:r>
              <w:rPr>
                <w:rFonts w:ascii="Aptos" w:hAnsi="Aptos"/>
                <w:color w:val="1F2522"/>
                <w:sz w:val="17"/>
              </w:rPr>
              <w:t>How do people move through the Studio?</w:t>
            </w:r>
          </w:p>
        </w:tc>
        <w:tc>
          <w:tcPr>
            <w:tcW w:type="dxa" w:w="2304"/>
            <w:tcMar>
              <w:top w:w="90" w:type="dxa"/>
              <w:start w:w="100" w:type="dxa"/>
              <w:bottom w:w="90" w:type="dxa"/>
              <w:end w:w="100" w:type="dxa"/>
            </w:tcMar>
          </w:tcPr>
          <w:p>
            <w:r>
              <w:rPr>
                <w:rFonts w:ascii="Aptos" w:hAnsi="Aptos"/>
                <w:color w:val="1F2522"/>
                <w:sz w:val="17"/>
              </w:rPr>
              <w:t>Human experience and orientation</w:t>
            </w:r>
          </w:p>
        </w:tc>
      </w:tr>
      <w:tr>
        <w:trPr>
          <w:cantSplit/>
        </w:trPr>
        <w:tc>
          <w:tcPr>
            <w:tcW w:type="dxa" w:w="3168"/>
            <w:tcMar>
              <w:top w:w="90" w:type="dxa"/>
              <w:start w:w="100" w:type="dxa"/>
              <w:bottom w:w="90" w:type="dxa"/>
              <w:end w:w="100" w:type="dxa"/>
            </w:tcMar>
            <w:shd w:fill="F7F9F7"/>
          </w:tcPr>
          <w:p>
            <w:r>
              <w:rPr>
                <w:rFonts w:ascii="Aptos" w:hAnsi="Aptos"/>
                <w:color w:val="1F2522"/>
                <w:sz w:val="17"/>
              </w:rPr>
              <w:t>04 Design Language</w:t>
            </w:r>
          </w:p>
        </w:tc>
        <w:tc>
          <w:tcPr>
            <w:tcW w:type="dxa" w:w="3888"/>
            <w:tcMar>
              <w:top w:w="90" w:type="dxa"/>
              <w:start w:w="100" w:type="dxa"/>
              <w:bottom w:w="90" w:type="dxa"/>
              <w:end w:w="100" w:type="dxa"/>
            </w:tcMar>
            <w:shd w:fill="F7F9F7"/>
          </w:tcPr>
          <w:p>
            <w:r>
              <w:rPr>
                <w:rFonts w:ascii="Aptos" w:hAnsi="Aptos"/>
                <w:color w:val="1F2522"/>
                <w:sz w:val="17"/>
              </w:rPr>
              <w:t>How should the architecture look and behave visually?</w:t>
            </w:r>
          </w:p>
        </w:tc>
        <w:tc>
          <w:tcPr>
            <w:tcW w:type="dxa" w:w="2304"/>
            <w:tcMar>
              <w:top w:w="90" w:type="dxa"/>
              <w:start w:w="100" w:type="dxa"/>
              <w:bottom w:w="90" w:type="dxa"/>
              <w:end w:w="100" w:type="dxa"/>
            </w:tcMar>
            <w:shd w:fill="F7F9F7"/>
          </w:tcPr>
          <w:p>
            <w:r>
              <w:rPr>
                <w:rFonts w:ascii="Aptos" w:hAnsi="Aptos"/>
                <w:color w:val="1F2522"/>
                <w:sz w:val="17"/>
              </w:rPr>
              <w:t>Visual and interaction grammar</w:t>
            </w:r>
          </w:p>
        </w:tc>
      </w:tr>
      <w:tr>
        <w:trPr>
          <w:cantSplit/>
        </w:trPr>
        <w:tc>
          <w:tcPr>
            <w:tcW w:type="dxa" w:w="3168"/>
            <w:tcMar>
              <w:top w:w="90" w:type="dxa"/>
              <w:start w:w="100" w:type="dxa"/>
              <w:bottom w:w="90" w:type="dxa"/>
              <w:end w:w="100" w:type="dxa"/>
            </w:tcMar>
          </w:tcPr>
          <w:p>
            <w:r>
              <w:rPr>
                <w:rFonts w:ascii="Aptos" w:hAnsi="Aptos"/>
                <w:color w:val="1F2522"/>
                <w:sz w:val="17"/>
              </w:rPr>
              <w:t>05 Visual Scene &amp; Asset Architecture</w:t>
            </w:r>
          </w:p>
        </w:tc>
        <w:tc>
          <w:tcPr>
            <w:tcW w:type="dxa" w:w="3888"/>
            <w:tcMar>
              <w:top w:w="90" w:type="dxa"/>
              <w:start w:w="100" w:type="dxa"/>
              <w:bottom w:w="90" w:type="dxa"/>
              <w:end w:w="100" w:type="dxa"/>
            </w:tcMar>
          </w:tcPr>
          <w:p>
            <w:r>
              <w:rPr>
                <w:rFonts w:ascii="Aptos" w:hAnsi="Aptos"/>
                <w:color w:val="1F2522"/>
                <w:sz w:val="17"/>
              </w:rPr>
              <w:t>How do immersive Rooms and assets implement the grammar?</w:t>
            </w:r>
          </w:p>
        </w:tc>
        <w:tc>
          <w:tcPr>
            <w:tcW w:type="dxa" w:w="2304"/>
            <w:tcMar>
              <w:top w:w="90" w:type="dxa"/>
              <w:start w:w="100" w:type="dxa"/>
              <w:bottom w:w="90" w:type="dxa"/>
              <w:end w:w="100" w:type="dxa"/>
            </w:tcMar>
          </w:tcPr>
          <w:p>
            <w:r>
              <w:rPr>
                <w:rFonts w:ascii="Aptos" w:hAnsi="Aptos"/>
                <w:color w:val="1F2522"/>
                <w:sz w:val="17"/>
              </w:rPr>
              <w:t>Scene composition and asset contracts</w:t>
            </w:r>
          </w:p>
        </w:tc>
      </w:tr>
      <w:tr>
        <w:trPr>
          <w:cantSplit/>
        </w:trPr>
        <w:tc>
          <w:tcPr>
            <w:tcW w:type="dxa" w:w="3168"/>
            <w:tcMar>
              <w:top w:w="90" w:type="dxa"/>
              <w:start w:w="100" w:type="dxa"/>
              <w:bottom w:w="90" w:type="dxa"/>
              <w:end w:w="100" w:type="dxa"/>
            </w:tcMar>
            <w:shd w:fill="F7F9F7"/>
          </w:tcPr>
          <w:p>
            <w:r>
              <w:rPr>
                <w:rFonts w:ascii="Aptos" w:hAnsi="Aptos"/>
                <w:color w:val="1F2522"/>
                <w:sz w:val="17"/>
              </w:rPr>
              <w:t>06 Implementation &amp; Validation Standard</w:t>
            </w:r>
          </w:p>
        </w:tc>
        <w:tc>
          <w:tcPr>
            <w:tcW w:type="dxa" w:w="3888"/>
            <w:tcMar>
              <w:top w:w="90" w:type="dxa"/>
              <w:start w:w="100" w:type="dxa"/>
              <w:bottom w:w="90" w:type="dxa"/>
              <w:end w:w="100" w:type="dxa"/>
            </w:tcMar>
            <w:shd w:fill="F7F9F7"/>
          </w:tcPr>
          <w:p>
            <w:r>
              <w:rPr>
                <w:rFonts w:ascii="Aptos" w:hAnsi="Aptos"/>
                <w:color w:val="1F2522"/>
                <w:sz w:val="17"/>
              </w:rPr>
              <w:t>How is compliance implemented and proven?</w:t>
            </w:r>
          </w:p>
        </w:tc>
        <w:tc>
          <w:tcPr>
            <w:tcW w:type="dxa" w:w="2304"/>
            <w:tcMar>
              <w:top w:w="90" w:type="dxa"/>
              <w:start w:w="100" w:type="dxa"/>
              <w:bottom w:w="90" w:type="dxa"/>
              <w:end w:w="100" w:type="dxa"/>
            </w:tcMar>
            <w:shd w:fill="F7F9F7"/>
          </w:tcPr>
          <w:p>
            <w:r>
              <w:rPr>
                <w:rFonts w:ascii="Aptos" w:hAnsi="Aptos"/>
                <w:color w:val="1F2522"/>
                <w:sz w:val="17"/>
              </w:rPr>
              <w:t>Build, migration, validation, failure handling</w:t>
            </w:r>
          </w:p>
        </w:tc>
      </w:tr>
    </w:tbl>
    <w:p>
      <w:pPr>
        <w:spacing w:after="20"/>
      </w:pPr>
    </w:p>
    <w:p>
      <w:pPr>
        <w:pStyle w:val="Heading1"/>
      </w:pPr>
      <w:r>
        <w:t>Authority and Dependency</w:t>
      </w:r>
    </w:p>
    <w:p>
      <w:pPr>
        <w:pStyle w:val="FMCallout"/>
      </w:pPr>
      <w:r>
        <w:rPr>
          <w:rFonts w:ascii="Aptos" w:hAnsi="Aptos"/>
          <w:i/>
          <w:color w:val="25483A"/>
          <w:sz w:val="21"/>
        </w:rPr>
        <w:t>Studio Architecture governs meaning. Content/Data and Experience/Navigation translate that meaning into system and human structure. Design Language inherits both. Visual Scene &amp; Asset Architecture implements the visual grammar. Implementation &amp; Validation tests the whole hierarchy and must not invent new conceptual architecture.</w:t>
      </w:r>
    </w:p>
    <w:p>
      <w:pPr>
        <w:pStyle w:val="Heading1"/>
      </w:pPr>
      <w:r>
        <w:t>Architecture Freeze Rule</w:t>
      </w:r>
    </w:p>
    <w:p>
      <w:r>
        <w:t>The conceptual architecture is frozen. During implementation, a change to the architecture is permitted only when repository evidence exposes a genuine contradiction, a missing requirement, or a materially better simplification. Local implementation inconvenience alone is not sufficient reason to reopen a settled decision.</w:t>
      </w:r>
    </w:p>
    <w:p>
      <w:pPr>
        <w:pStyle w:val="Heading1"/>
      </w:pPr>
      <w:r>
        <w:t>Implementation-Determined Decisions</w:t>
      </w:r>
    </w:p>
    <w:p>
      <w:pPr>
        <w:pStyle w:val="ListBullet"/>
        <w:spacing w:after="40"/>
      </w:pPr>
      <w:r>
        <w:rPr>
          <w:rFonts w:ascii="Aptos" w:hAnsi="Aptos"/>
          <w:sz w:val="20"/>
        </w:rPr>
        <w:t>Frontend framework, rendering strategy, test framework, cache strategy, deployment workflow, and physical content storage remain implementation-sensitive until the repository is audited.</w:t>
      </w:r>
    </w:p>
    <w:p>
      <w:pPr>
        <w:pStyle w:val="ListBullet"/>
        <w:spacing w:after="40"/>
      </w:pPr>
      <w:r>
        <w:rPr>
          <w:rFonts w:ascii="Aptos" w:hAnsi="Aptos"/>
          <w:sz w:val="20"/>
        </w:rPr>
        <w:t>Exact internal enum identifiers may differ from public labels when the mapping is deterministic and preserves the locked semantics.</w:t>
      </w:r>
    </w:p>
    <w:p>
      <w:pPr>
        <w:pStyle w:val="ListBullet"/>
        <w:spacing w:after="40"/>
      </w:pPr>
      <w:r>
        <w:rPr>
          <w:rFonts w:ascii="Aptos" w:hAnsi="Aptos"/>
          <w:sz w:val="20"/>
        </w:rPr>
        <w:t>Exact canonical URL formatting may be refined after route/SEO census, while durable identity and redirects remain mandatory.</w:t>
      </w:r>
    </w:p>
    <w:p>
      <w:pPr>
        <w:pStyle w:val="ListBullet"/>
        <w:spacing w:after="40"/>
      </w:pPr>
      <w:r>
        <w:rPr>
          <w:rFonts w:ascii="Aptos" w:hAnsi="Aptos"/>
          <w:sz w:val="20"/>
        </w:rPr>
        <w:t>Search technology, image-delivery implementation, and payment provider are intentionally not preselected.</w:t>
      </w:r>
    </w:p>
    <w:p>
      <w:pPr>
        <w:pStyle w:val="ListBullet"/>
        <w:spacing w:after="40"/>
      </w:pPr>
      <w:r>
        <w:rPr>
          <w:rFonts w:ascii="Aptos" w:hAnsi="Aptos"/>
          <w:sz w:val="20"/>
        </w:rPr>
        <w:t>Codex may choose engineering mechanisms inside the architecture; it may not redesign the Studio ontology, Room boundaries, governance model, or semantic truth.</w:t>
      </w:r>
    </w:p>
    <w:p>
      <w:pPr>
        <w:pStyle w:val="Heading1"/>
      </w:pPr>
      <w:r>
        <w:t>Codex Operating Boundary</w:t>
      </w:r>
    </w:p>
    <w:p>
      <w:pPr>
        <w:pStyle w:val="FMCallout"/>
      </w:pPr>
      <w:r>
        <w:rPr>
          <w:rFonts w:ascii="Aptos" w:hAnsi="Aptos"/>
          <w:i/>
          <w:color w:val="25483A"/>
          <w:sz w:val="21"/>
        </w:rPr>
        <w:t>Codex owns implementation decisions inside approved architectural boundaries. DJ owns semantic intent and canonical Studio truth.</w:t>
      </w:r>
    </w:p>
    <w:p>
      <w:pPr>
        <w:pStyle w:val="ListBullet"/>
        <w:spacing w:after="40"/>
      </w:pPr>
      <w:r>
        <w:rPr>
          <w:rFonts w:ascii="Aptos" w:hAnsi="Aptos"/>
          <w:sz w:val="20"/>
        </w:rPr>
        <w:t>Codex may inspect, validate, derive, refactor mechanics, propose semantic changes, execute explicit DJ instructions, and create implementation artifacts.</w:t>
      </w:r>
    </w:p>
    <w:p>
      <w:pPr>
        <w:pStyle w:val="ListBullet"/>
        <w:spacing w:after="40"/>
      </w:pPr>
      <w:r>
        <w:rPr>
          <w:rFonts w:ascii="Aptos" w:hAnsi="Aptos"/>
          <w:sz w:val="20"/>
        </w:rPr>
        <w:t>Codex may not infer lifecycle promotion, public visibility, new canonical relationships, Room reassignment, authorship changes, payment destinations, or exposure of private/client material from observation alone.</w:t>
      </w:r>
    </w:p>
    <w:p>
      <w:pPr>
        <w:pStyle w:val="ListBullet"/>
        <w:spacing w:after="40"/>
      </w:pPr>
      <w:r>
        <w:rPr>
          <w:rFonts w:ascii="Aptos" w:hAnsi="Aptos"/>
          <w:sz w:val="20"/>
        </w:rPr>
        <w:t>Technical write access does not confer editorial authority.</w:t>
      </w:r>
    </w:p>
    <w:p>
      <w:pPr>
        <w:pStyle w:val="ListBullet"/>
        <w:spacing w:after="40"/>
      </w:pPr>
      <w:r>
        <w:rPr>
          <w:rFonts w:ascii="Aptos" w:hAnsi="Aptos"/>
          <w:sz w:val="20"/>
        </w:rPr>
        <w:t>Candidate relationships and other machine discoveries remain governed candidates until authorized.</w:t>
      </w:r>
    </w:p>
    <w:p>
      <w:pPr>
        <w:pStyle w:val="Heading1"/>
      </w:pPr>
      <w:r>
        <w:t>Migration Posture</w:t>
      </w:r>
    </w:p>
    <w:tbl>
      <w:tblPr>
        <w:tblStyle w:val="TableGrid"/>
        <w:tblW w:type="auto" w:w="0"/>
        <w:jc w:val="center"/>
        <w:tblLook w:firstColumn="1" w:firstRow="1" w:lastColumn="0" w:lastRow="0" w:noHBand="0" w:noVBand="1" w:val="04A0"/>
      </w:tblPr>
      <w:tblGrid>
        <w:gridCol w:w="4997"/>
        <w:gridCol w:w="4997"/>
      </w:tblGrid>
      <w:tr>
        <w:trPr>
          <w:cantSplit/>
        </w:trPr>
        <w:tc>
          <w:tcPr>
            <w:tcW w:type="dxa" w:w="1872"/>
            <w:shd w:fill="25483A"/>
            <w:tcMar>
              <w:top w:w="90" w:type="dxa"/>
              <w:start w:w="100" w:type="dxa"/>
              <w:bottom w:w="90" w:type="dxa"/>
              <w:end w:w="100" w:type="dxa"/>
            </w:tcMar>
            <w:vAlign w:val="center"/>
          </w:tcPr>
          <w:p>
            <w:r>
              <w:rPr>
                <w:rFonts w:ascii="Aptos" w:hAnsi="Aptos"/>
                <w:b/>
                <w:color w:val="FFFFFF"/>
                <w:sz w:val="17"/>
              </w:rPr>
              <w:t>Disposition</w:t>
            </w:r>
          </w:p>
        </w:tc>
        <w:tc>
          <w:tcPr>
            <w:tcW w:type="dxa" w:w="7488"/>
            <w:shd w:fill="25483A"/>
            <w:tcMar>
              <w:top w:w="90" w:type="dxa"/>
              <w:start w:w="100" w:type="dxa"/>
              <w:bottom w:w="90" w:type="dxa"/>
              <w:end w:w="100" w:type="dxa"/>
            </w:tcMar>
            <w:vAlign w:val="center"/>
          </w:tcPr>
          <w:p>
            <w:r>
              <w:rPr>
                <w:rFonts w:ascii="Aptos" w:hAnsi="Aptos"/>
                <w:b/>
                <w:color w:val="FFFFFF"/>
                <w:sz w:val="17"/>
              </w:rPr>
              <w:t>Meaning</w:t>
            </w:r>
          </w:p>
        </w:tc>
      </w:tr>
      <w:tr>
        <w:trPr>
          <w:cantSplit/>
        </w:trPr>
        <w:tc>
          <w:tcPr>
            <w:tcW w:type="dxa" w:w="1872"/>
            <w:tcMar>
              <w:top w:w="90" w:type="dxa"/>
              <w:start w:w="100" w:type="dxa"/>
              <w:bottom w:w="90" w:type="dxa"/>
              <w:end w:w="100" w:type="dxa"/>
            </w:tcMar>
          </w:tcPr>
          <w:p>
            <w:r>
              <w:rPr>
                <w:rFonts w:ascii="Aptos" w:hAnsi="Aptos"/>
                <w:color w:val="1F2522"/>
                <w:sz w:val="17"/>
              </w:rPr>
              <w:t>KEEP</w:t>
            </w:r>
          </w:p>
        </w:tc>
        <w:tc>
          <w:tcPr>
            <w:tcW w:type="dxa" w:w="7488"/>
            <w:tcMar>
              <w:top w:w="90" w:type="dxa"/>
              <w:start w:w="100" w:type="dxa"/>
              <w:bottom w:w="90" w:type="dxa"/>
              <w:end w:w="100" w:type="dxa"/>
            </w:tcMar>
          </w:tcPr>
          <w:p>
            <w:r>
              <w:rPr>
                <w:rFonts w:ascii="Aptos" w:hAnsi="Aptos"/>
                <w:color w:val="1F2522"/>
                <w:sz w:val="17"/>
              </w:rPr>
              <w:t>Already satisfies the canonical architecture.</w:t>
            </w:r>
          </w:p>
        </w:tc>
      </w:tr>
      <w:tr>
        <w:trPr>
          <w:cantSplit/>
        </w:trPr>
        <w:tc>
          <w:tcPr>
            <w:tcW w:type="dxa" w:w="1872"/>
            <w:tcMar>
              <w:top w:w="90" w:type="dxa"/>
              <w:start w:w="100" w:type="dxa"/>
              <w:bottom w:w="90" w:type="dxa"/>
              <w:end w:w="100" w:type="dxa"/>
            </w:tcMar>
            <w:shd w:fill="F7F9F7"/>
          </w:tcPr>
          <w:p>
            <w:r>
              <w:rPr>
                <w:rFonts w:ascii="Aptos" w:hAnsi="Aptos"/>
                <w:color w:val="1F2522"/>
                <w:sz w:val="17"/>
              </w:rPr>
              <w:t>REFINE</w:t>
            </w:r>
          </w:p>
        </w:tc>
        <w:tc>
          <w:tcPr>
            <w:tcW w:type="dxa" w:w="7488"/>
            <w:tcMar>
              <w:top w:w="90" w:type="dxa"/>
              <w:start w:w="100" w:type="dxa"/>
              <w:bottom w:w="90" w:type="dxa"/>
              <w:end w:w="100" w:type="dxa"/>
            </w:tcMar>
            <w:shd w:fill="F7F9F7"/>
          </w:tcPr>
          <w:p>
            <w:r>
              <w:rPr>
                <w:rFonts w:ascii="Aptos" w:hAnsi="Aptos"/>
                <w:color w:val="1F2522"/>
                <w:sz w:val="17"/>
              </w:rPr>
              <w:t>Correct concept; implementation requires improvement.</w:t>
            </w:r>
          </w:p>
        </w:tc>
      </w:tr>
      <w:tr>
        <w:trPr>
          <w:cantSplit/>
        </w:trPr>
        <w:tc>
          <w:tcPr>
            <w:tcW w:type="dxa" w:w="1872"/>
            <w:tcMar>
              <w:top w:w="90" w:type="dxa"/>
              <w:start w:w="100" w:type="dxa"/>
              <w:bottom w:w="90" w:type="dxa"/>
              <w:end w:w="100" w:type="dxa"/>
            </w:tcMar>
          </w:tcPr>
          <w:p>
            <w:r>
              <w:rPr>
                <w:rFonts w:ascii="Aptos" w:hAnsi="Aptos"/>
                <w:color w:val="1F2522"/>
                <w:sz w:val="17"/>
              </w:rPr>
              <w:t>RESTRUCTURE</w:t>
            </w:r>
          </w:p>
        </w:tc>
        <w:tc>
          <w:tcPr>
            <w:tcW w:type="dxa" w:w="7488"/>
            <w:tcMar>
              <w:top w:w="90" w:type="dxa"/>
              <w:start w:w="100" w:type="dxa"/>
              <w:bottom w:w="90" w:type="dxa"/>
              <w:end w:w="100" w:type="dxa"/>
            </w:tcMar>
          </w:tcPr>
          <w:p>
            <w:r>
              <w:rPr>
                <w:rFonts w:ascii="Aptos" w:hAnsi="Aptos"/>
                <w:color w:val="1F2522"/>
                <w:sz w:val="17"/>
              </w:rPr>
              <w:t>Useful material exists but must be remapped into the canonical ontology.</w:t>
            </w:r>
          </w:p>
        </w:tc>
      </w:tr>
      <w:tr>
        <w:trPr>
          <w:cantSplit/>
        </w:trPr>
        <w:tc>
          <w:tcPr>
            <w:tcW w:type="dxa" w:w="1872"/>
            <w:tcMar>
              <w:top w:w="90" w:type="dxa"/>
              <w:start w:w="100" w:type="dxa"/>
              <w:bottom w:w="90" w:type="dxa"/>
              <w:end w:w="100" w:type="dxa"/>
            </w:tcMar>
            <w:shd w:fill="F7F9F7"/>
          </w:tcPr>
          <w:p>
            <w:r>
              <w:rPr>
                <w:rFonts w:ascii="Aptos" w:hAnsi="Aptos"/>
                <w:color w:val="1F2522"/>
                <w:sz w:val="17"/>
              </w:rPr>
              <w:t>REPLACE</w:t>
            </w:r>
          </w:p>
        </w:tc>
        <w:tc>
          <w:tcPr>
            <w:tcW w:type="dxa" w:w="7488"/>
            <w:tcMar>
              <w:top w:w="90" w:type="dxa"/>
              <w:start w:w="100" w:type="dxa"/>
              <w:bottom w:w="90" w:type="dxa"/>
              <w:end w:w="100" w:type="dxa"/>
            </w:tcMar>
            <w:shd w:fill="F7F9F7"/>
          </w:tcPr>
          <w:p>
            <w:r>
              <w:rPr>
                <w:rFonts w:ascii="Aptos" w:hAnsi="Aptos"/>
                <w:color w:val="1F2522"/>
                <w:sz w:val="17"/>
              </w:rPr>
              <w:t>Fundamentally incompatible with the canonical architecture or invariants.</w:t>
            </w:r>
          </w:p>
        </w:tc>
      </w:tr>
    </w:tbl>
    <w:p>
      <w:pPr>
        <w:spacing w:after="20"/>
      </w:pPr>
    </w:p>
    <w:p>
      <w:r>
        <w:t>Replacement carries the burden of proof. The redevelopment is an architecture migration, not a reflexive rewrite.</w:t>
      </w:r>
    </w:p>
    <w:p>
      <w:pPr>
        <w:pStyle w:val="Heading1"/>
      </w:pPr>
      <w:r>
        <w:t>Visual Work</w:t>
      </w:r>
    </w:p>
    <w:p>
      <w:r>
        <w:t>Visual specimens and decomposed scene assets are downstream deliverables. They will be produced after this textual package is accepted, using Documents 04 and 05 as their governing contracts. Existing artwork is reference evidence, not automatically canonical visual ground truth.</w:t>
      </w:r>
    </w:p>
    <w:p>
      <w:pPr>
        <w:pStyle w:val="Heading1"/>
      </w:pPr>
      <w:r>
        <w:t>Initial Codex Sequence</w:t>
      </w:r>
    </w:p>
    <w:p>
      <w:pPr>
        <w:pStyle w:val="ListNumber"/>
        <w:spacing w:after="40"/>
      </w:pPr>
      <w:r>
        <w:rPr>
          <w:rFonts w:ascii="Aptos" w:hAnsi="Aptos"/>
          <w:sz w:val="20"/>
        </w:rPr>
        <w:t>Run a non-destructive repository and live-route census.</w:t>
      </w:r>
    </w:p>
    <w:p>
      <w:pPr>
        <w:pStyle w:val="ListNumber"/>
        <w:spacing w:after="40"/>
      </w:pPr>
      <w:r>
        <w:rPr>
          <w:rFonts w:ascii="Aptos" w:hAnsi="Aptos"/>
          <w:sz w:val="20"/>
        </w:rPr>
        <w:t>Map existing content, routes, assets, metadata, styles, scenes, and integrations to the canonical package.</w:t>
      </w:r>
    </w:p>
    <w:p>
      <w:pPr>
        <w:pStyle w:val="ListNumber"/>
        <w:spacing w:after="40"/>
      </w:pPr>
      <w:r>
        <w:rPr>
          <w:rFonts w:ascii="Aptos" w:hAnsi="Aptos"/>
          <w:sz w:val="20"/>
        </w:rPr>
        <w:t>Produce a migration disposition map: KEEP / REFINE / RESTRUCTURE / REPLACE.</w:t>
      </w:r>
    </w:p>
    <w:p>
      <w:pPr>
        <w:pStyle w:val="ListNumber"/>
        <w:spacing w:after="40"/>
      </w:pPr>
      <w:r>
        <w:rPr>
          <w:rFonts w:ascii="Aptos" w:hAnsi="Aptos"/>
          <w:sz w:val="20"/>
        </w:rPr>
        <w:t>Implement canonical content/data foundation and visibility rules before immersive work.</w:t>
      </w:r>
    </w:p>
    <w:p>
      <w:pPr>
        <w:pStyle w:val="ListNumber"/>
        <w:spacing w:after="40"/>
      </w:pPr>
      <w:r>
        <w:rPr>
          <w:rFonts w:ascii="Aptos" w:hAnsi="Aptos"/>
          <w:sz w:val="20"/>
        </w:rPr>
        <w:t>Implement semantic routes, Room shells, Artifact rendering, navigation, breadcrumbs, and fallbacks.</w:t>
      </w:r>
    </w:p>
    <w:p>
      <w:pPr>
        <w:pStyle w:val="ListNumber"/>
        <w:spacing w:after="40"/>
      </w:pPr>
      <w:r>
        <w:rPr>
          <w:rFonts w:ascii="Aptos" w:hAnsi="Aptos"/>
          <w:sz w:val="20"/>
        </w:rPr>
        <w:t>Implement the Design Language, then scene architecture and immersive behaviors.</w:t>
      </w:r>
    </w:p>
    <w:p>
      <w:pPr>
        <w:pStyle w:val="ListNumber"/>
        <w:spacing w:after="40"/>
      </w:pPr>
      <w:r>
        <w:rPr>
          <w:rFonts w:ascii="Aptos" w:hAnsi="Aptos"/>
          <w:sz w:val="20"/>
        </w:rPr>
        <w:t>Implement search, relationships, history, and commerce-channel presentation.</w:t>
      </w:r>
    </w:p>
    <w:p>
      <w:pPr>
        <w:pStyle w:val="ListNumber"/>
        <w:spacing w:after="40"/>
      </w:pPr>
      <w:r>
        <w:rPr>
          <w:rFonts w:ascii="Aptos" w:hAnsi="Aptos"/>
          <w:sz w:val="20"/>
        </w:rPr>
        <w:t>Run Document 06 validation gates before cutover.</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5F"/>
        <w:sz w:val="15"/>
      </w:rPr>
      <w:t>v1.0 · September 3, 2026 · Canonical planning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65F"/>
        <w:sz w:val="15"/>
      </w:rPr>
      <w:t>FLUXMINTDIGITAL · WEBSITE CANONICAL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25483A"/>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522"/>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5C66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2548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MCallout">
    <w:name w:val="FM Callout"/>
    <w:pPr>
      <w:spacing w:before="140" w:after="160"/>
      <w:ind w:left="403" w:right="259"/>
    </w:pPr>
    <w:rPr>
      <w:rFonts w:ascii="Aptos" w:hAnsi="Aptos"/>
      <w:i/>
      <w:color w:val="2548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