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小干扰振荡处理方法小结</w:t>
      </w:r>
    </w:p>
    <w:p>
      <w:r>
        <w:t>关于小干扰振荡一般有两种计算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难以透过状态方程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原动机对应的转矩∆Tm同理可表示为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如何处理PMU数据进行功率振荡分析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当电力系统对发电厂及变电站实行较为精确的监控及故障诊断时，常采用同步相量测量（PMU）数据。PMU数据的特点是数据均为相量，并且记录的均为相量的幅值，并未记录相角数据。</w:t>
      </w:r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对低频振荡信号的分析</w:t>
      </w:r>
    </w:p>
    <w:p>
      <w:pPr>
        <w:rPr>
          <w:rFonts w:cs="Liberation Serif"/>
        </w:rPr>
      </w:pPr>
      <w:r>
        <w:rPr>
          <w:rFonts w:cs="Liberation Serif"/>
        </w:rPr>
        <w:t>观察黑麋峰功率振荡的形式，有功功率的变化和机端电流的变化一致，而机端电压的基本是不变的。</w:t>
      </w:r>
    </w:p>
    <w:p>
      <w:pPr>
        <w:rPr>
          <w:rFonts w:cs="Liberation Serif"/>
        </w:rPr>
      </w:pPr>
      <w:r>
        <w:rPr>
          <w:rFonts w:cs="Liberation Serif"/>
        </w:rPr>
        <w:t>从控制上分析，机组以机端电压稳定为控制目标，并且控制可在20/6=3.3ms左右实现，而低频振荡的周期在500ms以上，远大于励磁控制的周期，因此在低频振荡过程中，可认为在励磁的控制下机端电压是不变的，变化的量是机端电流。</w:t>
      </w:r>
    </w:p>
    <w:p>
      <w:r>
        <w:rPr>
          <w:rFonts w:cs="Liberation Serif"/>
        </w:rPr>
        <w:t>以暂态交轴电势Eq’、电角速度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为例为例，根据Philips-Heffron模型，低频振荡时系统电气量在原始相量的基础上，会形成某一频率的低频振荡相量，因此按照相量的定义，低频振荡应叠加在原始信号的幅值上，实际采集的</w:t>
      </w:r>
      <w:r>
        <w:t>数据应具有形式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(原始)=A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Eq’(原始)={A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]}sin(ω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Eq’0</w:t>
      </w:r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(PMU)=A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Eq’(PMU)=A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(PH)=A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)，相量形式为∆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∠α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ΔEq’(PH)=A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)，相量形式为∆Eq’=A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∠α</w:t>
      </w:r>
      <w:r>
        <w:rPr>
          <w:rFonts w:cs="Liberation Serif"/>
          <w:vertAlign w:val="subscript"/>
        </w:rPr>
        <w:t>Eq’1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</w:t>
      </w:r>
      <w:r>
        <w:rPr>
          <w:rFonts w:cs="Liberation Serif"/>
        </w:rPr>
        <w:t>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对于相量而言，计算∆Eq’向Δ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的投影时，实际上是计算∆Eq’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  <w:b w:val="0"/>
          <w:bCs w:val="0"/>
          <w:i w:val="0"/>
          <w:iCs w:val="0"/>
          <w:lang w:eastAsia="zh-CN"/>
        </w:rPr>
        <w:t>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26.657713pt;height:20.249691pt;" o:ole="">
            <v:stroke color="#000000"/>
            <v:imagedata r:id="rId2"/>
            <o:lock aspectratio="t"/>
          </v:shape>
          <o:OLEObject Type="Embed" ProgID="YozoEqu" ShapeID="_x0000_i1" DrawAspect="Content" ObjectID="_1393063351" r:id="rId3"/>
        </w:object>
      </w: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7.888342pt;height:23.831936pt;" o:ole="">
            <v:stroke color="#000000"/>
            <v:imagedata r:id="rId4"/>
            <o:lock aspectratio="t"/>
          </v:shape>
          <o:OLEObject Type="Embed" ProgID="YozoEqu" ShapeID="_x0000_i2" DrawAspect="Content" ObjectID="_1393063352" r:id="rId5"/>
        </w:object>
      </w: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val="en-US" w:eastAsia="zh-CN"/>
        </w:rPr>
        <w:t>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/2)[cos(α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)−cos(2ω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  <w:bookmarkStart w:id="0" w:name="_GoBack"/>
      <w:bookmarkEnd w:id="0"/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oleObject" Target="embeddings/oleObject1.bin"/><Relationship Id="rId4" Type="http://schemas.openxmlformats.org/officeDocument/2006/relationships/image" Target="media/4.png"/><Relationship Id="rId5" Type="http://schemas.openxmlformats.org/officeDocument/2006/relationships/oleObject" Target="embeddings/oleObject2.bin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291</TotalTime>
  <Application>Yozo_Office27021597764231179</Application>
  <Pages>5</Pages>
  <Words>2663</Words>
  <Characters>3375</Characters>
  <Lines>138</Lines>
  <Paragraphs>67</Paragraphs>
  <CharactersWithSpaces>3396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2020-08-18T09:57:05Z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