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/>
    <w:p>
      <w:pPr>
        <w:pStyle w:val="1"/>
        <w:jc w:val="center"/>
      </w:pPr>
      <w:r>
        <w:t>一种基于HP模型的低频振荡实用计算方法</w:t>
      </w:r>
    </w:p>
    <w:p/>
    <w:p>
      <w:pPr>
        <w:pStyle w:val="1"/>
      </w:pPr>
      <w:r>
        <w:t>一、适用范围</w:t>
      </w:r>
    </w:p>
    <w:p>
      <w:pPr>
        <w:pStyle w:val="2"/>
      </w:pPr>
      <w:r>
        <w:t>1.1对功率振荡进行分类，指出本文适用的范围及类型</w:t>
      </w:r>
    </w:p>
    <w:p>
      <w:pPr>
        <w:rPr>
          <w:bCs w:val="0"/>
        </w:rPr>
      </w:pPr>
      <w:r>
        <w:t>电力系统的功率振荡可</w:t>
      </w:r>
      <w:r>
        <w:t>根据振荡频率</w:t>
      </w:r>
      <w:r>
        <w:t>不同</w:t>
      </w:r>
      <w:r>
        <w:t>进行多种划分</w:t>
      </w:r>
      <w:r>
        <w:t>。低频振荡被广泛认为是因阻尼力矩不足，</w:t>
      </w:r>
      <w:r>
        <w:t>发电机</w:t>
      </w:r>
      <w:r>
        <w:rPr>
          <w:bCs w:val="0"/>
        </w:rPr>
        <w:t>转子角、转速</w:t>
      </w:r>
      <w:r>
        <w:rPr>
          <w:bCs w:val="0"/>
        </w:rPr>
        <w:t>以及</w:t>
      </w:r>
      <w:r>
        <w:rPr>
          <w:bCs w:val="0"/>
        </w:rPr>
        <w:t>相关</w:t>
      </w:r>
      <w:r>
        <w:rPr>
          <w:bCs w:val="0"/>
        </w:rPr>
        <w:t>电气量如</w:t>
      </w:r>
      <w:r>
        <w:rPr>
          <w:bCs w:val="0"/>
        </w:rPr>
        <w:t>机组</w:t>
      </w:r>
      <w:r>
        <w:rPr>
          <w:bCs w:val="0"/>
        </w:rPr>
        <w:t>功率、母线电压等发生</w:t>
      </w:r>
      <w:r>
        <w:rPr>
          <w:bCs w:val="0"/>
        </w:rPr>
        <w:t>的</w:t>
      </w:r>
      <w:r>
        <w:rPr>
          <w:bCs w:val="0"/>
        </w:rPr>
        <w:t>近似等幅或增幅</w:t>
      </w:r>
      <w:r>
        <w:rPr>
          <w:bCs w:val="0"/>
        </w:rPr>
        <w:t>的</w:t>
      </w:r>
      <w:r>
        <w:rPr>
          <w:bCs w:val="0"/>
        </w:rPr>
        <w:t>振荡</w:t>
      </w:r>
      <w:r>
        <w:rPr>
          <w:bCs w:val="0"/>
        </w:rPr>
        <w:t>，其振荡</w:t>
      </w:r>
      <w:r>
        <w:t>频率一般在0.1～3Hz之间</w:t>
      </w:r>
      <w:r>
        <w:rPr>
          <w:bCs w:val="0"/>
        </w:rPr>
        <w:t>。</w:t>
      </w:r>
    </w:p>
    <w:p>
      <w:r>
        <w:rPr>
          <w:bCs w:val="0"/>
        </w:rPr>
        <w:t>对于低频振荡，使用转矩理论可容易地解释其机理。首先，转矩理论认为发电机及其所连接</w:t>
      </w:r>
      <w:r>
        <w:rPr>
          <w:bCs w:val="0"/>
        </w:rPr>
        <w:t>电力系统</w:t>
      </w:r>
      <w:r>
        <w:rPr>
          <w:bCs w:val="0"/>
        </w:rPr>
        <w:t>在小的电气量干扰下的行为可进行线性化处理，</w:t>
      </w:r>
      <w:r>
        <w:rPr>
          <w:bCs w:val="0"/>
        </w:rPr>
        <w:t>并且</w:t>
      </w:r>
      <w:r>
        <w:rPr>
          <w:bCs w:val="0"/>
        </w:rPr>
        <w:t>可由一个传递函数模型来表示。其次通过分析该模型，机组电磁力矩可分解为同步转矩及阻尼转矩，当采用高比例增益的励磁系统并且机组输送功率达到一定程度时，机组</w:t>
      </w:r>
      <w:r>
        <w:rPr>
          <w:bCs w:val="0"/>
        </w:rPr>
        <w:t>电磁力矩中的</w:t>
      </w:r>
      <w:r>
        <w:rPr>
          <w:bCs w:val="0"/>
        </w:rPr>
        <w:t>阻尼转矩部分将为负值，则可能导致整个系统中的阻尼转矩为零或者负值</w:t>
      </w:r>
      <w:r>
        <w:t>，进而导致模型特征根出现零或者接近于零实部的解，对应实际中的低频振荡。</w:t>
      </w:r>
    </w:p>
    <w:p>
      <w:r>
        <w:t>本文将针对转矩理论探讨对实际发生的低频振荡判别方法，计算</w:t>
      </w:r>
    </w:p>
    <w:p>
      <w:pPr>
        <w:pStyle w:val="2"/>
      </w:pPr>
      <w:r>
        <w:t>1.2 对处理小干扰振荡的方法进行总结</w:t>
      </w:r>
    </w:p>
    <w:p/>
    <w:p>
      <w:pPr>
        <w:pStyle w:val="2"/>
      </w:pPr>
      <w:r>
        <w:t>1.3 对利用HP模型进行分析的原理进行解释</w:t>
      </w:r>
    </w:p>
    <w:p/>
    <w:p>
      <w:pPr>
        <w:pStyle w:val="2"/>
      </w:pPr>
      <w:r>
        <w:t xml:space="preserve">1.4 </w:t>
      </w:r>
      <w:bookmarkStart w:id="0" w:name="_GoBack"/>
      <w:bookmarkEnd w:id="0"/>
      <w:r>
        <w:t>利用PMU数据进行功率振荡分析的可行性分析，数据本身是怎样的类型，有什么特点，为什么符合用于小干扰分析的条件</w:t>
      </w:r>
    </w:p>
    <w:p/>
    <w:p>
      <w:pPr>
        <w:pStyle w:val="1"/>
      </w:pPr>
      <w:r>
        <w:t>二、对小干扰稳定分析的方法</w:t>
      </w:r>
    </w:p>
    <w:p>
      <w:pPr>
        <w:pStyle w:val="2"/>
      </w:pPr>
      <w:r>
        <w:t>2.1 对PMU数据的两次处理。</w:t>
      </w:r>
    </w:p>
    <w:p/>
    <w:p>
      <w:pPr>
        <w:pStyle w:val="2"/>
      </w:pPr>
      <w:r>
        <w:t>2.2 相角的计算方法，对不同相角计算方法的讨论。</w:t>
      </w:r>
    </w:p>
    <w:p/>
    <w:p>
      <w:pPr>
        <w:pStyle w:val="2"/>
      </w:pPr>
      <w:r>
        <w:t>2.3 对周期较短的信号的处理方法，能否采用延拓的方法。</w:t>
      </w:r>
    </w:p>
    <w:p/>
    <w:p>
      <w:pPr>
        <w:pStyle w:val="2"/>
      </w:pPr>
      <w:r>
        <w:t>2.4 能否进行实时计算。</w:t>
      </w:r>
    </w:p>
    <w:p/>
    <w:p>
      <w:pPr>
        <w:pStyle w:val="1"/>
      </w:pPr>
      <w:r>
        <w:t>三、理论算例分析</w:t>
      </w:r>
    </w:p>
    <w:p>
      <w:pPr>
        <w:pStyle w:val="2"/>
      </w:pPr>
      <w:r>
        <w:t>3.1 构造单机-无穷大系统模型，人为生成低频振荡</w:t>
      </w:r>
    </w:p>
    <w:p/>
    <w:p>
      <w:pPr>
        <w:pStyle w:val="2"/>
      </w:pPr>
      <w:r>
        <w:t>3.2 针对单机-无穷大系统生成HP模型，校验单机-无穷大系统的结论</w:t>
      </w:r>
    </w:p>
    <w:p/>
    <w:p>
      <w:pPr>
        <w:pStyle w:val="2"/>
      </w:pPr>
      <w:r>
        <w:t>3.3 利用单机-无穷大系统数据验证低频振荡判别方法</w:t>
      </w:r>
    </w:p>
    <w:p/>
    <w:p>
      <w:pPr>
        <w:pStyle w:val="1"/>
      </w:pPr>
      <w:r>
        <w:t>四、实例计算分析</w:t>
      </w:r>
    </w:p>
    <w:p>
      <w:pPr>
        <w:pStyle w:val="2"/>
      </w:pPr>
      <w:r>
        <w:t>4.1 黑麋峰振荡</w:t>
      </w:r>
    </w:p>
    <w:p/>
    <w:p>
      <w:pPr>
        <w:pStyle w:val="2"/>
        <w:tabs>
          <w:tab w:val="left" w:pos="2880"/>
        </w:tabs>
      </w:pPr>
      <w:r>
        <w:t>4.2 碗米破振荡</w:t>
      </w:r>
    </w:p>
    <w:p/>
    <w:p>
      <w:pPr>
        <w:pStyle w:val="2"/>
      </w:pPr>
      <w:r>
        <w:t>4.3 攸县振荡</w:t>
      </w:r>
    </w:p>
    <w:p/>
    <w:p>
      <w:pPr>
        <w:pStyle w:val="2"/>
      </w:pPr>
      <w:r>
        <w:t>4.4 常德振荡</w:t>
      </w:r>
    </w:p>
    <w:p/>
    <w:p/>
    <w:p/>
    <w:p/>
    <w:p/>
    <w:p/>
    <w:sectPr>
      <w:pgSz w:w="11906" w:h="16838"/>
      <w:pgMar w:top="1440" w:right="1800" w:bottom="1440" w:left="1800" w:header="851" w:footer="992" w:gutter="0"/>
      <w:pgNumType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xi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永中宋体">
    <w:panose1 w:val="02010600030101010101"/>
    <w:charset w:val="86"/>
    <w:family w:val="auto"/>
    <w:pitch w:val="variable"/>
    <w:sig w:usb0="00000803" w:usb1="080E0000" w:usb2="00000000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40"/>
  <w:doNotDisplayPageBoundaries/>
  <w:bordersDoNotSurroundHeader/>
  <w:bordersDoNotSurroundFooter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autoRedefine/>
    <w:pPr>
      <w:widowControl w:val="0"/>
      <w:spacing w:line="360" w:lineRule="auto"/>
      <w:ind w:firstLineChars="200" w:firstLine="200"/>
      <w:jc w:val="both"/>
    </w:pPr>
    <w:rPr>
      <w:rFonts w:ascii="Calibri" w:eastAsia="宋体" w:cs="Times New Roman" w:hAnsi="Calibri"/>
      <w:bCs/>
      <w:kern w:val="2"/>
      <w:sz w:val="24"/>
      <w:szCs w:val="22"/>
      <w:lang w:val="en-US" w:eastAsia="zh-CN" w:bidi="ar-SA"/>
    </w:rPr>
  </w:style>
  <w:style w:type="paragraph" w:styleId="1">
    <w:name w:val="heading 1"/>
    <w:basedOn w:val="0"/>
    <w:autoRedefine/>
    <w:next w:val="0"/>
    <w:pPr>
      <w:keepNext/>
      <w:keepLines/>
      <w:spacing w:line="360" w:lineRule="auto"/>
      <w:ind w:firstLineChars="0" w:firstLine="0"/>
      <w:outlineLvl w:val="0"/>
    </w:pPr>
    <w:rPr>
      <w:b/>
      <w:bCs/>
      <w:kern w:val="44"/>
      <w:sz w:val="30"/>
    </w:rPr>
  </w:style>
  <w:style w:type="paragraph" w:styleId="2">
    <w:name w:val="heading 2"/>
    <w:basedOn w:val="0"/>
    <w:autoRedefine/>
    <w:next w:val="0"/>
    <w:pPr>
      <w:keepNext/>
      <w:keepLines/>
      <w:ind w:firstLineChars="0" w:firstLine="0"/>
      <w:outlineLvl w:val="1"/>
    </w:pPr>
    <w:rPr>
      <w:rFonts w:ascii="Luxi Sans" w:eastAsia="永中宋体" w:hAnsi="Luxi Sans"/>
      <w:b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  <w:rPr>
      <w:b/>
      <w:color w:val="538135"/>
      <w:sz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380</TotalTime>
  <Application>Yozo_Office27021597764231179</Application>
  <Pages>2</Pages>
  <Words>669</Words>
  <Characters>710</Characters>
  <Lines>52</Lines>
  <Paragraphs>23</Paragraphs>
  <CharactersWithSpaces>724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fly1057</cp:lastModifiedBy>
  <cp:revision>1</cp:revision>
  <dcterms:created xsi:type="dcterms:W3CDTF">2020-04-21T07:34:00Z</dcterms:created>
  <dcterms:modified xsi:type="dcterms:W3CDTF">2020-08-11T08:23:37Z</dcterms:modified>
</cp:coreProperties>
</file>