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Project Briefing – Digital Transformation Initiative</w:t>
      </w:r>
    </w:p>
    <w:p>
      <w:pPr>
        <w:pStyle w:val="Heading2"/>
      </w:pPr>
      <w:r>
        <w:t>1  Meeting Summary – 12. March 2025</w:t>
      </w:r>
    </w:p>
    <w:p>
      <w:r>
        <w:t>On 12. March 2025, Dr. Laura Hoffmann (Product Director) and Thomas Brenner (Head of Firmware Development) met with representatives of Microsoft Deutschland GmbH and Amazon Web Services to discuss the migration of the current on-premise infrastructure to a hybrid cloud architecture. The meeting was held at the Frankfurt am Main headquarters.</w:t>
      </w:r>
    </w:p>
    <w:p>
      <w:r>
        <w:t>Key participants:</w:t>
      </w:r>
    </w:p>
    <w:p>
      <w:pPr>
        <w:pStyle w:val="ListBullet"/>
      </w:pPr>
      <w:r>
        <w:t>Dr. Laura Hoffmann · l.hoffmann@siemens-internal.de · +49 170 123 45 67</w:t>
      </w:r>
    </w:p>
    <w:p>
      <w:pPr>
        <w:pStyle w:val="ListBullet"/>
      </w:pPr>
      <w:r>
        <w:t>Thomas Brenner · t.brenner@nexlink-systems.com</w:t>
      </w:r>
    </w:p>
    <w:p>
      <w:pPr>
        <w:pStyle w:val="ListBullet"/>
      </w:pPr>
      <w:r>
        <w:t>Priya Venkatesh (AWS Solutions Architect) · p.venkatesh@amazon.com</w:t>
      </w:r>
    </w:p>
    <w:p>
      <w:pPr>
        <w:pStyle w:val="ListBullet"/>
      </w:pPr>
      <w:r>
        <w:t>Stefan Kellner (Microsoft Cloud) · s.kellner@microsoft.com · +49 30 700 118 0</w:t>
      </w:r>
    </w:p>
    <w:p>
      <w:pPr>
        <w:pStyle w:val="Heading2"/>
      </w:pPr>
      <w:r>
        <w:t>2  Budget &amp; Payment Details</w:t>
      </w:r>
    </w:p>
    <w:p>
      <w:r>
        <w:t>The approved project budget amounts to EUR 284,500. Payments will be processed via bank transfer to Deutschen Bank AG (Frankfurt am Main):</w:t>
      </w:r>
    </w:p>
    <w:p>
      <w:pPr>
        <w:pStyle w:val="ListBullet"/>
      </w:pPr>
      <w:r>
        <w:t>Account holder: Nexlink Technology Center GmbH</w:t>
      </w:r>
    </w:p>
    <w:p>
      <w:pPr>
        <w:pStyle w:val="ListBullet"/>
      </w:pPr>
      <w:r>
        <w:t>IBAN: DE89 3704 0044 0532 0130 00</w:t>
      </w:r>
    </w:p>
    <w:p>
      <w:pPr>
        <w:pStyle w:val="ListBullet"/>
      </w:pPr>
      <w:r>
        <w:t>Contract signed: 09.01.2025 – valid until 31.12.2026</w:t>
      </w:r>
    </w:p>
    <w:p>
      <w:pPr>
        <w:pStyle w:val="ListBullet"/>
      </w:pPr>
      <w:r>
        <w:t>Milestone reviews: 15.06.2025 and 01.11.2025</w:t>
      </w:r>
    </w:p>
    <w:p>
      <w:pPr>
        <w:pStyle w:val="Heading2"/>
      </w:pPr>
      <w:r>
        <w:t>3  Products &amp; Technologies</w:t>
      </w:r>
    </w:p>
    <w:p>
      <w:r>
        <w:t>The solution stack includes the Anybus® X-gateway, SAP S/4HANA (ERP integration), and „NetConnect Pro“ as the primary gateway firmware. The TUV certification for functional safety was confirmed by BMW Group and Bosch GmbH as reference customers. Allianz SE is evaluating a parallel rollout across their Munich offices.</w:t>
      </w:r>
    </w:p>
    <w:p>
      <w:pPr>
        <w:pStyle w:val="Heading2"/>
      </w:pPr>
      <w:r>
        <w:t>4  Next Steps</w:t>
      </w:r>
    </w:p>
    <w:p>
      <w:r>
        <w:t>Jonas Richter (QMS Expert, Hamburg) will coordinate the ISO 9001 audit scheduled for April 2025. Peter Maier and Clara Bauer from the IDS Division will prepare the technical documentation. All deliverables are to be submitted to Nina Wolff (VC Division, Wien) by 30.04.2025.</w:t>
      </w:r>
    </w:p>
    <w:p>
      <w:r>
        <w:t>For urgent matters please contact Markus Fischer directly: +49 621 776 0 or m.fischer@nexlink-systems.com. Backup contact: Daniel Krause · +41 44 200 11 11 · Berlin office.</w:t>
      </w:r>
    </w:p>
    <w:sectPr w:rsidR="00FC693F" w:rsidRPr="0006063C" w:rsidSect="00034616">
      <w:headerReference w:type="default" r:id="rId9"/>
      <w:footerReference w:type="default" r:id="rId10"/>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06060"/>
        <w:sz w:val="18"/>
      </w:rPr>
      <w:t>Prepared by: Michael Hartmann · Nexlink Systems GmbH · Halmstad, Sweden · Tel: +46 35 17 29 00 · IBAN: SE98 8000 0810 0394 6920 9161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06060"/>
        <w:sz w:val="18"/>
      </w:rPr>
      <w:t>Confidential · Siemens AG · Project: „NetConnect Pro“ · Contact: Dr. Laura Hoffmann (l.hoffmann@siemens-internal.de)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