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真实场景鲁棒性实验方案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AI语音克隆检测项目 · 组员3（系统集成与实验评测方向）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1 实验方案概述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1.1 实验目的与定位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方案属于“AI语音克隆检测技术”研究的系统集成与实验评测环节，由组员3负责设计与实施。总体研究以“多特征融合检测与真实场景鲁棒性分析”为研究主线，遵循“数据与特征分析—检测模型开发—系统集成与实验评测”的技术路线。本方案聚焦组员3核心研究问题“真实场景因素如何影响检测性能”，通过系统设计噪声、压缩、采样率与跨模型四类真实场景扰动实验，定量评测检测模型在非理想条件下的性能表现，为后续构建可部署Demo提供评测依据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1.2 与整体研究的关系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前置输入：组员1输出的特征分析结果与特征提取接口、组员2训练的检测模型（如CNN+MobileNetV2）及其推理接口。本环节产出：鲁棒性实验数据、ROC/AUC图表与鲁棒性分析结论，供最终报告与Demo部署使用。本方案对应研究创新点“建立真实场景鲁棒性测试方案，提升工程应用价值”。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2 实验对象与数据基础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2.1 数据来源与统一规范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实验统一使用组内已建立的语音数据预处理工具（V0.3）与《语音项目数据规范》：音频文件按“说话人ID_标签_序号.wav”命名，标签取real（真实语音）或fake（克隆语音）；字段包括file_path、speaker_id、label、duration；输入目录为data/test_audio，输出样本明细与统计结果至output目录。全组数据口径一致，保证实验结果可复现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2.2 实验音频与克隆模型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真实语音样本：组内采集或收集的真实人声。克隆语音样本：由AI语音克隆模型生成，克隆模型清单拟按组内实际采用的模型补充。数据规模与划分以组内实际采集数据为准，拟按训练、验证、测试8:1:1的比例划分，测试集用于本方案的扰动实验评测。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3 实验维度设计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依据统一实验内容中的“真实场景鲁棒性实验（噪声、压缩、采样率、不同克隆模型）”，本方案设计四个扰动维度。各维度实验均在保持检测模型参数不变的前提下进行，单独考察单一因素对检测性能的影响。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3.1 噪声干扰实验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噪声类型：白噪声、粉噪声、街道环境噪声三类。信噪比（SNR）梯度：拟设0、5、10、15、20 dB五档，另设无噪声对照组。处理方式：对测试音频按目标SNR叠加噪声，叠加前后统一音量归一化，避免音量因素干扰评测。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3.2 压缩退化实验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压缩格式：MP3。码率梯度：拟设64、128、192 kbps三档，对照原始WAV。处理方式：统一转码后记录压缩前后时长与采样率变化，考察有损压缩对检测特征的影响。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3.3 采样率实验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采样率梯度：拟设44.1、16、8 kHz三档。处理方式：先降采样至目标采样率，再升回原始采样率，模拟真实应用中音频传输与重采样链路，考察采样率下降对检测性能的影响。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3.4 跨克隆模型实验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将不同AI语音克隆模型生成的语音分别构成测试子集，比较检测模型在各子集上的性能差异。目的：检验传统声学特征与生物语音特征的跨模型泛化能力，对应研究问题中“特征是否具有稳定的跨模型检测能力”。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4 评测指标与方法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4.1 分类指标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采用模型对比实验的统一指标：Accuracy（准确率）、Precision（精确率）、Recall（召回率）、F1分数。计算公式以二分类混淆矩阵为准：Accuracy为正确分类样本占比；Precision为预测为正类中实际为正类的比例；Recall为实际正类中被正确预测的比例；F1为Precision与Recall的调和平均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4.2 ROC曲线与AUC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针对二分类检测任务绘制ROC曲线（横轴为假正例率，纵轴为真正例率），计算AUC（曲线下面积）作为综合评测指标。AUC不受分类阈值影响，能够反映模型在不同阈值下的整体区分能力。各扰动条件下的ROC曲线与AUC图表由组员3统一整理，作为最终报告的核心图表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4.3 评测流程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评测流程：模型推理得到逐样本预测分数；按扰动条件对测试结果分组；分组计算Accuracy、Precision、Recall、F1；绘制各条件ROC曲线并计算AUC；汇总为指标对比表。统计口径统一为：每个扰动条件下，同一测试集样本仅参与一次评测，确保各条件结果可比。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5 实验矩阵与实施流程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5.1 实验矩阵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表1 真实场景鲁棒性实验矩阵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实验维度</w:t>
            </w:r>
          </w:p>
        </w:tc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具体条件</w:t>
            </w:r>
          </w:p>
        </w:tc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对照基准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噪声干扰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白噪声/粉噪声/街道噪声；SNR 0、5、10、15、20 dB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无噪声原始音频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压缩退化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MP3 64/128/192 kbps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原始WAV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44.1/16/8 kHz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44.1 kHz原始采样</w:t>
            </w:r>
          </w:p>
        </w:tc>
      </w:tr>
      <w:tr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跨模型</w:t>
            </w:r>
          </w:p>
        </w:tc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不同克隆模型生成语音子集</w:t>
            </w:r>
          </w:p>
        </w:tc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同模型内评测结果</w:t>
            </w:r>
          </w:p>
        </w:tc>
      </w:tr>
    </w:tbl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5.2 实施步骤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一步，数据准备：基于V0.3预处理工具生成统一格式的测试集。第二步，扰动处理：按各维度条件对测试音频进行噪声叠加、压缩、重采样处理。第三步，特征提取：调用组员1的特征提取接口。第四步，模型推理：调用组员2的模型推理接口得到预测结果。第五步，指标计算：按4.3流程计算各条件指标。第六步，图表整理：绘制ROC/AUC图表并汇总分析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5.3 输出物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各扰动条件下ROC曲线图；指标汇总表（各维度、各条件对应Accuracy、Precision、Recall、F1、AUC）；鲁棒性分析结论；原始评测数据文件（供最终报告引用）。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6 预期结果与分析框架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6.1 预期规律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预期检测性能随噪声增强、压缩加剧、采样率下降呈退化趋势，不同维度退化幅度不同：噪声对高频声学特征影响显著，压缩主要破坏细节特征，采样率下降影响宽带特征。跨模型实验预期显示不同克隆模型生成语音的检测难度存在差异，体现特征泛化能力的边界。</w:t>
      </w:r>
    </w:p>
    <w:p>
      <w:pPr>
        <w:pStyle w:val="Heading2"/>
        <w:keepNext/>
        <w:spacing w:before="120" w:after="60"/>
      </w:pPr>
      <w:r>
        <w:rPr>
          <w:rFonts w:ascii="Times New Roman" w:hAnsi="Times New Roman" w:eastAsia="黑体"/>
          <w:b/>
          <w:color w:val="000000"/>
          <w:sz w:val="21"/>
        </w:rPr>
        <w:t>6.2 讨论框架</w:t>
      </w:r>
    </w:p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结合消融实验（MFCC→MFCC+Pause→MFCC+CNN→融合模型）结果，分析各特征与模型结构在真实场景下的优缺点，探讨性能退化原因与泛化机制，形成统一实验内容中的“研究讨论（Discussion）”部分，为多特征融合策略优化提供依据。</w:t>
      </w:r>
    </w:p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7 与组员分工的衔接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表2 协作接口与衔接点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协作对象</w:t>
            </w:r>
          </w:p>
        </w:tc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接口/衔接点</w:t>
            </w:r>
          </w:p>
        </w:tc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协作要求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组员1（特征分析）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特征提取接口输入输出格式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扰动后音频的特征提取格式与数据规范一致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组员2（模型开发）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模型推理接口、输入要求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模型推理输入口径与本评测流程对齐</w:t>
            </w:r>
          </w:p>
        </w:tc>
      </w:tr>
      <w:tr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组员1、2（数据）</w:t>
            </w:r>
          </w:p>
        </w:tc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统一数据规范</w:t>
            </w:r>
          </w:p>
        </w:tc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全组遵循《语音项目数据规范》</w:t>
            </w:r>
          </w:p>
        </w:tc>
      </w:tr>
    </w:tbl>
    <w:p>
      <w:pPr>
        <w:pStyle w:val="Heading1"/>
        <w:keepNext/>
        <w:spacing w:before="240" w:after="120"/>
      </w:pPr>
      <w:r>
        <w:rPr>
          <w:rFonts w:ascii="Times New Roman" w:hAnsi="Times New Roman" w:eastAsia="黑体"/>
          <w:b/>
          <w:color w:val="000000"/>
          <w:sz w:val="24"/>
        </w:rPr>
        <w:t>8 时间安排与交付物清单</w:t>
      </w:r>
    </w:p>
    <w:p>
      <w:pPr>
        <w:keepNext/>
        <w:spacing w:before="80" w:after="80"/>
        <w:jc w:val="center"/>
      </w:pPr>
      <w:r>
        <w:rPr>
          <w:rFonts w:ascii="Times New Roman" w:hAnsi="Times New Roman" w:eastAsia="黑体"/>
          <w:b/>
          <w:color w:val="000000"/>
          <w:sz w:val="18"/>
        </w:rPr>
        <w:t>表3 时间安排与交付物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主要任务</w:t>
            </w:r>
          </w:p>
        </w:tc>
        <w:tc>
          <w:tcPr>
            <w:tcW w:type="dxa" w:w="3024"/>
            <w:tcBorders>
              <w:top w:val="nil"/>
              <w:bottom w:val="single" w:sz="4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实验准备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数据准备、扰动处理脚本、评测框架搭建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评测脚本与扰动数据集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实验实施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四维度鲁棒性实验执行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原始评测数据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结果整理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ROC/AUC图表、指标汇总、分析结论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鲁棒性实验报告图表</w:t>
            </w:r>
          </w:p>
        </w:tc>
      </w:tr>
      <w:tr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系统集成</w:t>
            </w:r>
          </w:p>
        </w:tc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评测结论融入Demo与最终报告</w:t>
            </w:r>
          </w:p>
        </w:tc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line="240" w:lineRule="auto" w:before="40" w:after="4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Demo评测模块、最终报告</w:t>
            </w:r>
          </w:p>
        </w:tc>
      </w:tr>
    </w:tbl>
    <w:p>
      <w:pPr>
        <w:spacing w:line="360" w:lineRule="auto" w:before="0" w:after="0"/>
        <w:jc w:val="both"/>
        <w:ind w:firstLineChars="200"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注：各阶段具体时间节点随组内整体项目排期同步更新；克隆模型清单与数据规模以组内实际采用情况为准，本方案为实验设计基准，实施时按实际情况微调。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