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智能成绩分析报告</w:t>
      </w:r>
    </w:p>
    <w:p>
      <w:pPr>
        <w:pStyle w:val="Heading1"/>
      </w:pPr>
      <w:r>
        <w:t>Test</w:t>
      </w:r>
    </w:p>
    <w:p>
      <w:r>
        <w:t>| Col | Col |</w:t>
      </w:r>
    </w:p>
    <w:p>
      <w:r>
        <w:t>|---|---|</w:t>
      </w:r>
    </w:p>
    <w:p>
      <w:r>
        <w:t>| A | B |</w:t>
      </w:r>
    </w:p>
    <w:p>
      <w:r>
        <w:drawing>
          <wp:inline xmlns:a="http://schemas.openxmlformats.org/drawingml/2006/main" xmlns:pic="http://schemas.openxmlformats.org/drawingml/2006/picture">
            <wp:extent cx="5486400" cy="2508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806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