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before="0" w:line="259" w:lineRule="auto"/>
        <w:contextualSpacing w:val="0"/>
      </w:pPr>
      <w:hyperlink w:anchor="_gjdgxs">
        <w:r w:rsidDel="00000000" w:rsidR="00000000" w:rsidRPr="00000000">
          <w:rPr>
            <w:rFonts w:ascii="Calibri" w:cs="Calibri" w:eastAsia="Calibri" w:hAnsi="Calibri"/>
            <w:b w:val="0"/>
            <w:color w:val="000000"/>
            <w:sz w:val="22"/>
            <w:szCs w:val="22"/>
            <w:rtl w:val="0"/>
          </w:rPr>
          <w:t xml:space="preserve">1.</w:t>
          <w:tab/>
          <w:t xml:space="preserve">Introduction</w:t>
          <w:tab/>
        </w:r>
      </w:hyperlink>
      <w:hyperlink w:anchor="_Toc469422466">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0j0zll">
        <w:r w:rsidDel="00000000" w:rsidR="00000000" w:rsidRPr="00000000">
          <w:rPr>
            <w:rFonts w:ascii="Calibri" w:cs="Calibri" w:eastAsia="Calibri" w:hAnsi="Calibri"/>
            <w:b w:val="0"/>
            <w:color w:val="000000"/>
            <w:sz w:val="22"/>
            <w:szCs w:val="22"/>
            <w:rtl w:val="0"/>
          </w:rPr>
          <w:t xml:space="preserve">2.</w:t>
          <w:tab/>
          <w:t xml:space="preserve">Details on GDPR &amp; DCR</w:t>
          <w:tab/>
        </w:r>
      </w:hyperlink>
      <w:hyperlink w:anchor="_Toc469422467">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17dp8vu">
        <w:r w:rsidDel="00000000" w:rsidR="00000000" w:rsidRPr="00000000">
          <w:rPr>
            <w:rFonts w:ascii="Calibri" w:cs="Calibri" w:eastAsia="Calibri" w:hAnsi="Calibri"/>
            <w:b w:val="0"/>
            <w:color w:val="000000"/>
            <w:sz w:val="22"/>
            <w:szCs w:val="22"/>
            <w:rtl w:val="0"/>
          </w:rPr>
          <w:t xml:space="preserve">3.</w:t>
          <w:tab/>
          <w:t xml:space="preserve">Description of the case process</w:t>
          <w:tab/>
        </w:r>
      </w:hyperlink>
      <w:hyperlink w:anchor="_Toc469422468">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vx1227">
        <w:r w:rsidDel="00000000" w:rsidR="00000000" w:rsidRPr="00000000">
          <w:rPr>
            <w:rFonts w:ascii="Calibri" w:cs="Calibri" w:eastAsia="Calibri" w:hAnsi="Calibri"/>
            <w:b w:val="0"/>
            <w:color w:val="000000"/>
            <w:sz w:val="22"/>
            <w:szCs w:val="22"/>
            <w:rtl w:val="0"/>
          </w:rPr>
          <w:t xml:space="preserve">4.</w:t>
          <w:tab/>
          <w:t xml:space="preserve">Reflection</w:t>
          <w:tab/>
        </w:r>
      </w:hyperlink>
      <w:hyperlink w:anchor="_Toc469422469">
        <w:r w:rsidDel="00000000" w:rsidR="00000000" w:rsidRPr="00000000">
          <w:rPr>
            <w:rtl w:val="0"/>
          </w:rPr>
        </w:r>
      </w:hyperlink>
    </w:p>
    <w:p w:rsidR="00000000" w:rsidDel="00000000" w:rsidP="00000000" w:rsidRDefault="00000000" w:rsidRPr="00000000">
      <w:pPr>
        <w:tabs>
          <w:tab w:val="left" w:pos="440"/>
          <w:tab w:val="right" w:pos="9062"/>
        </w:tabs>
        <w:spacing w:after="100" w:before="0" w:line="259" w:lineRule="auto"/>
        <w:contextualSpacing w:val="0"/>
      </w:pPr>
      <w:hyperlink w:anchor="_3l18frh">
        <w:r w:rsidDel="00000000" w:rsidR="00000000" w:rsidRPr="00000000">
          <w:rPr>
            <w:rFonts w:ascii="Calibri" w:cs="Calibri" w:eastAsia="Calibri" w:hAnsi="Calibri"/>
            <w:b w:val="0"/>
            <w:color w:val="000000"/>
            <w:sz w:val="22"/>
            <w:szCs w:val="22"/>
            <w:rtl w:val="0"/>
          </w:rPr>
          <w:t xml:space="preserve">5.</w:t>
          <w:tab/>
          <w:t xml:space="preserve">Conclusion</w:t>
          <w:tab/>
        </w:r>
      </w:hyperlink>
      <w:hyperlink w:anchor="_Toc469422470">
        <w:r w:rsidDel="00000000" w:rsidR="00000000" w:rsidRPr="00000000">
          <w:rPr>
            <w:rtl w:val="0"/>
          </w:rPr>
        </w:r>
      </w:hyperlink>
    </w:p>
    <w:p w:rsidR="00000000" w:rsidDel="00000000" w:rsidP="00000000" w:rsidRDefault="00000000" w:rsidRPr="00000000">
      <w:pPr>
        <w:contextualSpacing w:val="0"/>
      </w:pPr>
      <w:hyperlink w:anchor="_Toc46942247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tyjcwt">
        <w:r w:rsidDel="00000000" w:rsidR="00000000" w:rsidRPr="00000000">
          <w:rPr>
            <w:rFonts w:ascii="Calibri" w:cs="Calibri" w:eastAsia="Calibri" w:hAnsi="Calibri"/>
            <w:b w:val="0"/>
            <w:color w:val="000000"/>
            <w:sz w:val="22"/>
            <w:szCs w:val="22"/>
            <w:rtl w:val="0"/>
          </w:rPr>
          <w:t xml:space="preserve">Table 1 Graphical representation of activities</w:t>
          <w:tab/>
        </w:r>
      </w:hyperlink>
      <w:hyperlink w:anchor="_Toc46942250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s8eyo1">
        <w:r w:rsidDel="00000000" w:rsidR="00000000" w:rsidRPr="00000000">
          <w:rPr>
            <w:rFonts w:ascii="Calibri" w:cs="Calibri" w:eastAsia="Calibri" w:hAnsi="Calibri"/>
            <w:b w:val="0"/>
            <w:color w:val="000000"/>
            <w:sz w:val="22"/>
            <w:szCs w:val="22"/>
            <w:rtl w:val="0"/>
          </w:rPr>
          <w:t xml:space="preserve">Table 2 Graphical representation of relations</w:t>
          <w:tab/>
        </w:r>
      </w:hyperlink>
      <w:hyperlink w:anchor="_Toc469422503">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before="0" w:line="259" w:lineRule="auto"/>
        <w:contextualSpacing w:val="0"/>
      </w:pPr>
      <w:hyperlink w:anchor="_26in1rg">
        <w:r w:rsidDel="00000000" w:rsidR="00000000" w:rsidRPr="00000000">
          <w:rPr>
            <w:rFonts w:ascii="Calibri" w:cs="Calibri" w:eastAsia="Calibri" w:hAnsi="Calibri"/>
            <w:b w:val="0"/>
            <w:color w:val="000000"/>
            <w:sz w:val="22"/>
            <w:szCs w:val="22"/>
            <w:rtl w:val="0"/>
          </w:rPr>
          <w:t xml:space="preserve">Figure 1 DCR of the process</w:t>
          <w:tab/>
        </w:r>
      </w:hyperlink>
      <w:hyperlink w:anchor="_Toc46942248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5nkun2">
        <w:r w:rsidDel="00000000" w:rsidR="00000000" w:rsidRPr="00000000">
          <w:rPr>
            <w:rFonts w:ascii="Calibri" w:cs="Calibri" w:eastAsia="Calibri" w:hAnsi="Calibri"/>
            <w:b w:val="0"/>
            <w:color w:val="000000"/>
            <w:sz w:val="22"/>
            <w:szCs w:val="22"/>
            <w:rtl w:val="0"/>
          </w:rPr>
          <w:t xml:space="preserve">Figure 2 DCR model of giving the consent for main purposes</w:t>
          <w:tab/>
        </w:r>
      </w:hyperlink>
      <w:hyperlink w:anchor="_Toc46942249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j2qqm3">
        <w:r w:rsidDel="00000000" w:rsidR="00000000" w:rsidRPr="00000000">
          <w:rPr>
            <w:rFonts w:ascii="Calibri" w:cs="Calibri" w:eastAsia="Calibri" w:hAnsi="Calibri"/>
            <w:b w:val="0"/>
            <w:color w:val="000000"/>
            <w:sz w:val="22"/>
            <w:szCs w:val="22"/>
            <w:rtl w:val="0"/>
          </w:rPr>
          <w:t xml:space="preserve">Figure 3 DCR model of getting assistance from the controller</w:t>
          <w:tab/>
        </w:r>
      </w:hyperlink>
      <w:hyperlink w:anchor="_Toc469422491">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ci93xb">
        <w:r w:rsidDel="00000000" w:rsidR="00000000" w:rsidRPr="00000000">
          <w:rPr>
            <w:rFonts w:ascii="Calibri" w:cs="Calibri" w:eastAsia="Calibri" w:hAnsi="Calibri"/>
            <w:b w:val="0"/>
            <w:color w:val="000000"/>
            <w:sz w:val="22"/>
            <w:szCs w:val="22"/>
            <w:rtl w:val="0"/>
          </w:rPr>
          <w:t xml:space="preserve">Figure 4 DCR model of termination of relationship</w:t>
          <w:tab/>
        </w:r>
      </w:hyperlink>
      <w:hyperlink w:anchor="_Toc469422492">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9x2ik5">
        <w:r w:rsidDel="00000000" w:rsidR="00000000" w:rsidRPr="00000000">
          <w:rPr>
            <w:rFonts w:ascii="Calibri" w:cs="Calibri" w:eastAsia="Calibri" w:hAnsi="Calibri"/>
            <w:b w:val="0"/>
            <w:color w:val="000000"/>
            <w:sz w:val="22"/>
            <w:szCs w:val="22"/>
            <w:rtl w:val="0"/>
          </w:rPr>
          <w:t xml:space="preserve">Figure 5 DCR model of blocking request</w:t>
          <w:tab/>
        </w:r>
      </w:hyperlink>
      <w:hyperlink w:anchor="_Toc469422493">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o7alnk">
        <w:r w:rsidDel="00000000" w:rsidR="00000000" w:rsidRPr="00000000">
          <w:rPr>
            <w:rFonts w:ascii="Calibri" w:cs="Calibri" w:eastAsia="Calibri" w:hAnsi="Calibri"/>
            <w:b w:val="0"/>
            <w:color w:val="000000"/>
            <w:sz w:val="22"/>
            <w:szCs w:val="22"/>
            <w:rtl w:val="0"/>
          </w:rPr>
          <w:t xml:space="preserve">Figure 6 DCR model of data </w:t>
        </w:r>
      </w:hyperlink>
      <w:hyperlink w:anchor="_3o7alnk">
        <w:r w:rsidDel="00000000" w:rsidR="00000000" w:rsidRPr="00000000">
          <w:rPr>
            <w:rtl w:val="0"/>
          </w:rPr>
          <w:t xml:space="preserve">portability</w:t>
        </w:r>
      </w:hyperlink>
      <w:hyperlink w:anchor="_3o7alnk">
        <w:r w:rsidDel="00000000" w:rsidR="00000000" w:rsidRPr="00000000">
          <w:rPr>
            <w:rFonts w:ascii="Calibri" w:cs="Calibri" w:eastAsia="Calibri" w:hAnsi="Calibri"/>
            <w:b w:val="0"/>
            <w:color w:val="000000"/>
            <w:sz w:val="22"/>
            <w:szCs w:val="22"/>
            <w:rtl w:val="0"/>
          </w:rPr>
          <w:t xml:space="preserve">, information modification and the right to be forgotten</w:t>
          <w:tab/>
        </w:r>
      </w:hyperlink>
      <w:hyperlink w:anchor="_Toc469422494">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ihv636">
        <w:r w:rsidDel="00000000" w:rsidR="00000000" w:rsidRPr="00000000">
          <w:rPr>
            <w:rFonts w:ascii="Calibri" w:cs="Calibri" w:eastAsia="Calibri" w:hAnsi="Calibri"/>
            <w:b w:val="0"/>
            <w:color w:val="000000"/>
            <w:sz w:val="22"/>
            <w:szCs w:val="22"/>
            <w:rtl w:val="0"/>
          </w:rPr>
          <w:t xml:space="preserve">Figure 7 DCR model of giving and withdrawing consent for opinion-research </w:t>
        </w:r>
      </w:hyperlink>
      <w:hyperlink w:anchor="_ihv636">
        <w:r w:rsidDel="00000000" w:rsidR="00000000" w:rsidRPr="00000000">
          <w:rPr>
            <w:rtl w:val="0"/>
          </w:rPr>
          <w:t xml:space="preserve">institutes</w:t>
        </w:r>
      </w:hyperlink>
      <w:hyperlink w:anchor="_ihv636">
        <w:r w:rsidDel="00000000" w:rsidR="00000000" w:rsidRPr="00000000">
          <w:rPr>
            <w:rFonts w:ascii="Calibri" w:cs="Calibri" w:eastAsia="Calibri" w:hAnsi="Calibri"/>
            <w:b w:val="0"/>
            <w:color w:val="000000"/>
            <w:sz w:val="22"/>
            <w:szCs w:val="22"/>
            <w:rtl w:val="0"/>
          </w:rPr>
          <w:tab/>
        </w:r>
      </w:hyperlink>
      <w:hyperlink w:anchor="_Toc469422495">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hmsyys">
        <w:r w:rsidDel="00000000" w:rsidR="00000000" w:rsidRPr="00000000">
          <w:rPr>
            <w:rFonts w:ascii="Calibri" w:cs="Calibri" w:eastAsia="Calibri" w:hAnsi="Calibri"/>
            <w:b w:val="0"/>
            <w:color w:val="000000"/>
            <w:sz w:val="22"/>
            <w:szCs w:val="22"/>
            <w:rtl w:val="0"/>
          </w:rPr>
          <w:t xml:space="preserve">Figure 8 DCR model of data breach; no </w:t>
        </w:r>
      </w:hyperlink>
      <w:hyperlink w:anchor="_1hmsyys">
        <w:r w:rsidDel="00000000" w:rsidR="00000000" w:rsidRPr="00000000">
          <w:rPr>
            <w:rtl w:val="0"/>
          </w:rPr>
          <w:t xml:space="preserve">subprocess</w:t>
        </w:r>
      </w:hyperlink>
      <w:hyperlink w:anchor="_1hmsyys">
        <w:r w:rsidDel="00000000" w:rsidR="00000000" w:rsidRPr="00000000">
          <w:rPr>
            <w:rFonts w:ascii="Calibri" w:cs="Calibri" w:eastAsia="Calibri" w:hAnsi="Calibri"/>
            <w:b w:val="0"/>
            <w:color w:val="000000"/>
            <w:sz w:val="22"/>
            <w:szCs w:val="22"/>
            <w:rtl w:val="0"/>
          </w:rPr>
          <w:t xml:space="preserve"> spawned</w:t>
          <w:tab/>
        </w:r>
      </w:hyperlink>
      <w:hyperlink w:anchor="_Toc469422496">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2grqrue">
        <w:r w:rsidDel="00000000" w:rsidR="00000000" w:rsidRPr="00000000">
          <w:rPr>
            <w:rFonts w:ascii="Calibri" w:cs="Calibri" w:eastAsia="Calibri" w:hAnsi="Calibri"/>
            <w:b w:val="0"/>
            <w:color w:val="000000"/>
            <w:sz w:val="22"/>
            <w:szCs w:val="22"/>
            <w:rtl w:val="0"/>
          </w:rPr>
          <w:t xml:space="preserve">Figure 9 DCR model of data breach; One sub-process is spawned</w:t>
          <w:tab/>
        </w:r>
      </w:hyperlink>
      <w:hyperlink w:anchor="_Toc469422497">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v1yuxt">
        <w:r w:rsidDel="00000000" w:rsidR="00000000" w:rsidRPr="00000000">
          <w:rPr>
            <w:rFonts w:ascii="Calibri" w:cs="Calibri" w:eastAsia="Calibri" w:hAnsi="Calibri"/>
            <w:b w:val="0"/>
            <w:color w:val="000000"/>
            <w:sz w:val="22"/>
            <w:szCs w:val="22"/>
            <w:rtl w:val="0"/>
          </w:rPr>
          <w:t xml:space="preserve">Figure 10 DCR model of giving consent for main purposes. The activities in group Mandatory are available</w:t>
          <w:tab/>
        </w:r>
      </w:hyperlink>
      <w:hyperlink w:anchor="_Toc469422498">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3tbugp1">
        <w:r w:rsidDel="00000000" w:rsidR="00000000" w:rsidRPr="00000000">
          <w:rPr>
            <w:rFonts w:ascii="Calibri" w:cs="Calibri" w:eastAsia="Calibri" w:hAnsi="Calibri"/>
            <w:b w:val="0"/>
            <w:color w:val="000000"/>
            <w:sz w:val="22"/>
            <w:szCs w:val="22"/>
            <w:rtl w:val="0"/>
          </w:rPr>
          <w:t xml:space="preserve">Figure 11 DCR model of giving consent for main purposes. The activities in group Mandatory are blocked</w:t>
          <w:tab/>
        </w:r>
      </w:hyperlink>
      <w:hyperlink w:anchor="_Toc469422499">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46r0co2">
        <w:r w:rsidDel="00000000" w:rsidR="00000000" w:rsidRPr="00000000">
          <w:rPr>
            <w:rFonts w:ascii="Calibri" w:cs="Calibri" w:eastAsia="Calibri" w:hAnsi="Calibri"/>
            <w:b w:val="0"/>
            <w:color w:val="000000"/>
            <w:sz w:val="22"/>
            <w:szCs w:val="22"/>
            <w:rtl w:val="0"/>
          </w:rPr>
          <w:t xml:space="preserve">Figure 12 DCR model of Data breach. Two sub-process are spawned</w:t>
          <w:tab/>
        </w:r>
      </w:hyperlink>
      <w:hyperlink w:anchor="_Toc469422500">
        <w:r w:rsidDel="00000000" w:rsidR="00000000" w:rsidRPr="00000000">
          <w:rPr>
            <w:rtl w:val="0"/>
          </w:rPr>
        </w:r>
      </w:hyperlink>
    </w:p>
    <w:p w:rsidR="00000000" w:rsidDel="00000000" w:rsidP="00000000" w:rsidRDefault="00000000" w:rsidRPr="00000000">
      <w:pPr>
        <w:tabs>
          <w:tab w:val="right" w:pos="9062"/>
        </w:tabs>
        <w:spacing w:after="0" w:before="0" w:line="259" w:lineRule="auto"/>
        <w:contextualSpacing w:val="0"/>
      </w:pPr>
      <w:hyperlink w:anchor="_111kx3o">
        <w:r w:rsidDel="00000000" w:rsidR="00000000" w:rsidRPr="00000000">
          <w:rPr>
            <w:rFonts w:ascii="Calibri" w:cs="Calibri" w:eastAsia="Calibri" w:hAnsi="Calibri"/>
            <w:b w:val="0"/>
            <w:color w:val="000000"/>
            <w:sz w:val="22"/>
            <w:szCs w:val="22"/>
            <w:rtl w:val="0"/>
          </w:rPr>
          <w:t xml:space="preserve">Figure 13 DCR model of the entity Data breach. Two sub-processes are spawned with StartNotification added in the figure</w:t>
          <w:tab/>
        </w:r>
      </w:hyperlink>
      <w:hyperlink w:anchor="_Toc469422501">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Toc46942250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9422501">
        <w:r w:rsidDel="00000000" w:rsidR="00000000" w:rsidRPr="00000000">
          <w:rPr>
            <w:rtl w:val="0"/>
          </w:rPr>
        </w:r>
      </w:hyperlink>
    </w:p>
    <w:p w:rsidR="00000000" w:rsidDel="00000000" w:rsidP="00000000" w:rsidRDefault="00000000" w:rsidRPr="00000000">
      <w:pPr>
        <w:pStyle w:val="Heading1"/>
        <w:numPr>
          <w:ilvl w:val="0"/>
          <w:numId w:val="4"/>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w:t>
      </w:r>
      <w:r w:rsidDel="00000000" w:rsidR="00000000" w:rsidRPr="00000000">
        <w:rPr>
          <w:rFonts w:ascii="Times New Roman" w:cs="Times New Roman" w:eastAsia="Times New Roman" w:hAnsi="Times New Roman"/>
          <w:sz w:val="24"/>
          <w:szCs w:val="24"/>
          <w:rtl w:val="0"/>
        </w:rPr>
        <w:t xml:space="preserve">raise</w:t>
      </w:r>
      <w:r w:rsidDel="00000000" w:rsidR="00000000" w:rsidRPr="00000000">
        <w:rPr>
          <w:rFonts w:ascii="Times New Roman" w:cs="Times New Roman" w:eastAsia="Times New Roman" w:hAnsi="Times New Roman"/>
          <w:sz w:val="24"/>
          <w:szCs w:val="24"/>
          <w:rtl w:val="0"/>
        </w:rPr>
        <w:t xml:space="preserv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t>
      </w:r>
      <w:r w:rsidDel="00000000" w:rsidR="00000000" w:rsidRPr="00000000">
        <w:rPr>
          <w:rFonts w:ascii="Times New Roman" w:cs="Times New Roman" w:eastAsia="Times New Roman" w:hAnsi="Times New Roman"/>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Fonts w:ascii="Times New Roman" w:cs="Times New Roman" w:eastAsia="Times New Roman" w:hAnsi="Times New Roman"/>
          <w:sz w:val="24"/>
          <w:szCs w:val="24"/>
          <w:highlight w:val="yellow"/>
          <w:rtl w:val="0"/>
        </w:rPr>
        <w:t xml:space="preserve">[reference]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General Data Protection Regulation (GDPR), which was adopted on the 27th of April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w:t>
      </w:r>
      <w:r w:rsidDel="00000000" w:rsidR="00000000" w:rsidRPr="00000000">
        <w:rPr>
          <w:rFonts w:ascii="Times New Roman" w:cs="Times New Roman" w:eastAsia="Times New Roman" w:hAnsi="Times New Roman"/>
          <w:sz w:val="24"/>
          <w:szCs w:val="24"/>
          <w:rtl w:val="0"/>
        </w:rPr>
        <w:t xml:space="preserve">The GDPR</w:t>
      </w:r>
      <w:r w:rsidDel="00000000" w:rsidR="00000000" w:rsidRPr="00000000">
        <w:rPr>
          <w:rFonts w:ascii="Times New Roman" w:cs="Times New Roman" w:eastAsia="Times New Roman" w:hAnsi="Times New Roman"/>
          <w:sz w:val="24"/>
          <w:szCs w:val="24"/>
          <w:rtl w:val="0"/>
        </w:rPr>
        <w:t xml:space="preserve"> is a modernization and a harmonization of the actual data protection laws. It will take effect on the 28th of May 2018 and will replace the data protection directive (officially Directive 95/46/EC) from 1995.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4"/>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provided by the controller. An example of this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the GDPR is that the collected data should be used only for the purposes for which they are collected.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processing of data for other purposes is possible only if they are compatible, which would require further analysis. Using data for any other non-specified and non-compatible purposes would mean violation of the regulation law. [7, page 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minimum set of personal data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as long as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Before processing all the personal information should be accurate and up-to-date. [7]</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b w:val="1"/>
          <w:sz w:val="24"/>
          <w:szCs w:val="24"/>
          <w:rtl w:val="0"/>
        </w:rPr>
        <w:t xml:space="preserve">The data subject has the right not to be profiled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used for price discrimination, targeted servicing or credit rating. the GDPR has the same requirements about profiling as Directive 94/46/EC with some minor amendment and the addition that profiling is possible if the consent is given.</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w:t>
      </w:r>
      <w:r w:rsidDel="00000000" w:rsidR="00000000" w:rsidRPr="00000000">
        <w:rPr>
          <w:rFonts w:ascii="Times New Roman" w:cs="Times New Roman" w:eastAsia="Times New Roman" w:hAnsi="Times New Roman"/>
          <w:sz w:val="24"/>
          <w:szCs w:val="24"/>
          <w:highlight w:val="yellow"/>
          <w:rtl w:val="0"/>
        </w:rPr>
        <w:t xml:space="preserve">represents</w:t>
      </w:r>
      <w:r w:rsidDel="00000000" w:rsidR="00000000" w:rsidRPr="00000000">
        <w:rPr>
          <w:rFonts w:ascii="Times New Roman" w:cs="Times New Roman" w:eastAsia="Times New Roman" w:hAnsi="Times New Roman"/>
          <w:sz w:val="24"/>
          <w:szCs w:val="24"/>
          <w:rtl w:val="0"/>
        </w:rPr>
        <w:t xml:space="preserve">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w:t>
      </w:r>
      <w:r w:rsidDel="00000000" w:rsidR="00000000" w:rsidRPr="00000000">
        <w:rPr>
          <w:rFonts w:ascii="Times New Roman" w:cs="Times New Roman" w:eastAsia="Times New Roman" w:hAnsi="Times New Roman"/>
          <w:sz w:val="24"/>
          <w:szCs w:val="24"/>
          <w:rtl w:val="0"/>
        </w:rPr>
        <w:t xml:space="preserve">in the activity itself</w:t>
      </w:r>
      <w:r w:rsidDel="00000000" w:rsidR="00000000" w:rsidRPr="00000000">
        <w:rPr>
          <w:rFonts w:ascii="Times New Roman" w:cs="Times New Roman" w:eastAsia="Times New Roman" w:hAnsi="Times New Roman"/>
          <w:sz w:val="24"/>
          <w:szCs w:val="24"/>
          <w:rtl w:val="0"/>
        </w:rPr>
        <w:t xml:space="preserve">. Later the graph is extended with the notion of milestone. To explain the meaning of the relations we will use the </w:t>
      </w:r>
      <w:r w:rsidDel="00000000" w:rsidR="00000000" w:rsidRPr="00000000">
        <w:rPr>
          <w:rFonts w:ascii="Times New Roman" w:cs="Times New Roman" w:eastAsia="Times New Roman" w:hAnsi="Times New Roman"/>
          <w:sz w:val="24"/>
          <w:szCs w:val="24"/>
          <w:rtl w:val="0"/>
        </w:rPr>
        <w:t xml:space="preserve">notation</w:t>
      </w:r>
      <w:r w:rsidDel="00000000" w:rsidR="00000000" w:rsidRPr="00000000">
        <w:rPr>
          <w:rFonts w:ascii="Times New Roman" w:cs="Times New Roman" w:eastAsia="Times New Roman" w:hAnsi="Times New Roman"/>
          <w:sz w:val="24"/>
          <w:szCs w:val="24"/>
          <w:rtl w:val="0"/>
        </w:rPr>
        <w:t xml:space="preserve"> of DCR Workbench for simplicity. We also used the visual tool from DCRgraph.net, the model can be found in the Appendix.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graphical representation of the relations can be seen in table 1: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w:t>
      </w:r>
      <w:r w:rsidDel="00000000" w:rsidR="00000000" w:rsidRPr="00000000">
        <w:rPr>
          <w:rFonts w:ascii="Times New Roman" w:cs="Times New Roman" w:eastAsia="Times New Roman" w:hAnsi="Times New Roman"/>
          <w:sz w:val="24"/>
          <w:szCs w:val="24"/>
          <w:rtl w:val="0"/>
        </w:rPr>
        <w:t xml:space="preserve">happen</w:t>
      </w:r>
      <w:r w:rsidDel="00000000" w:rsidR="00000000" w:rsidRPr="00000000">
        <w:rPr>
          <w:rFonts w:ascii="Times New Roman" w:cs="Times New Roman" w:eastAsia="Times New Roman" w:hAnsi="Times New Roman"/>
          <w:sz w:val="24"/>
          <w:szCs w:val="24"/>
          <w:rtl w:val="0"/>
        </w:rPr>
        <w:t xml:space="preserve"> eventually, without any concrete deadline. It the case of the latter the relation could </w:t>
      </w:r>
      <w:r w:rsidDel="00000000" w:rsidR="00000000" w:rsidRPr="00000000">
        <w:rPr>
          <w:rFonts w:ascii="Times New Roman" w:cs="Times New Roman" w:eastAsia="Times New Roman" w:hAnsi="Times New Roman"/>
          <w:sz w:val="24"/>
          <w:szCs w:val="24"/>
          <w:rtl w:val="0"/>
        </w:rPr>
        <w:t xml:space="preserve">be represented</w:t>
      </w:r>
      <w:r w:rsidDel="00000000" w:rsidR="00000000" w:rsidRPr="00000000">
        <w:rPr>
          <w:rFonts w:ascii="Times New Roman" w:cs="Times New Roman" w:eastAsia="Times New Roman" w:hAnsi="Times New Roman"/>
          <w:sz w:val="24"/>
          <w:szCs w:val="24"/>
          <w:rtl w:val="0"/>
        </w:rPr>
        <w:t xml:space="preserve"> as follow: A *--&gt; B. The deadline can’t be zero i.e. can’t happen immediately.</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re-included.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tyjcwt" w:id="5"/>
      <w:bookmarkEnd w:id="5"/>
      <w:bookmarkStart w:colFirst="0" w:colLast="0" w:name="2et92p0" w:id="4"/>
      <w:bookmarkEnd w:id="4"/>
      <w:r w:rsidDel="00000000" w:rsidR="00000000" w:rsidRPr="00000000">
        <w:rPr>
          <w:rFonts w:ascii="Calibri" w:cs="Calibri" w:eastAsia="Calibri" w:hAnsi="Calibri"/>
          <w:b w:val="0"/>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20" name="image39.png"/>
                  <a:graphic>
                    <a:graphicData uri="http://schemas.openxmlformats.org/drawingml/2006/picture">
                      <pic:pic>
                        <pic:nvPicPr>
                          <pic:cNvPr descr="D:\ITU_edu\2sem\Critical Systems Project\DCR\pictures\Activity_itu.PNG" id="0" name="image39.png"/>
                          <pic:cNvPicPr preferRelativeResize="0"/>
                        </pic:nvPicPr>
                        <pic:blipFill>
                          <a:blip r:embed="rId5"/>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2" name="image46.png"/>
                  <a:graphic>
                    <a:graphicData uri="http://schemas.openxmlformats.org/drawingml/2006/picture">
                      <pic:pic>
                        <pic:nvPicPr>
                          <pic:cNvPr descr="D:\ITU_edu\2sem\Critical Systems Project\DCR\pictures\Activity.PNG" id="0" name="image46.png"/>
                          <pic:cNvPicPr preferRelativeResize="0"/>
                        </pic:nvPicPr>
                        <pic:blipFill>
                          <a:blip r:embed="rId6"/>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21" name="image42.png"/>
                  <a:graphic>
                    <a:graphicData uri="http://schemas.openxmlformats.org/drawingml/2006/picture">
                      <pic:pic>
                        <pic:nvPicPr>
                          <pic:cNvPr descr="D:\ITU_edu\2sem\Critical Systems Project\DCR\pictures\Activity_excl_itu.PNG" id="0" name="image42.png"/>
                          <pic:cNvPicPr preferRelativeResize="0"/>
                        </pic:nvPicPr>
                        <pic:blipFill>
                          <a:blip r:embed="rId7"/>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4" name="image50.png"/>
                  <a:graphic>
                    <a:graphicData uri="http://schemas.openxmlformats.org/drawingml/2006/picture">
                      <pic:pic>
                        <pic:nvPicPr>
                          <pic:cNvPr descr="D:\ITU_edu\2sem\Critical Systems Project\DCR\pictures\Activity_excluded.PNG" id="0" name="image50.png"/>
                          <pic:cNvPicPr preferRelativeResize="0"/>
                        </pic:nvPicPr>
                        <pic:blipFill>
                          <a:blip r:embed="rId8"/>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3" name="image48.png"/>
                  <a:graphic>
                    <a:graphicData uri="http://schemas.openxmlformats.org/drawingml/2006/picture">
                      <pic:pic>
                        <pic:nvPicPr>
                          <pic:cNvPr descr="D:\ITU_edu\2sem\Critical Systems Project\DCR\pictures\Activity_pending_itu.PNG" id="0" name="image48.png"/>
                          <pic:cNvPicPr preferRelativeResize="0"/>
                        </pic:nvPicPr>
                        <pic:blipFill>
                          <a:blip r:embed="rId9"/>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6" name="image52.png"/>
                  <a:graphic>
                    <a:graphicData uri="http://schemas.openxmlformats.org/drawingml/2006/picture">
                      <pic:pic>
                        <pic:nvPicPr>
                          <pic:cNvPr descr="D:\ITU_edu\2sem\Critical Systems Project\DCR\pictures\Activity_pend.png" id="0" name="image52.png"/>
                          <pic:cNvPicPr preferRelativeResize="0"/>
                        </pic:nvPicPr>
                        <pic:blipFill>
                          <a:blip r:embed="rId10"/>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5" name="image51.png"/>
                  <a:graphic>
                    <a:graphicData uri="http://schemas.openxmlformats.org/drawingml/2006/picture">
                      <pic:pic>
                        <pic:nvPicPr>
                          <pic:cNvPr descr="D:\ITU_edu\2sem\Critical Systems Project\DCR\pictures\Activity_executed_itu.png" id="0" name="image51.png"/>
                          <pic:cNvPicPr preferRelativeResize="0"/>
                        </pic:nvPicPr>
                        <pic:blipFill>
                          <a:blip r:embed="rId11"/>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8" name="image55.png"/>
                  <a:graphic>
                    <a:graphicData uri="http://schemas.openxmlformats.org/drawingml/2006/picture">
                      <pic:pic>
                        <pic:nvPicPr>
                          <pic:cNvPr descr="D:\ITU_edu\2sem\Critical Systems Project\DCR\pictures\Activity_executed.png" id="0" name="image55.png"/>
                          <pic:cNvPicPr preferRelativeResize="0"/>
                        </pic:nvPicPr>
                        <pic:blipFill>
                          <a:blip r:embed="rId12"/>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7" name="image54.png"/>
                  <a:graphic>
                    <a:graphicData uri="http://schemas.openxmlformats.org/drawingml/2006/picture">
                      <pic:pic>
                        <pic:nvPicPr>
                          <pic:cNvPr descr="D:\ITU_edu\2sem\Critical Systems Project\DCR\pictures\Group_itu.PNG" id="0" name="image54.png"/>
                          <pic:cNvPicPr preferRelativeResize="0"/>
                        </pic:nvPicPr>
                        <pic:blipFill>
                          <a:blip r:embed="rId13"/>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31" name="image63.png"/>
                  <a:graphic>
                    <a:graphicData uri="http://schemas.openxmlformats.org/drawingml/2006/picture">
                      <pic:pic>
                        <pic:nvPicPr>
                          <pic:cNvPr descr="D:\ITU_edu\2sem\Critical Systems Project\DCR\pictures\Nesting.PNG" id="0" name="image63.png"/>
                          <pic:cNvPicPr preferRelativeResize="0"/>
                        </pic:nvPicPr>
                        <pic:blipFill>
                          <a:blip r:embed="rId14"/>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2s8eyo1" w:id="9"/>
      <w:bookmarkEnd w:id="9"/>
      <w:bookmarkStart w:colFirst="0" w:colLast="0" w:name="4d34og8" w:id="8"/>
      <w:bookmarkEnd w:id="8"/>
      <w:r w:rsidDel="00000000" w:rsidR="00000000" w:rsidRPr="00000000">
        <w:rPr>
          <w:rFonts w:ascii="Calibri" w:cs="Calibri" w:eastAsia="Calibri" w:hAnsi="Calibri"/>
          <w:b w:val="0"/>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29" name="image57.png"/>
                  <a:graphic>
                    <a:graphicData uri="http://schemas.openxmlformats.org/drawingml/2006/picture">
                      <pic:pic>
                        <pic:nvPicPr>
                          <pic:cNvPr descr="D:\ITU_edu\2sem\Critical Systems Project\DCR\pictures\Condition.PNG" id="0" name="image57.png"/>
                          <pic:cNvPicPr preferRelativeResize="0"/>
                        </pic:nvPicPr>
                        <pic:blipFill>
                          <a:blip r:embed="rId15"/>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30" name="image59.png"/>
                  <a:graphic>
                    <a:graphicData uri="http://schemas.openxmlformats.org/drawingml/2006/picture">
                      <pic:pic>
                        <pic:nvPicPr>
                          <pic:cNvPr id="0" name="image59.png"/>
                          <pic:cNvPicPr preferRelativeResize="0"/>
                        </pic:nvPicPr>
                        <pic:blipFill>
                          <a:blip r:embed="rId16"/>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2" name="image65.png"/>
                  <a:graphic>
                    <a:graphicData uri="http://schemas.openxmlformats.org/drawingml/2006/picture">
                      <pic:pic>
                        <pic:nvPicPr>
                          <pic:cNvPr id="0" name="image65.png"/>
                          <pic:cNvPicPr preferRelativeResize="0"/>
                        </pic:nvPicPr>
                        <pic:blipFill>
                          <a:blip r:embed="rId17"/>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3" name="image67.png"/>
                  <a:graphic>
                    <a:graphicData uri="http://schemas.openxmlformats.org/drawingml/2006/picture">
                      <pic:pic>
                        <pic:nvPicPr>
                          <pic:cNvPr id="0" name="image67.png"/>
                          <pic:cNvPicPr preferRelativeResize="0"/>
                        </pic:nvPicPr>
                        <pic:blipFill>
                          <a:blip r:embed="rId18"/>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4" name="image69.png"/>
                  <a:graphic>
                    <a:graphicData uri="http://schemas.openxmlformats.org/drawingml/2006/picture">
                      <pic:pic>
                        <pic:nvPicPr>
                          <pic:cNvPr descr="D:\ITU_edu\2sem\Critical Systems Project\DCR\pictures\Response.PNG" id="0" name="image69.png"/>
                          <pic:cNvPicPr preferRelativeResize="0"/>
                        </pic:nvPicPr>
                        <pic:blipFill>
                          <a:blip r:embed="rId19"/>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5" name="image71.png"/>
                  <a:graphic>
                    <a:graphicData uri="http://schemas.openxmlformats.org/drawingml/2006/picture">
                      <pic:pic>
                        <pic:nvPicPr>
                          <pic:cNvPr id="0" name="image71.png"/>
                          <pic:cNvPicPr preferRelativeResize="0"/>
                        </pic:nvPicPr>
                        <pic:blipFill>
                          <a:blip r:embed="rId20"/>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6" name="image72.png"/>
                  <a:graphic>
                    <a:graphicData uri="http://schemas.openxmlformats.org/drawingml/2006/picture">
                      <pic:pic>
                        <pic:nvPicPr>
                          <pic:cNvPr id="0" name="image72.png"/>
                          <pic:cNvPicPr preferRelativeResize="0"/>
                        </pic:nvPicPr>
                        <pic:blipFill>
                          <a:blip r:embed="rId21"/>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7" name="image73.png"/>
                  <a:graphic>
                    <a:graphicData uri="http://schemas.openxmlformats.org/drawingml/2006/picture">
                      <pic:pic>
                        <pic:nvPicPr>
                          <pic:cNvPr id="0" name="image73.png"/>
                          <pic:cNvPicPr preferRelativeResize="0"/>
                        </pic:nvPicPr>
                        <pic:blipFill>
                          <a:blip r:embed="rId22"/>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38" name="image75.png"/>
                  <a:graphic>
                    <a:graphicData uri="http://schemas.openxmlformats.org/drawingml/2006/picture">
                      <pic:pic>
                        <pic:nvPicPr>
                          <pic:cNvPr descr="D:\ITU_edu\2sem\Critical Systems Project\DCR\pictures\Includes.PNG" id="0" name="image75.png"/>
                          <pic:cNvPicPr preferRelativeResize="0"/>
                        </pic:nvPicPr>
                        <pic:blipFill>
                          <a:blip r:embed="rId23"/>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39" name="image77.png"/>
                  <a:graphic>
                    <a:graphicData uri="http://schemas.openxmlformats.org/drawingml/2006/picture">
                      <pic:pic>
                        <pic:nvPicPr>
                          <pic:cNvPr descr="D:\ITU_edu\2sem\Critical Systems Project\DCR\pictures\Include_itu.PNG" id="0" name="image77.png"/>
                          <pic:cNvPicPr preferRelativeResize="0"/>
                        </pic:nvPicPr>
                        <pic:blipFill>
                          <a:blip r:embed="rId24"/>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10" name="image19.png"/>
                  <a:graphic>
                    <a:graphicData uri="http://schemas.openxmlformats.org/drawingml/2006/picture">
                      <pic:pic>
                        <pic:nvPicPr>
                          <pic:cNvPr descr="D:\ITU_edu\2sem\Critical Systems Project\DCR\pictures\Exclude.PNG" id="0" name="image19.png"/>
                          <pic:cNvPicPr preferRelativeResize="0"/>
                        </pic:nvPicPr>
                        <pic:blipFill>
                          <a:blip r:embed="rId25"/>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11" name="image24.png"/>
                  <a:graphic>
                    <a:graphicData uri="http://schemas.openxmlformats.org/drawingml/2006/picture">
                      <pic:pic>
                        <pic:nvPicPr>
                          <pic:cNvPr descr="D:\ITU_edu\2sem\Critical Systems Project\DCR\pictures\Exclude_itu.PNG" id="0" name="image24.png"/>
                          <pic:cNvPicPr preferRelativeResize="0"/>
                        </pic:nvPicPr>
                        <pic:blipFill>
                          <a:blip r:embed="rId26"/>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2" name="image25.png"/>
                  <a:graphic>
                    <a:graphicData uri="http://schemas.openxmlformats.org/drawingml/2006/picture">
                      <pic:pic>
                        <pic:nvPicPr>
                          <pic:cNvPr descr="D:\ITU_edu\2sem\Critical Systems Project\DCR\pictures\Milestone.PNG" id="0" name="image25.png"/>
                          <pic:cNvPicPr preferRelativeResize="0"/>
                        </pic:nvPicPr>
                        <pic:blipFill>
                          <a:blip r:embed="rId27"/>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3" name="image26.png"/>
                  <a:graphic>
                    <a:graphicData uri="http://schemas.openxmlformats.org/drawingml/2006/picture">
                      <pic:pic>
                        <pic:nvPicPr>
                          <pic:cNvPr descr="D:\ITU_edu\2sem\Critical Systems Project\DCR\pictures\Milestone_itu.PNG" id="0" name="image26.png"/>
                          <pic:cNvPicPr preferRelativeResize="0"/>
                        </pic:nvPicPr>
                        <pic:blipFill>
                          <a:blip r:embed="rId28"/>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4" name="image27.png"/>
                  <a:graphic>
                    <a:graphicData uri="http://schemas.openxmlformats.org/drawingml/2006/picture">
                      <pic:pic>
                        <pic:nvPicPr>
                          <pic:cNvPr descr="D:\ITU_edu\2sem\Critical Systems Project\DCR\pictures\Spawn.PNG" id="0" name="image27.png"/>
                          <pic:cNvPicPr preferRelativeResize="0"/>
                        </pic:nvPicPr>
                        <pic:blipFill>
                          <a:blip r:embed="rId29"/>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5" name="image29.png"/>
                  <a:graphic>
                    <a:graphicData uri="http://schemas.openxmlformats.org/drawingml/2006/picture">
                      <pic:pic>
                        <pic:nvPicPr>
                          <pic:cNvPr descr="D:\ITU_edu\2sem\Critical Systems Project\DCR\pictures\Spawn_itu.PNG" id="0" name="image29.png"/>
                          <pic:cNvPicPr preferRelativeResize="0"/>
                        </pic:nvPicPr>
                        <pic:blipFill>
                          <a:blip r:embed="rId30"/>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both"/>
      </w:pPr>
      <w:r w:rsidDel="00000000" w:rsidR="00000000" w:rsidRPr="00000000">
        <w:drawing>
          <wp:inline distB="0" distT="0" distL="0" distR="0">
            <wp:extent cx="7570730" cy="5624674"/>
            <wp:effectExtent b="973028" l="-973028" r="-973028" t="973028"/>
            <wp:docPr id="16"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rot="5400000">
                      <a:off x="0" y="0"/>
                      <a:ext cx="7570730" cy="562467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6in1rg" w:id="12"/>
      <w:bookmarkEnd w:id="12"/>
      <w:bookmarkStart w:colFirst="0" w:colLast="0" w:name="3rdcrjn" w:id="11"/>
      <w:bookmarkEnd w:id="11"/>
      <w:r w:rsidDel="00000000" w:rsidR="00000000" w:rsidRPr="00000000">
        <w:rPr>
          <w:rFonts w:ascii="Calibri" w:cs="Calibri" w:eastAsia="Calibri" w:hAnsi="Calibri"/>
          <w:b w:val="0"/>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0" w:firstLine="360"/>
        <w:contextualSpacing w:val="0"/>
        <w:jc w:val="both"/>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w:t>
      </w:r>
      <w:r w:rsidDel="00000000" w:rsidR="00000000" w:rsidRPr="00000000">
        <w:rPr>
          <w:rFonts w:ascii="Times New Roman" w:cs="Times New Roman" w:eastAsia="Times New Roman" w:hAnsi="Times New Roman"/>
          <w:b w:val="0"/>
          <w:sz w:val="24"/>
          <w:szCs w:val="24"/>
          <w:rtl w:val="0"/>
        </w:rPr>
        <w:t xml:space="preserve">"Processor means a natural or legal person, public authority, agency or any other body which processes personal data on behalf of the controller.</w:t>
      </w:r>
      <w:r w:rsidDel="00000000" w:rsidR="00000000" w:rsidRPr="00000000">
        <w:rPr>
          <w:rFonts w:ascii="Times New Roman" w:cs="Times New Roman" w:eastAsia="Times New Roman" w:hAnsi="Times New Roman"/>
          <w:b w:val="0"/>
          <w:sz w:val="24"/>
          <w:szCs w:val="24"/>
          <w:rtl w:val="0"/>
        </w:rPr>
        <w:t xml:space="preserve">” [7] </w:t>
      </w:r>
    </w:p>
    <w:p w:rsidR="00000000" w:rsidDel="00000000" w:rsidP="00000000" w:rsidRDefault="00000000" w:rsidRPr="00000000">
      <w:pPr>
        <w:spacing w:after="160" w:before="0" w:line="259" w:lineRule="auto"/>
        <w:ind w:left="0" w:firstLine="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our case the controller is Rejsekort A/S</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b w:val="0"/>
          <w:color w:val="000000"/>
          <w:sz w:val="24"/>
          <w:szCs w:val="24"/>
          <w:rtl w:val="0"/>
        </w:rPr>
        <w:t xml:space="preserve">is also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processor. A careful look in the documentation [6] shows that there are other companies included in the data processing. One of them is Nets A/S, in which system the customer payments are executed.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Nets A/S which receives the data from Rejsekort A/S to finish </w:t>
      </w:r>
      <w:r w:rsidDel="00000000" w:rsidR="00000000" w:rsidRPr="00000000">
        <w:rPr>
          <w:rFonts w:ascii="Times New Roman" w:cs="Times New Roman" w:eastAsia="Times New Roman" w:hAnsi="Times New Roman"/>
          <w:sz w:val="24"/>
          <w:szCs w:val="24"/>
          <w:rtl w:val="0"/>
        </w:rPr>
        <w:t xml:space="preserve">the payment operation</w:t>
      </w:r>
      <w:r w:rsidDel="00000000" w:rsidR="00000000" w:rsidRPr="00000000">
        <w:rPr>
          <w:rFonts w:ascii="Times New Roman" w:cs="Times New Roman" w:eastAsia="Times New Roman" w:hAnsi="Times New Roman"/>
          <w:sz w:val="24"/>
          <w:szCs w:val="24"/>
          <w:rtl w:val="0"/>
        </w:rPr>
        <w:t xml:space="preserve">.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508760"/>
            <wp:effectExtent b="0" l="0" r="0" t="0"/>
            <wp:docPr id="17"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5nkun2" w:id="14"/>
      <w:bookmarkEnd w:id="14"/>
      <w:bookmarkStart w:colFirst="0" w:colLast="0" w:name="lnxbz9" w:id="13"/>
      <w:bookmarkEnd w:id="13"/>
      <w:r w:rsidDel="00000000" w:rsidR="00000000" w:rsidRPr="00000000">
        <w:rPr>
          <w:rFonts w:ascii="Calibri" w:cs="Calibri" w:eastAsia="Calibri" w:hAnsi="Calibri"/>
          <w:b w:val="0"/>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w:t>
      </w:r>
      <w:r w:rsidDel="00000000" w:rsidR="00000000" w:rsidRPr="00000000">
        <w:rPr>
          <w:rFonts w:ascii="Times New Roman" w:cs="Times New Roman" w:eastAsia="Times New Roman" w:hAnsi="Times New Roman"/>
          <w:sz w:val="24"/>
          <w:szCs w:val="24"/>
          <w:rtl w:val="0"/>
        </w:rPr>
        <w:t xml:space="preserve">Rejsekort A/S system</w:t>
      </w:r>
      <w:r w:rsidDel="00000000" w:rsidR="00000000" w:rsidRPr="00000000">
        <w:rPr>
          <w:rFonts w:ascii="Times New Roman" w:cs="Times New Roman" w:eastAsia="Times New Roman" w:hAnsi="Times New Roman"/>
          <w:sz w:val="24"/>
          <w:szCs w:val="24"/>
          <w:rtl w:val="0"/>
        </w:rPr>
        <w:t xml:space="preserve">, after which Rejsekort, as a controller, can begin processing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w:t>
      </w:r>
      <w:r w:rsidDel="00000000" w:rsidR="00000000" w:rsidRPr="00000000">
        <w:rPr>
          <w:rFonts w:ascii="Times New Roman" w:cs="Times New Roman" w:eastAsia="Times New Roman" w:hAnsi="Times New Roman"/>
          <w:sz w:val="24"/>
          <w:szCs w:val="24"/>
          <w:rtl w:val="0"/>
        </w:rPr>
        <w:t xml:space="preserve">consent</w:t>
      </w:r>
      <w:r w:rsidDel="00000000" w:rsidR="00000000" w:rsidRPr="00000000">
        <w:rPr>
          <w:rFonts w:ascii="Times New Roman" w:cs="Times New Roman" w:eastAsia="Times New Roman" w:hAnsi="Times New Roman"/>
          <w:sz w:val="24"/>
          <w:szCs w:val="24"/>
          <w:rtl w:val="0"/>
        </w:rPr>
        <w:t xml:space="preserve">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GDPR is the right </w:t>
      </w:r>
      <w:r w:rsidDel="00000000" w:rsidR="00000000" w:rsidRPr="00000000">
        <w:rPr>
          <w:rFonts w:ascii="Times New Roman" w:cs="Times New Roman" w:eastAsia="Times New Roman" w:hAnsi="Times New Roman"/>
          <w:sz w:val="24"/>
          <w:szCs w:val="24"/>
          <w:rtl w:val="0"/>
        </w:rPr>
        <w:t xml:space="preserve">of the data subject</w:t>
      </w:r>
      <w:r w:rsidDel="00000000" w:rsidR="00000000" w:rsidRPr="00000000">
        <w:rPr>
          <w:rFonts w:ascii="Times New Roman" w:cs="Times New Roman" w:eastAsia="Times New Roman" w:hAnsi="Times New Roman"/>
          <w:sz w:val="24"/>
          <w:szCs w:val="24"/>
          <w:rtl w:val="0"/>
        </w:rPr>
        <w:t xml:space="preserve"> to get support from the controller to exercises his/her rights. The Directive 95/46/EC doesn’t obligate the controllers to give effect to the rights of the data subjects. With the new change, the recommendations of the Directive to help the data subject becomes an obligation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the controller should comply with. This is reflected in our model and can be seen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controller should take into account all the new rights given to the data subject and implement appropriate measures to reflect their expectations. This could include training of the employees to respond as fast as possible to data subjects’ requests. [8]</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8"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j2qqm3" w:id="19"/>
      <w:bookmarkEnd w:id="19"/>
      <w:bookmarkStart w:colFirst="0" w:colLast="0" w:name="z337ya" w:id="18"/>
      <w:bookmarkEnd w:id="18"/>
      <w:r w:rsidDel="00000000" w:rsidR="00000000" w:rsidRPr="00000000">
        <w:rPr>
          <w:rFonts w:ascii="Calibri" w:cs="Calibri" w:eastAsia="Calibri" w:hAnsi="Calibri"/>
          <w:b w:val="0"/>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y810tw" w:id="21"/>
      <w:bookmarkEnd w:id="21"/>
      <w:bookmarkStart w:colFirst="0" w:colLast="0" w:name="4i7ojhp" w:id="20"/>
      <w:bookmarkEnd w:id="20"/>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inform how long the personal data will be kept. Rejsekort A/S already complies with this rule and in [6] it discloses that keeps this information for five years after the termination of the customer relationship. This is modeled and illustrated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19"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ci93xb" w:id="23"/>
      <w:bookmarkEnd w:id="23"/>
      <w:bookmarkStart w:colFirst="0" w:colLast="0" w:name="2xcytpi" w:id="22"/>
      <w:bookmarkEnd w:id="22"/>
      <w:r w:rsidDel="00000000" w:rsidR="00000000" w:rsidRPr="00000000">
        <w:rPr>
          <w:rFonts w:ascii="Calibri" w:cs="Calibri" w:eastAsia="Calibri" w:hAnsi="Calibri"/>
          <w:b w:val="0"/>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whwml4" w:id="25"/>
      <w:bookmarkEnd w:id="25"/>
      <w:bookmarkStart w:colFirst="0" w:colLast="0" w:name="2bn6wsx" w:id="24"/>
      <w:bookmarkEnd w:id="24"/>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t>
      </w:r>
      <w:r w:rsidDel="00000000" w:rsidR="00000000" w:rsidRPr="00000000">
        <w:rPr>
          <w:rFonts w:ascii="Times New Roman" w:cs="Times New Roman" w:eastAsia="Times New Roman" w:hAnsi="Times New Roman"/>
          <w:sz w:val="24"/>
          <w:szCs w:val="24"/>
          <w:rtl w:val="0"/>
        </w:rPr>
        <w:t xml:space="preserve">within</w:t>
      </w:r>
      <w:r w:rsidDel="00000000" w:rsidR="00000000" w:rsidRPr="00000000">
        <w:rPr>
          <w:rFonts w:ascii="Times New Roman" w:cs="Times New Roman" w:eastAsia="Times New Roman" w:hAnsi="Times New Roman"/>
          <w:sz w:val="24"/>
          <w:szCs w:val="24"/>
          <w:rtl w:val="0"/>
        </w:rPr>
        <w:t xml:space="preserve">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w:t>
      </w:r>
      <w:r w:rsidDel="00000000" w:rsidR="00000000" w:rsidRPr="00000000">
        <w:rPr>
          <w:rFonts w:ascii="Times New Roman" w:cs="Times New Roman" w:eastAsia="Times New Roman" w:hAnsi="Times New Roman"/>
          <w:sz w:val="24"/>
          <w:szCs w:val="24"/>
          <w:rtl w:val="0"/>
        </w:rPr>
        <w:t xml:space="preserve">nor</w:t>
      </w:r>
      <w:r w:rsidDel="00000000" w:rsidR="00000000" w:rsidRPr="00000000">
        <w:rPr>
          <w:rFonts w:ascii="Times New Roman" w:cs="Times New Roman" w:eastAsia="Times New Roman" w:hAnsi="Times New Roman"/>
          <w:sz w:val="24"/>
          <w:szCs w:val="24"/>
          <w:rtl w:val="0"/>
        </w:rPr>
        <w:t xml:space="preserve">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qsh70q" w:id="27"/>
      <w:bookmarkEnd w:id="27"/>
      <w:r w:rsidDel="00000000" w:rsidR="00000000" w:rsidRPr="00000000">
        <w:drawing>
          <wp:inline distB="0" distT="0" distL="0" distR="0">
            <wp:extent cx="3982581" cy="933645"/>
            <wp:effectExtent b="0" l="0" r="0" t="0"/>
            <wp:docPr id="1" name="image04.png"/>
            <a:graphic>
              <a:graphicData uri="http://schemas.openxmlformats.org/drawingml/2006/picture">
                <pic:pic>
                  <pic:nvPicPr>
                    <pic:cNvPr id="0" name="image04.png"/>
                    <pic:cNvPicPr preferRelativeResize="0"/>
                  </pic:nvPicPr>
                  <pic:blipFill>
                    <a:blip r:embed="rId35"/>
                    <a:srcRect b="0" l="0" r="0" t="0"/>
                    <a:stretch>
                      <a:fillRect/>
                    </a:stretch>
                  </pic:blipFill>
                  <pic:spPr>
                    <a:xfrm>
                      <a:off x="0" y="0"/>
                      <a:ext cx="3982581" cy="933645"/>
                    </a:xfrm>
                    <a:prstGeom prst="rect"/>
                    <a:ln/>
                  </pic:spPr>
                </pic:pic>
              </a:graphicData>
            </a:graphic>
          </wp:inline>
        </w:drawing>
      </w:r>
      <w:bookmarkStart w:colFirst="0" w:colLast="0" w:name="3as4poj" w:id="26"/>
      <w:bookmarkEnd w:id="26"/>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9x2ik5" w:id="29"/>
      <w:bookmarkEnd w:id="29"/>
      <w:bookmarkStart w:colFirst="0" w:colLast="0" w:name="1pxezwc" w:id="28"/>
      <w:bookmarkEnd w:id="28"/>
      <w:r w:rsidDel="00000000" w:rsidR="00000000" w:rsidRPr="00000000">
        <w:rPr>
          <w:rFonts w:ascii="Calibri" w:cs="Calibri" w:eastAsia="Calibri" w:hAnsi="Calibri"/>
          <w:b w:val="0"/>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000000" w:rsidDel="00000000" w:rsidP="00000000" w:rsidRDefault="00000000" w:rsidRPr="00000000">
      <w:pPr>
        <w:contextualSpacing w:val="0"/>
        <w:jc w:val="both"/>
      </w:pPr>
      <w:bookmarkStart w:colFirst="0" w:colLast="0" w:name="_2p2csry" w:id="30"/>
      <w:bookmarkEnd w:id="30"/>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represents 3 different activities that all has a relation with “Register”.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or the public interest.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07.png"/>
            <a:graphic>
              <a:graphicData uri="http://schemas.openxmlformats.org/drawingml/2006/picture">
                <pic:pic>
                  <pic:nvPicPr>
                    <pic:cNvPr descr="dcr2.png" id="0" name="image07.png"/>
                    <pic:cNvPicPr preferRelativeResize="0"/>
                  </pic:nvPicPr>
                  <pic:blipFill>
                    <a:blip r:embed="rId3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o7alnk" w:id="32"/>
      <w:bookmarkEnd w:id="32"/>
      <w:bookmarkStart w:colFirst="0" w:colLast="0" w:name="147n2zr" w:id="31"/>
      <w:bookmarkEnd w:id="31"/>
      <w:r w:rsidDel="00000000" w:rsidR="00000000" w:rsidRPr="00000000">
        <w:rPr>
          <w:rFonts w:ascii="Calibri" w:cs="Calibri" w:eastAsia="Calibri" w:hAnsi="Calibri"/>
          <w:b w:val="0"/>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In order to execute “Send data to opinion research institutes” the consent has to be given. When the consent is withdrawn it is no longer possible to execute that activity.</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10.png"/>
            <a:graphic>
              <a:graphicData uri="http://schemas.openxmlformats.org/drawingml/2006/picture">
                <pic:pic>
                  <pic:nvPicPr>
                    <pic:cNvPr descr="dcr4.png" id="0" name="image10.png"/>
                    <pic:cNvPicPr preferRelativeResize="0"/>
                  </pic:nvPicPr>
                  <pic:blipFill>
                    <a:blip r:embed="rId37"/>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ihv636" w:id="34"/>
      <w:bookmarkEnd w:id="34"/>
      <w:bookmarkStart w:colFirst="0" w:colLast="0" w:name="23ckvvd" w:id="33"/>
      <w:bookmarkEnd w:id="33"/>
      <w:r w:rsidDel="00000000" w:rsidR="00000000" w:rsidRPr="00000000">
        <w:rPr>
          <w:rFonts w:ascii="Calibri" w:cs="Calibri" w:eastAsia="Calibri" w:hAnsi="Calibri"/>
          <w:b w:val="0"/>
          <w:i w:val="1"/>
          <w:color w:val="44546a"/>
          <w:sz w:val="18"/>
          <w:szCs w:val="18"/>
          <w:rtl w:val="0"/>
        </w:rPr>
        <w:t xml:space="preserve">Figure 7 DCR model of giving and withdrawing consent for opinion-research institues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DCR model of the data breach in our process is shown.</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2640470" cy="897585"/>
            <wp:effectExtent b="0" l="0" r="0" t="0"/>
            <wp:docPr id="4"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2640470" cy="8975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1hmsyys" w:id="36"/>
      <w:bookmarkEnd w:id="36"/>
      <w:bookmarkStart w:colFirst="0" w:colLast="0" w:name="32hioqz" w:id="35"/>
      <w:bookmarkEnd w:id="35"/>
      <w:r w:rsidDel="00000000" w:rsidR="00000000" w:rsidRPr="00000000">
        <w:rPr>
          <w:rFonts w:ascii="Calibri" w:cs="Calibri" w:eastAsia="Calibri" w:hAnsi="Calibri"/>
          <w:b w:val="0"/>
          <w:i w:val="1"/>
          <w:color w:val="44546a"/>
          <w:sz w:val="18"/>
          <w:szCs w:val="18"/>
          <w:rtl w:val="0"/>
        </w:rPr>
        <w:t xml:space="preserve">Figure 8 DCR model of data breach; no sub-process spawned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model in </w:t>
      </w:r>
      <w:r w:rsidDel="00000000" w:rsidR="00000000" w:rsidRPr="00000000">
        <w:rPr>
          <w:rtl w:val="0"/>
        </w:rPr>
        <w:t xml:space="preserve">Figure 8</w:t>
      </w:r>
      <w:r w:rsidDel="00000000" w:rsidR="00000000" w:rsidRPr="00000000">
        <w:rPr>
          <w:rFonts w:ascii="Times New Roman" w:cs="Times New Roman" w:eastAsia="Times New Roman" w:hAnsi="Times New Roman"/>
          <w:sz w:val="24"/>
          <w:szCs w:val="24"/>
          <w:rtl w:val="0"/>
        </w:rPr>
        <w:t xml:space="preserve"> includes the activity “Register” and the sub-process “Data breach” that is initially “closed” – no sub-process is spawned – where “Data breach” represents the data breach of the personal data. The relation between “Register” and “Data breach” is of type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The model after the spawning of the first sub-process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5481458" cy="935328"/>
            <wp:effectExtent b="0" l="0" r="0" t="0"/>
            <wp:docPr id="5"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481458" cy="93532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2grqrue" w:id="38"/>
      <w:bookmarkEnd w:id="38"/>
      <w:bookmarkStart w:colFirst="0" w:colLast="0" w:name="41mghml" w:id="37"/>
      <w:bookmarkEnd w:id="37"/>
      <w:r w:rsidDel="00000000" w:rsidR="00000000" w:rsidRPr="00000000">
        <w:rPr>
          <w:rFonts w:ascii="Calibri" w:cs="Calibri" w:eastAsia="Calibri" w:hAnsi="Calibri"/>
          <w:b w:val="0"/>
          <w:i w:val="1"/>
          <w:color w:val="44546a"/>
          <w:sz w:val="18"/>
          <w:szCs w:val="18"/>
          <w:rtl w:val="0"/>
        </w:rPr>
        <w:t xml:space="preserve">Figure 9 DCR model of data breach; One sub-process is spawned</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rPr>
          <w:rFonts w:ascii="Times New Roman" w:cs="Times New Roman" w:eastAsia="Times New Roman" w:hAnsi="Times New Roman"/>
          <w:sz w:val="24"/>
          <w:szCs w:val="24"/>
          <w:rtl w:val="0"/>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w:t>
      </w:r>
      <w:r w:rsidDel="00000000" w:rsidR="00000000" w:rsidRPr="00000000">
        <w:rPr>
          <w:rFonts w:ascii="Times New Roman" w:cs="Times New Roman" w:eastAsia="Times New Roman" w:hAnsi="Times New Roman"/>
          <w:sz w:val="24"/>
          <w:szCs w:val="24"/>
          <w:rtl w:val="0"/>
        </w:rPr>
        <w:t xml:space="preserve">StartNotification” is a helper event that exclude itself after its execution.</w:t>
      </w:r>
      <w:r w:rsidDel="00000000" w:rsidR="00000000" w:rsidRPr="00000000">
        <w:rPr>
          <w:rFonts w:ascii="Times New Roman" w:cs="Times New Roman" w:eastAsia="Times New Roman" w:hAnsi="Times New Roman"/>
          <w:sz w:val="24"/>
          <w:szCs w:val="24"/>
          <w:rtl w:val="0"/>
        </w:rPr>
        <w:t xml:space="preserve"> It prevents the deadline for notifying the authority to be reset to 3 [days], when another data breach is </w:t>
      </w:r>
      <w:r w:rsidDel="00000000" w:rsidR="00000000" w:rsidRPr="00000000">
        <w:rPr>
          <w:rFonts w:ascii="Times New Roman" w:cs="Times New Roman" w:eastAsia="Times New Roman" w:hAnsi="Times New Roman"/>
          <w:sz w:val="24"/>
          <w:szCs w:val="24"/>
          <w:rtl w:val="0"/>
        </w:rPr>
        <w:t xml:space="preserve">registered</w:t>
      </w:r>
      <w:r w:rsidDel="00000000" w:rsidR="00000000" w:rsidRPr="00000000">
        <w:rPr>
          <w:rFonts w:ascii="Times New Roman" w:cs="Times New Roman" w:eastAsia="Times New Roman" w:hAnsi="Times New Roman"/>
          <w:sz w:val="24"/>
          <w:szCs w:val="24"/>
          <w:rtl w:val="0"/>
        </w:rPr>
        <w:t xml:space="preserve"> within 3 days. This is explained in more details in section 4.  As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 between “StartNotification” and “Asses the risk” is of type </w:t>
      </w:r>
      <w:r w:rsidDel="00000000" w:rsidR="00000000" w:rsidRPr="00000000">
        <w:rPr>
          <w:rFonts w:ascii="Times New Roman" w:cs="Times New Roman" w:eastAsia="Times New Roman" w:hAnsi="Times New Roman"/>
          <w:i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It is expected the assessment to be done as soon as possible. “Asses the risk” and “High risk” are </w:t>
      </w:r>
      <w:r w:rsidDel="00000000" w:rsidR="00000000" w:rsidRPr="00000000">
        <w:rPr>
          <w:rFonts w:ascii="Times New Roman" w:cs="Times New Roman" w:eastAsia="Times New Roman" w:hAnsi="Times New Roman"/>
          <w:sz w:val="24"/>
          <w:szCs w:val="24"/>
          <w:rtl w:val="0"/>
        </w:rPr>
        <w:t xml:space="preserve">connected</w:t>
      </w:r>
      <w:r w:rsidDel="00000000" w:rsidR="00000000" w:rsidRPr="00000000">
        <w:rPr>
          <w:rFonts w:ascii="Times New Roman" w:cs="Times New Roman" w:eastAsia="Times New Roman" w:hAnsi="Times New Roman"/>
          <w:sz w:val="24"/>
          <w:szCs w:val="24"/>
          <w:rtl w:val="0"/>
        </w:rPr>
        <w:t xml:space="preserve"> trough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t>
      </w:r>
      <w:r w:rsidDel="00000000" w:rsidR="00000000" w:rsidRPr="00000000">
        <w:rPr>
          <w:rFonts w:ascii="Times New Roman" w:cs="Times New Roman" w:eastAsia="Times New Roman" w:hAnsi="Times New Roman"/>
          <w:sz w:val="24"/>
          <w:szCs w:val="24"/>
          <w:rtl w:val="0"/>
        </w:rPr>
        <w:t xml:space="preserve">this is</w:t>
      </w:r>
      <w:r w:rsidDel="00000000" w:rsidR="00000000" w:rsidRPr="00000000">
        <w:rPr>
          <w:rFonts w:ascii="Times New Roman" w:cs="Times New Roman" w:eastAsia="Times New Roman" w:hAnsi="Times New Roman"/>
          <w:sz w:val="24"/>
          <w:szCs w:val="24"/>
          <w:rtl w:val="0"/>
        </w:rPr>
        <w:t xml:space="preserve"> because by default “High risk” is excluded and it can’t be available for execution before the risk assessment. The activities “High risk” and “Notify data subject” are connected with two relations –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because the “Notify data subject” is by default excluded, and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because even included “Notify data subject” can’t be executed before “High risk”. For spawning new sub-process as a result of data breaches, the sub-process activity “Data breach” should be executed. </w:t>
      </w:r>
    </w:p>
    <w:p w:rsidR="00000000" w:rsidDel="00000000" w:rsidP="00000000" w:rsidRDefault="00000000" w:rsidRPr="00000000">
      <w:pPr>
        <w:pStyle w:val="Heading1"/>
        <w:numPr>
          <w:ilvl w:val="0"/>
          <w:numId w:val="4"/>
        </w:numPr>
        <w:ind w:left="720" w:hanging="360"/>
        <w:jc w:val="both"/>
        <w:rPr/>
      </w:pPr>
      <w:bookmarkStart w:colFirst="0" w:colLast="0" w:name="_vx1227" w:id="39"/>
      <w:bookmarkEnd w:id="39"/>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w:t>
      </w:r>
      <w:r w:rsidDel="00000000" w:rsidR="00000000" w:rsidRPr="00000000">
        <w:rPr>
          <w:rFonts w:ascii="Times New Roman" w:cs="Times New Roman" w:eastAsia="Times New Roman" w:hAnsi="Times New Roman"/>
          <w:sz w:val="24"/>
          <w:szCs w:val="24"/>
          <w:rtl w:val="0"/>
        </w:rPr>
        <w:t xml:space="preserve">constraint</w:t>
      </w:r>
      <w:r w:rsidDel="00000000" w:rsidR="00000000" w:rsidRPr="00000000">
        <w:rPr>
          <w:rFonts w:ascii="Times New Roman" w:cs="Times New Roman" w:eastAsia="Times New Roman" w:hAnsi="Times New Roman"/>
          <w:sz w:val="24"/>
          <w:szCs w:val="24"/>
          <w:rtl w:val="0"/>
        </w:rPr>
        <w:t xml:space="preserve">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rsidDel="00000000" w:rsidR="00000000" w:rsidRPr="00000000">
        <w:rPr>
          <w:rtl w:val="0"/>
        </w:rPr>
        <w:t xml:space="preserve">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constraints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10.</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6"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v1yuxt" w:id="41"/>
      <w:bookmarkEnd w:id="41"/>
      <w:bookmarkStart w:colFirst="0" w:colLast="0" w:name="3fwokq0" w:id="40"/>
      <w:bookmarkEnd w:id="40"/>
      <w:r w:rsidDel="00000000" w:rsidR="00000000" w:rsidRPr="00000000">
        <w:rPr>
          <w:rFonts w:ascii="Calibri" w:cs="Calibri" w:eastAsia="Calibri" w:hAnsi="Calibri"/>
          <w:b w:val="0"/>
          <w:i w:val="1"/>
          <w:color w:val="44546a"/>
          <w:sz w:val="18"/>
          <w:szCs w:val="18"/>
          <w:rtl w:val="0"/>
        </w:rPr>
        <w:t xml:space="preserve">Figure 10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3"/>
      <w:bookmarkEnd w:id="43"/>
      <w:bookmarkStart w:colFirst="0" w:colLast="0" w:name="2u6wntf" w:id="42"/>
      <w:bookmarkEnd w:id="42"/>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7"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3tbugp1" w:id="45"/>
      <w:bookmarkEnd w:id="45"/>
      <w:bookmarkStart w:colFirst="0" w:colLast="0" w:name="19c6y18" w:id="44"/>
      <w:bookmarkEnd w:id="44"/>
      <w:r w:rsidDel="00000000" w:rsidR="00000000" w:rsidRPr="00000000">
        <w:rPr>
          <w:rFonts w:ascii="Calibri" w:cs="Calibri" w:eastAsia="Calibri" w:hAnsi="Calibri"/>
          <w:b w:val="0"/>
          <w:i w:val="1"/>
          <w:color w:val="44546a"/>
          <w:sz w:val="18"/>
          <w:szCs w:val="18"/>
          <w:rtl w:val="0"/>
        </w:rPr>
        <w:t xml:space="preserve">Figure 11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8h4qwu" w:id="47"/>
      <w:bookmarkEnd w:id="47"/>
      <w:bookmarkStart w:colFirst="0" w:colLast="0" w:name="nmf14n" w:id="46"/>
      <w:bookmarkEnd w:id="46"/>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7m2jsg" w:id="48"/>
      <w:bookmarkEnd w:id="48"/>
      <w:r w:rsidDel="00000000" w:rsidR="00000000" w:rsidRPr="00000000">
        <w:rPr>
          <w:rFonts w:ascii="Times New Roman" w:cs="Times New Roman" w:eastAsia="Times New Roman" w:hAnsi="Times New Roman"/>
          <w:sz w:val="24"/>
          <w:szCs w:val="24"/>
          <w:rtl w:val="0"/>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12</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p>
    <w:p w:rsidR="00000000" w:rsidDel="00000000" w:rsidP="00000000" w:rsidRDefault="00000000" w:rsidRPr="00000000">
      <w:pPr>
        <w:keepNext w:val="1"/>
        <w:contextualSpacing w:val="0"/>
        <w:jc w:val="both"/>
      </w:pPr>
      <w:r w:rsidDel="00000000" w:rsidR="00000000" w:rsidRPr="00000000">
        <w:drawing>
          <wp:inline distB="0" distT="0" distL="0" distR="0">
            <wp:extent cx="5361393" cy="2538269"/>
            <wp:effectExtent b="0" l="0" r="0" t="0"/>
            <wp:docPr id="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361393" cy="25382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46r0co2" w:id="50"/>
      <w:bookmarkEnd w:id="50"/>
      <w:bookmarkStart w:colFirst="0" w:colLast="0" w:name="1mrcu09" w:id="49"/>
      <w:bookmarkEnd w:id="49"/>
      <w:r w:rsidDel="00000000" w:rsidR="00000000" w:rsidRPr="00000000">
        <w:rPr>
          <w:rFonts w:ascii="Calibri" w:cs="Calibri" w:eastAsia="Calibri" w:hAnsi="Calibri"/>
          <w:b w:val="0"/>
          <w:i w:val="1"/>
          <w:color w:val="44546a"/>
          <w:sz w:val="18"/>
          <w:szCs w:val="18"/>
          <w:rtl w:val="0"/>
        </w:rPr>
        <w:t xml:space="preserve">Figure 12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13</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To fix this error we recommend not to enforce responses for the sub-processes which are already spawned. If this will be fixed, we will be able to connect directly “Data breach” and “Notify authority” with no need of medium helper event.</w:t>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9"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both"/>
      </w:pPr>
      <w:bookmarkStart w:colFirst="0" w:colLast="0" w:name="_111kx3o" w:id="52"/>
      <w:bookmarkEnd w:id="52"/>
      <w:bookmarkStart w:colFirst="0" w:colLast="0" w:name="2lwamvv" w:id="51"/>
      <w:bookmarkEnd w:id="51"/>
      <w:r w:rsidDel="00000000" w:rsidR="00000000" w:rsidRPr="00000000">
        <w:rPr>
          <w:rFonts w:ascii="Calibri" w:cs="Calibri" w:eastAsia="Calibri" w:hAnsi="Calibri"/>
          <w:b w:val="0"/>
          <w:i w:val="1"/>
          <w:color w:val="44546a"/>
          <w:sz w:val="18"/>
          <w:szCs w:val="18"/>
          <w:rtl w:val="0"/>
        </w:rPr>
        <w:t xml:space="preserve">Figure 13 DCR model of the entity Data breach. Two sub-processes are spawned with StartNotification added in the figure</w:t>
      </w:r>
      <w:r w:rsidDel="00000000" w:rsidR="00000000" w:rsidRPr="00000000">
        <w:rPr>
          <w:rtl w:val="0"/>
        </w:rPr>
      </w:r>
    </w:p>
    <w:p w:rsidR="00000000" w:rsidDel="00000000" w:rsidP="00000000" w:rsidRDefault="00000000" w:rsidRPr="00000000">
      <w:pPr>
        <w:pStyle w:val="Heading1"/>
        <w:numPr>
          <w:ilvl w:val="0"/>
          <w:numId w:val="4"/>
        </w:numPr>
        <w:ind w:left="720" w:hanging="360"/>
        <w:rPr/>
      </w:pPr>
      <w:bookmarkStart w:colFirst="0" w:colLast="0" w:name="_6f4dmgi2u9ag" w:id="53"/>
      <w:bookmarkEnd w:id="5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ab/>
        <w:tab/>
        <w:t xml:space="preserve"> </w:t>
        <w:tab/>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goal of the projects was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First, we introduced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Then, we gave details about DCR and GDPR …</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After that – went through the new requirements of GDPR and tried to adapt the Rejsekort A/S’s data protection mechanism to the new rules.</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We conclude that DCR is appropriate language to model data protection ???requirements …</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The goal of the projects was to identify the new rules for data protection in the GDPR and to extend the data protection mechanism of Rejsekort A/S to comply with them whereas modeling of the changes is done with the declarative constraint-based language DCR.</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First, we introduced the actuality of the fast ongoing digitalization of the personal data in the last years and the general concerns behind of the wider usage of the data in the business processes. Secondly, we focused on the essential changes in the GDPR that extends the obligations of the controllers and the rights of the data subjects. Third, we explained the main idea behind the DCR graphs, the entries, constructing the graph, and the relations between them, and the graphical representation in the two DCR tools. After that we went through the new requirements of GDPR and tried to adapt the Rejsekort A/S’s data protection mechanism to the new rules. The changes and the extension of the data protection requirements in Rejsekort A/S were modeled and illustrated in figures.</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We tried to reflect the extensions that should be made in Rejsekort A/S’s requirements, and doing that we conclude that DCR is appropriate language to model data protection requirements. DCR graph is easy to use and it is also easy to add further constraints to the graph. The latter would be a big advantage in case of extension of the GDPR with new requirements in the future. Thus the graph neither should not be built from scratch, nor any essential big changes should be made in it, but it would be enough to add new constraints for the new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 </w:t>
      </w:r>
      <w:r w:rsidDel="00000000" w:rsidR="00000000" w:rsidRPr="00000000">
        <w:rPr>
          <w:rFonts w:ascii="Cambria" w:cs="Cambria" w:eastAsia="Cambria" w:hAnsi="Cambria"/>
          <w:color w:val="222222"/>
          <w:highlight w:val="yellow"/>
          <w:rtl w:val="0"/>
        </w:rPr>
        <w:t xml:space="preserve">??</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3"/>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hyperlink r:id="rId44">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w:t>
      </w:r>
      <w:r w:rsidDel="00000000" w:rsidR="00000000" w:rsidRPr="00000000">
        <w:rPr>
          <w:rFonts w:ascii="Cambria" w:cs="Cambria" w:eastAsia="Cambria" w:hAnsi="Cambria"/>
          <w:color w:val="222222"/>
          <w:rtl w:val="0"/>
        </w:rPr>
        <w:t xml:space="preserve">cessed: 13-Dec-2016]</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pStyle w:val="Heading1"/>
        <w:spacing w:after="0" w:lineRule="auto"/>
        <w:contextualSpacing w:val="0"/>
        <w:jc w:val="both"/>
      </w:pPr>
      <w:bookmarkStart w:colFirst="0" w:colLast="0" w:name="_yoiq4lquyo0b" w:id="54"/>
      <w:bookmarkEnd w:id="54"/>
      <w:r w:rsidDel="00000000" w:rsidR="00000000" w:rsidRPr="00000000">
        <w:rPr>
          <w:rtl w:val="0"/>
        </w:rPr>
        <w:t xml:space="preserve">6. </w:t>
      </w:r>
      <w:r w:rsidDel="00000000" w:rsidR="00000000" w:rsidRPr="00000000">
        <w:rPr>
          <w:rtl w:val="0"/>
        </w:rPr>
        <w:t xml:space="preserve">Appendix</w:t>
      </w:r>
      <w:r w:rsidDel="00000000" w:rsidR="00000000" w:rsidRPr="00000000">
        <w:rPr>
          <w:rFonts w:ascii="Cambria" w:cs="Cambria" w:eastAsia="Cambria" w:hAnsi="Cambria"/>
          <w:color w:val="222222"/>
          <w:rtl w:val="0"/>
        </w:rPr>
        <w:tab/>
        <w:tab/>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h965ajdrx1n" w:id="55"/>
      <w:bookmarkEnd w:id="55"/>
      <w:r w:rsidDel="00000000" w:rsidR="00000000" w:rsidRPr="00000000">
        <w:rPr>
          <w:rFonts w:ascii="Cambria" w:cs="Cambria" w:eastAsia="Cambria" w:hAnsi="Cambria"/>
          <w:b w:val="0"/>
          <w:color w:val="222222"/>
          <w:sz w:val="28"/>
          <w:szCs w:val="28"/>
          <w:rtl w:val="0"/>
        </w:rPr>
        <w:t xml:space="preserve">Dcr.itu.dk </w:t>
        <w:tab/>
        <w:tab/>
        <w:t xml:space="preserve">+ the link</w:t>
      </w:r>
      <w:r w:rsidDel="00000000" w:rsidR="00000000" w:rsidRPr="00000000">
        <w:rPr>
          <w:rFonts w:ascii="Cambria" w:cs="Cambria" w:eastAsia="Cambria" w:hAnsi="Cambria"/>
          <w:color w:val="222222"/>
          <w:rtl w:val="0"/>
        </w:rPr>
        <w:tab/>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ackug5ai7k6z" w:id="56"/>
      <w:bookmarkEnd w:id="56"/>
      <w:r w:rsidDel="00000000" w:rsidR="00000000" w:rsidRPr="00000000">
        <w:rPr>
          <w:rFonts w:ascii="Cambria" w:cs="Cambria" w:eastAsia="Cambria" w:hAnsi="Cambria"/>
          <w:b w:val="0"/>
          <w:color w:val="222222"/>
          <w:sz w:val="28"/>
          <w:szCs w:val="28"/>
          <w:rtl w:val="0"/>
        </w:rPr>
        <w:t xml:space="preserve">Report </w:t>
        <w:tab/>
        <w:tab/>
        <w:t xml:space="preserve">from dcgraphs.net</w:t>
      </w:r>
      <w:r w:rsidDel="00000000" w:rsidR="00000000" w:rsidRPr="00000000">
        <w:rPr>
          <w:rtl w:val="0"/>
        </w:rPr>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x3tmxftv3vs3" w:id="57"/>
      <w:bookmarkEnd w:id="57"/>
      <w:r w:rsidDel="00000000" w:rsidR="00000000" w:rsidRPr="00000000">
        <w:rPr>
          <w:rFonts w:ascii="Cambria" w:cs="Cambria" w:eastAsia="Cambria" w:hAnsi="Cambria"/>
          <w:b w:val="0"/>
          <w:color w:val="222222"/>
          <w:sz w:val="28"/>
          <w:szCs w:val="28"/>
          <w:rtl w:val="0"/>
        </w:rPr>
        <w:t xml:space="preserve">?source documents(?) describing your case process (Rejsekort’s privacy doc)</w:t>
      </w:r>
      <w:r w:rsidDel="00000000" w:rsidR="00000000" w:rsidRPr="00000000">
        <w:rPr>
          <w:rtl w:val="0"/>
        </w:rPr>
      </w:r>
    </w:p>
    <w:p w:rsidR="00000000" w:rsidDel="00000000" w:rsidP="00000000" w:rsidRDefault="00000000" w:rsidRPr="00000000">
      <w:pPr>
        <w:pStyle w:val="Heading2"/>
        <w:keepNext w:val="0"/>
        <w:keepLines w:val="0"/>
        <w:numPr>
          <w:ilvl w:val="1"/>
          <w:numId w:val="1"/>
        </w:numPr>
        <w:ind w:left="1440" w:hanging="360"/>
        <w:contextualSpacing w:val="1"/>
        <w:jc w:val="both"/>
        <w:rPr>
          <w:rFonts w:ascii="Cambria" w:cs="Cambria" w:eastAsia="Cambria" w:hAnsi="Cambria"/>
          <w:color w:val="222222"/>
        </w:rPr>
      </w:pPr>
      <w:bookmarkStart w:colFirst="0" w:colLast="0" w:name="_cnlarama1cs8" w:id="58"/>
      <w:bookmarkEnd w:id="58"/>
      <w:r w:rsidDel="00000000" w:rsidR="00000000" w:rsidRPr="00000000">
        <w:rPr>
          <w:rFonts w:ascii="Cambria" w:cs="Cambria" w:eastAsia="Cambria" w:hAnsi="Cambria"/>
          <w:b w:val="0"/>
          <w:color w:val="222222"/>
          <w:sz w:val="28"/>
          <w:szCs w:val="28"/>
          <w:rtl w:val="0"/>
        </w:rPr>
        <w:t xml:space="preserve">Excerpts from the GDPR</w:t>
      </w: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 per purpose</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sz w:val="20"/>
          <w:szCs w:val="20"/>
          <w:rtl w:val="0"/>
        </w:rPr>
        <w:t xml:space="preserve">1. Personal data shall be:</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 the right to be forgotten</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sz w:val="20"/>
          <w:szCs w:val="20"/>
          <w:rtl w:val="0"/>
        </w:rPr>
        <w:t xml:space="preserve">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(a) the personal data are no longer necessary in relation to the purposes for which they were collected or otherwise processed;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(b) the data subject withdraws consent on which the processing is based according to point (a) of Article 6(1), or</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point (a) of Article 9(2), and where there is no other legal ground for the processing;</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(c) the data subject objects to the processing pursuant to Article 21(1) and there are no overriding legitimate grounds for the processing, or the data subject objects to the processing pursuant to Article 21(2);</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(d) the personal data have been unlawfully processed;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(e) the personal data have to be erased for compliance with a legal obligation in Union or Member State law to which the controller is subject;</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(f) the personal data have been collected in relation to the offer of information society services referred to in</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Article 8(1).” [Article 17, page 43]</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sz w:val="20"/>
          <w:szCs w:val="20"/>
          <w:rtl w:val="0"/>
        </w:rPr>
        <w:t xml:space="preserve">// can get help from the controller</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data breach</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tl w:val="0"/>
        </w:rPr>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machine readable format</w:t>
      </w:r>
    </w:p>
    <w:p w:rsidR="00000000" w:rsidDel="00000000" w:rsidP="00000000" w:rsidRDefault="00000000" w:rsidRPr="00000000">
      <w:pPr>
        <w:spacing w:after="0" w:line="259.20000000000005"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The data subject shall have the right to receive the personal data concerning him or her, which he or she has</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provided to a controller, in a structured, commonly used and machine-readable format and have the right to transmit those data to another controller without hindrance from the controller to which the personal data have been provided, where:</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(a) the processing is based on consent pursuant to point (a) of Article 6(1) or point (a) of Article 9(2) or on a contract pursuant to point (b) of Article 6(1); and</w:t>
      </w:r>
    </w:p>
    <w:p w:rsidR="00000000" w:rsidDel="00000000" w:rsidP="00000000" w:rsidRDefault="00000000" w:rsidRPr="00000000">
      <w:pPr>
        <w:spacing w:after="0" w:line="259.20000000000005"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(b) the processing is carried out by automated means.” [Article 20, page 45]</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71.png"/><Relationship Id="rId42" Type="http://schemas.openxmlformats.org/officeDocument/2006/relationships/image" Target="media/image17.png"/><Relationship Id="rId41" Type="http://schemas.openxmlformats.org/officeDocument/2006/relationships/image" Target="media/image16.png"/><Relationship Id="rId22" Type="http://schemas.openxmlformats.org/officeDocument/2006/relationships/image" Target="media/image73.png"/><Relationship Id="rId44" Type="http://schemas.openxmlformats.org/officeDocument/2006/relationships/hyperlink" Target="http://www.out-law.com/en/articles/2016/may/gdpr-potential-fines-for-data-security-breaches-more-severe-for-data-controllers-than-processors-says-expert/" TargetMode="External"/><Relationship Id="rId21" Type="http://schemas.openxmlformats.org/officeDocument/2006/relationships/image" Target="media/image72.png"/><Relationship Id="rId43" Type="http://schemas.openxmlformats.org/officeDocument/2006/relationships/image" Target="media/image18.png"/><Relationship Id="rId24" Type="http://schemas.openxmlformats.org/officeDocument/2006/relationships/image" Target="media/image77.png"/><Relationship Id="rId23" Type="http://schemas.openxmlformats.org/officeDocument/2006/relationships/image" Target="media/image75.png"/><Relationship Id="rId45" Type="http://schemas.openxmlformats.org/officeDocument/2006/relationships/hyperlink" Target="http://eur-lex.europa.eu/legal-content/EN/TXT/PDF/?uri=OJ:L:2016:119:FULL&amp;from=N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8.png"/><Relationship Id="rId26" Type="http://schemas.openxmlformats.org/officeDocument/2006/relationships/image" Target="media/image24.png"/><Relationship Id="rId25" Type="http://schemas.openxmlformats.org/officeDocument/2006/relationships/image" Target="media/image19.png"/><Relationship Id="rId28" Type="http://schemas.openxmlformats.org/officeDocument/2006/relationships/image" Target="media/image26.png"/><Relationship Id="rId27" Type="http://schemas.openxmlformats.org/officeDocument/2006/relationships/image" Target="media/image25.png"/><Relationship Id="rId5" Type="http://schemas.openxmlformats.org/officeDocument/2006/relationships/image" Target="media/image39.png"/><Relationship Id="rId6" Type="http://schemas.openxmlformats.org/officeDocument/2006/relationships/image" Target="media/image46.png"/><Relationship Id="rId29" Type="http://schemas.openxmlformats.org/officeDocument/2006/relationships/image" Target="media/image27.png"/><Relationship Id="rId7" Type="http://schemas.openxmlformats.org/officeDocument/2006/relationships/image" Target="media/image42.png"/><Relationship Id="rId8" Type="http://schemas.openxmlformats.org/officeDocument/2006/relationships/image" Target="media/image50.png"/><Relationship Id="rId31" Type="http://schemas.openxmlformats.org/officeDocument/2006/relationships/image" Target="media/image34.png"/><Relationship Id="rId30" Type="http://schemas.openxmlformats.org/officeDocument/2006/relationships/image" Target="media/image29.png"/><Relationship Id="rId11" Type="http://schemas.openxmlformats.org/officeDocument/2006/relationships/image" Target="media/image51.png"/><Relationship Id="rId33" Type="http://schemas.openxmlformats.org/officeDocument/2006/relationships/image" Target="media/image36.png"/><Relationship Id="rId10" Type="http://schemas.openxmlformats.org/officeDocument/2006/relationships/image" Target="media/image52.png"/><Relationship Id="rId32" Type="http://schemas.openxmlformats.org/officeDocument/2006/relationships/image" Target="media/image35.png"/><Relationship Id="rId13" Type="http://schemas.openxmlformats.org/officeDocument/2006/relationships/image" Target="media/image54.png"/><Relationship Id="rId35" Type="http://schemas.openxmlformats.org/officeDocument/2006/relationships/image" Target="media/image04.png"/><Relationship Id="rId12" Type="http://schemas.openxmlformats.org/officeDocument/2006/relationships/image" Target="media/image55.png"/><Relationship Id="rId34" Type="http://schemas.openxmlformats.org/officeDocument/2006/relationships/image" Target="media/image37.png"/><Relationship Id="rId15" Type="http://schemas.openxmlformats.org/officeDocument/2006/relationships/image" Target="media/image57.png"/><Relationship Id="rId37" Type="http://schemas.openxmlformats.org/officeDocument/2006/relationships/image" Target="media/image10.png"/><Relationship Id="rId14" Type="http://schemas.openxmlformats.org/officeDocument/2006/relationships/image" Target="media/image63.png"/><Relationship Id="rId36" Type="http://schemas.openxmlformats.org/officeDocument/2006/relationships/image" Target="media/image07.png"/><Relationship Id="rId17" Type="http://schemas.openxmlformats.org/officeDocument/2006/relationships/image" Target="media/image65.png"/><Relationship Id="rId39" Type="http://schemas.openxmlformats.org/officeDocument/2006/relationships/image" Target="media/image14.png"/><Relationship Id="rId16" Type="http://schemas.openxmlformats.org/officeDocument/2006/relationships/image" Target="media/image59.png"/><Relationship Id="rId38" Type="http://schemas.openxmlformats.org/officeDocument/2006/relationships/image" Target="media/image11.png"/><Relationship Id="rId19" Type="http://schemas.openxmlformats.org/officeDocument/2006/relationships/image" Target="media/image69.png"/><Relationship Id="rId18" Type="http://schemas.openxmlformats.org/officeDocument/2006/relationships/image" Target="media/image67.png"/></Relationships>
</file>