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Contents</w:t>
      </w:r>
      <w:r w:rsidDel="00000000" w:rsidR="00000000" w:rsidRPr="00000000">
        <w:rPr>
          <w:rtl w:val="0"/>
        </w:rPr>
      </w:r>
    </w:p>
    <w:p w:rsidR="00000000" w:rsidDel="00000000" w:rsidP="00000000" w:rsidRDefault="00000000" w:rsidRPr="00000000">
      <w:pPr>
        <w:tabs>
          <w:tab w:val="left" w:pos="440"/>
          <w:tab w:val="right" w:pos="9062"/>
        </w:tabs>
        <w:spacing w:after="100" w:before="0" w:line="259" w:lineRule="auto"/>
        <w:contextualSpacing w:val="0"/>
      </w:pPr>
      <w:hyperlink w:anchor="_gjdgxs">
        <w:r w:rsidDel="00000000" w:rsidR="00000000" w:rsidRPr="00000000">
          <w:rPr>
            <w:rFonts w:ascii="Calibri" w:cs="Calibri" w:eastAsia="Calibri" w:hAnsi="Calibri"/>
            <w:b w:val="0"/>
            <w:color w:val="000000"/>
            <w:sz w:val="22"/>
            <w:szCs w:val="22"/>
            <w:rtl w:val="0"/>
          </w:rPr>
          <w:t xml:space="preserve">1.</w:t>
          <w:tab/>
          <w:t xml:space="preserve">Introduction</w:t>
          <w:tab/>
        </w:r>
      </w:hyperlink>
      <w:hyperlink w:anchor="_Toc469422466">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30j0zll">
        <w:r w:rsidDel="00000000" w:rsidR="00000000" w:rsidRPr="00000000">
          <w:rPr>
            <w:rFonts w:ascii="Calibri" w:cs="Calibri" w:eastAsia="Calibri" w:hAnsi="Calibri"/>
            <w:b w:val="0"/>
            <w:color w:val="000000"/>
            <w:sz w:val="22"/>
            <w:szCs w:val="22"/>
            <w:rtl w:val="0"/>
          </w:rPr>
          <w:t xml:space="preserve">2.</w:t>
          <w:tab/>
          <w:t xml:space="preserve">Details on GDPR &amp; DCR</w:t>
          <w:tab/>
        </w:r>
      </w:hyperlink>
      <w:hyperlink w:anchor="_Toc469422467">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17dp8vu">
        <w:r w:rsidDel="00000000" w:rsidR="00000000" w:rsidRPr="00000000">
          <w:rPr>
            <w:rFonts w:ascii="Calibri" w:cs="Calibri" w:eastAsia="Calibri" w:hAnsi="Calibri"/>
            <w:b w:val="0"/>
            <w:color w:val="000000"/>
            <w:sz w:val="22"/>
            <w:szCs w:val="22"/>
            <w:rtl w:val="0"/>
          </w:rPr>
          <w:t xml:space="preserve">3.</w:t>
          <w:tab/>
          <w:t xml:space="preserve">Description of the case process</w:t>
          <w:tab/>
        </w:r>
      </w:hyperlink>
      <w:hyperlink w:anchor="_Toc469422468">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vx1227">
        <w:r w:rsidDel="00000000" w:rsidR="00000000" w:rsidRPr="00000000">
          <w:rPr>
            <w:rFonts w:ascii="Calibri" w:cs="Calibri" w:eastAsia="Calibri" w:hAnsi="Calibri"/>
            <w:b w:val="0"/>
            <w:color w:val="000000"/>
            <w:sz w:val="22"/>
            <w:szCs w:val="22"/>
            <w:rtl w:val="0"/>
          </w:rPr>
          <w:t xml:space="preserve">4.</w:t>
          <w:tab/>
          <w:t xml:space="preserve">Reflection</w:t>
          <w:tab/>
        </w:r>
      </w:hyperlink>
      <w:hyperlink w:anchor="_Toc469422469">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3l18frh">
        <w:r w:rsidDel="00000000" w:rsidR="00000000" w:rsidRPr="00000000">
          <w:rPr>
            <w:rFonts w:ascii="Calibri" w:cs="Calibri" w:eastAsia="Calibri" w:hAnsi="Calibri"/>
            <w:b w:val="0"/>
            <w:color w:val="000000"/>
            <w:sz w:val="22"/>
            <w:szCs w:val="22"/>
            <w:rtl w:val="0"/>
          </w:rPr>
          <w:t xml:space="preserve">5.</w:t>
          <w:tab/>
          <w:t xml:space="preserve">Conclusion</w:t>
          <w:tab/>
        </w:r>
      </w:hyperlink>
      <w:hyperlink w:anchor="_Toc469422470">
        <w:r w:rsidDel="00000000" w:rsidR="00000000" w:rsidRPr="00000000">
          <w:rPr>
            <w:rtl w:val="0"/>
          </w:rPr>
        </w:r>
      </w:hyperlink>
    </w:p>
    <w:p w:rsidR="00000000" w:rsidDel="00000000" w:rsidP="00000000" w:rsidRDefault="00000000" w:rsidRPr="00000000">
      <w:pPr>
        <w:contextualSpacing w:val="0"/>
      </w:pPr>
      <w:hyperlink w:anchor="_Toc469422470">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tyjcwt">
        <w:r w:rsidDel="00000000" w:rsidR="00000000" w:rsidRPr="00000000">
          <w:rPr>
            <w:rFonts w:ascii="Calibri" w:cs="Calibri" w:eastAsia="Calibri" w:hAnsi="Calibri"/>
            <w:b w:val="0"/>
            <w:color w:val="000000"/>
            <w:sz w:val="22"/>
            <w:szCs w:val="22"/>
            <w:rtl w:val="0"/>
          </w:rPr>
          <w:t xml:space="preserve">Table 1 Graphical representation of activities</w:t>
          <w:tab/>
        </w:r>
      </w:hyperlink>
      <w:hyperlink w:anchor="_Toc469422502">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2s8eyo1">
        <w:r w:rsidDel="00000000" w:rsidR="00000000" w:rsidRPr="00000000">
          <w:rPr>
            <w:rFonts w:ascii="Calibri" w:cs="Calibri" w:eastAsia="Calibri" w:hAnsi="Calibri"/>
            <w:b w:val="0"/>
            <w:color w:val="000000"/>
            <w:sz w:val="22"/>
            <w:szCs w:val="22"/>
            <w:rtl w:val="0"/>
          </w:rPr>
          <w:t xml:space="preserve">Table 2 Graphical representation of relations</w:t>
          <w:tab/>
        </w:r>
      </w:hyperlink>
      <w:hyperlink w:anchor="_Toc469422503">
        <w:r w:rsidDel="00000000" w:rsidR="00000000" w:rsidRPr="00000000">
          <w:rPr>
            <w:rtl w:val="0"/>
          </w:rPr>
        </w:r>
      </w:hyperlink>
    </w:p>
    <w:p w:rsidR="00000000" w:rsidDel="00000000" w:rsidP="00000000" w:rsidRDefault="00000000" w:rsidRPr="00000000">
      <w:pPr>
        <w:widowControl w:val="0"/>
        <w:spacing w:after="0" w:line="276" w:lineRule="auto"/>
        <w:contextualSpacing w:val="0"/>
      </w:pPr>
      <w:r w:rsidDel="00000000" w:rsidR="00000000" w:rsidRPr="00000000">
        <w:rPr>
          <w:rtl w:val="0"/>
        </w:rPr>
        <w:t xml:space="preserve"> </w:t>
      </w:r>
    </w:p>
    <w:p w:rsidR="00000000" w:rsidDel="00000000" w:rsidP="00000000" w:rsidRDefault="00000000" w:rsidRPr="00000000">
      <w:pPr>
        <w:tabs>
          <w:tab w:val="right" w:pos="9062"/>
        </w:tabs>
        <w:spacing w:after="0" w:before="0" w:line="259" w:lineRule="auto"/>
        <w:contextualSpacing w:val="0"/>
      </w:pPr>
      <w:hyperlink w:anchor="_26in1rg">
        <w:r w:rsidDel="00000000" w:rsidR="00000000" w:rsidRPr="00000000">
          <w:rPr>
            <w:rFonts w:ascii="Calibri" w:cs="Calibri" w:eastAsia="Calibri" w:hAnsi="Calibri"/>
            <w:b w:val="0"/>
            <w:color w:val="000000"/>
            <w:sz w:val="22"/>
            <w:szCs w:val="22"/>
            <w:rtl w:val="0"/>
          </w:rPr>
          <w:t xml:space="preserve">Figure 1 DCR of the process</w:t>
          <w:tab/>
        </w:r>
      </w:hyperlink>
      <w:hyperlink w:anchor="_Toc469422489">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35nkun2">
        <w:r w:rsidDel="00000000" w:rsidR="00000000" w:rsidRPr="00000000">
          <w:rPr>
            <w:rFonts w:ascii="Calibri" w:cs="Calibri" w:eastAsia="Calibri" w:hAnsi="Calibri"/>
            <w:b w:val="0"/>
            <w:color w:val="000000"/>
            <w:sz w:val="22"/>
            <w:szCs w:val="22"/>
            <w:rtl w:val="0"/>
          </w:rPr>
          <w:t xml:space="preserve">Figure 2 DCR model of giving the consent for main purposes</w:t>
          <w:tab/>
        </w:r>
      </w:hyperlink>
      <w:hyperlink w:anchor="_Toc469422490">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3j2qqm3">
        <w:r w:rsidDel="00000000" w:rsidR="00000000" w:rsidRPr="00000000">
          <w:rPr>
            <w:rFonts w:ascii="Calibri" w:cs="Calibri" w:eastAsia="Calibri" w:hAnsi="Calibri"/>
            <w:b w:val="0"/>
            <w:color w:val="000000"/>
            <w:sz w:val="22"/>
            <w:szCs w:val="22"/>
            <w:rtl w:val="0"/>
          </w:rPr>
          <w:t xml:space="preserve">Figure 3 DCR model of getting assistance from the controller</w:t>
          <w:tab/>
        </w:r>
      </w:hyperlink>
      <w:hyperlink w:anchor="_Toc469422491">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ci93xb">
        <w:r w:rsidDel="00000000" w:rsidR="00000000" w:rsidRPr="00000000">
          <w:rPr>
            <w:rFonts w:ascii="Calibri" w:cs="Calibri" w:eastAsia="Calibri" w:hAnsi="Calibri"/>
            <w:b w:val="0"/>
            <w:color w:val="000000"/>
            <w:sz w:val="22"/>
            <w:szCs w:val="22"/>
            <w:rtl w:val="0"/>
          </w:rPr>
          <w:t xml:space="preserve">Figure 4 DCR model of termination of relationship</w:t>
          <w:tab/>
        </w:r>
      </w:hyperlink>
      <w:hyperlink w:anchor="_Toc469422492">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49x2ik5">
        <w:r w:rsidDel="00000000" w:rsidR="00000000" w:rsidRPr="00000000">
          <w:rPr>
            <w:rFonts w:ascii="Calibri" w:cs="Calibri" w:eastAsia="Calibri" w:hAnsi="Calibri"/>
            <w:b w:val="0"/>
            <w:color w:val="000000"/>
            <w:sz w:val="22"/>
            <w:szCs w:val="22"/>
            <w:rtl w:val="0"/>
          </w:rPr>
          <w:t xml:space="preserve">Figure 5 DCR model of blocking request</w:t>
          <w:tab/>
        </w:r>
      </w:hyperlink>
      <w:hyperlink w:anchor="_Toc469422493">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3o7alnk">
        <w:r w:rsidDel="00000000" w:rsidR="00000000" w:rsidRPr="00000000">
          <w:rPr>
            <w:rFonts w:ascii="Calibri" w:cs="Calibri" w:eastAsia="Calibri" w:hAnsi="Calibri"/>
            <w:b w:val="0"/>
            <w:color w:val="000000"/>
            <w:sz w:val="22"/>
            <w:szCs w:val="22"/>
            <w:rtl w:val="0"/>
          </w:rPr>
          <w:t xml:space="preserve">Figure 6 DCR model of data </w:t>
        </w:r>
      </w:hyperlink>
      <w:hyperlink w:anchor="_3o7alnk">
        <w:r w:rsidDel="00000000" w:rsidR="00000000" w:rsidRPr="00000000">
          <w:rPr>
            <w:rtl w:val="0"/>
          </w:rPr>
          <w:t xml:space="preserve">portability</w:t>
        </w:r>
      </w:hyperlink>
      <w:hyperlink w:anchor="_3o7alnk">
        <w:r w:rsidDel="00000000" w:rsidR="00000000" w:rsidRPr="00000000">
          <w:rPr>
            <w:rFonts w:ascii="Calibri" w:cs="Calibri" w:eastAsia="Calibri" w:hAnsi="Calibri"/>
            <w:b w:val="0"/>
            <w:color w:val="000000"/>
            <w:sz w:val="22"/>
            <w:szCs w:val="22"/>
            <w:rtl w:val="0"/>
          </w:rPr>
          <w:t xml:space="preserve">, information modification and the right to be forgotten</w:t>
          <w:tab/>
        </w:r>
      </w:hyperlink>
      <w:hyperlink w:anchor="_Toc469422494">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ihv636">
        <w:r w:rsidDel="00000000" w:rsidR="00000000" w:rsidRPr="00000000">
          <w:rPr>
            <w:rFonts w:ascii="Calibri" w:cs="Calibri" w:eastAsia="Calibri" w:hAnsi="Calibri"/>
            <w:b w:val="0"/>
            <w:color w:val="000000"/>
            <w:sz w:val="22"/>
            <w:szCs w:val="22"/>
            <w:rtl w:val="0"/>
          </w:rPr>
          <w:t xml:space="preserve">Figure 7 DCR model of giving and withdrawing consent for opinion-research </w:t>
        </w:r>
      </w:hyperlink>
      <w:hyperlink w:anchor="_ihv636">
        <w:r w:rsidDel="00000000" w:rsidR="00000000" w:rsidRPr="00000000">
          <w:rPr>
            <w:rtl w:val="0"/>
          </w:rPr>
          <w:t xml:space="preserve">institutes</w:t>
        </w:r>
      </w:hyperlink>
      <w:hyperlink w:anchor="_ihv636">
        <w:r w:rsidDel="00000000" w:rsidR="00000000" w:rsidRPr="00000000">
          <w:rPr>
            <w:rFonts w:ascii="Calibri" w:cs="Calibri" w:eastAsia="Calibri" w:hAnsi="Calibri"/>
            <w:b w:val="0"/>
            <w:color w:val="000000"/>
            <w:sz w:val="22"/>
            <w:szCs w:val="22"/>
            <w:rtl w:val="0"/>
          </w:rPr>
          <w:tab/>
        </w:r>
      </w:hyperlink>
      <w:hyperlink w:anchor="_Toc469422495">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hmsyys">
        <w:r w:rsidDel="00000000" w:rsidR="00000000" w:rsidRPr="00000000">
          <w:rPr>
            <w:rFonts w:ascii="Calibri" w:cs="Calibri" w:eastAsia="Calibri" w:hAnsi="Calibri"/>
            <w:b w:val="0"/>
            <w:color w:val="000000"/>
            <w:sz w:val="22"/>
            <w:szCs w:val="22"/>
            <w:rtl w:val="0"/>
          </w:rPr>
          <w:t xml:space="preserve">Figure 8 DCR model of data breach; no </w:t>
        </w:r>
      </w:hyperlink>
      <w:hyperlink w:anchor="_1hmsyys">
        <w:r w:rsidDel="00000000" w:rsidR="00000000" w:rsidRPr="00000000">
          <w:rPr>
            <w:rtl w:val="0"/>
          </w:rPr>
          <w:t xml:space="preserve">subprocess</w:t>
        </w:r>
      </w:hyperlink>
      <w:hyperlink w:anchor="_1hmsyys">
        <w:r w:rsidDel="00000000" w:rsidR="00000000" w:rsidRPr="00000000">
          <w:rPr>
            <w:rFonts w:ascii="Calibri" w:cs="Calibri" w:eastAsia="Calibri" w:hAnsi="Calibri"/>
            <w:b w:val="0"/>
            <w:color w:val="000000"/>
            <w:sz w:val="22"/>
            <w:szCs w:val="22"/>
            <w:rtl w:val="0"/>
          </w:rPr>
          <w:t xml:space="preserve"> spawned</w:t>
          <w:tab/>
        </w:r>
      </w:hyperlink>
      <w:hyperlink w:anchor="_Toc469422496">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2grqrue">
        <w:r w:rsidDel="00000000" w:rsidR="00000000" w:rsidRPr="00000000">
          <w:rPr>
            <w:rFonts w:ascii="Calibri" w:cs="Calibri" w:eastAsia="Calibri" w:hAnsi="Calibri"/>
            <w:b w:val="0"/>
            <w:color w:val="000000"/>
            <w:sz w:val="22"/>
            <w:szCs w:val="22"/>
            <w:rtl w:val="0"/>
          </w:rPr>
          <w:t xml:space="preserve">Figure 9 DCR model of data breach; One sub-process is spawned</w:t>
          <w:tab/>
        </w:r>
      </w:hyperlink>
      <w:hyperlink w:anchor="_Toc469422497">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v1yuxt">
        <w:r w:rsidDel="00000000" w:rsidR="00000000" w:rsidRPr="00000000">
          <w:rPr>
            <w:rFonts w:ascii="Calibri" w:cs="Calibri" w:eastAsia="Calibri" w:hAnsi="Calibri"/>
            <w:b w:val="0"/>
            <w:color w:val="000000"/>
            <w:sz w:val="22"/>
            <w:szCs w:val="22"/>
            <w:rtl w:val="0"/>
          </w:rPr>
          <w:t xml:space="preserve">Figure 10 DCR model of giving consent for main purposes. The activities in group Mandatory are available</w:t>
          <w:tab/>
        </w:r>
      </w:hyperlink>
      <w:hyperlink w:anchor="_Toc469422498">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3tbugp1">
        <w:r w:rsidDel="00000000" w:rsidR="00000000" w:rsidRPr="00000000">
          <w:rPr>
            <w:rFonts w:ascii="Calibri" w:cs="Calibri" w:eastAsia="Calibri" w:hAnsi="Calibri"/>
            <w:b w:val="0"/>
            <w:color w:val="000000"/>
            <w:sz w:val="22"/>
            <w:szCs w:val="22"/>
            <w:rtl w:val="0"/>
          </w:rPr>
          <w:t xml:space="preserve">Figure 11 DCR model of giving consent for main purposes. The activities in group Mandatory are blocked</w:t>
          <w:tab/>
        </w:r>
      </w:hyperlink>
      <w:hyperlink w:anchor="_Toc469422499">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46r0co2">
        <w:r w:rsidDel="00000000" w:rsidR="00000000" w:rsidRPr="00000000">
          <w:rPr>
            <w:rFonts w:ascii="Calibri" w:cs="Calibri" w:eastAsia="Calibri" w:hAnsi="Calibri"/>
            <w:b w:val="0"/>
            <w:color w:val="000000"/>
            <w:sz w:val="22"/>
            <w:szCs w:val="22"/>
            <w:rtl w:val="0"/>
          </w:rPr>
          <w:t xml:space="preserve">Figure 12 DCR model of Data breach. Two sub-process are spawned</w:t>
          <w:tab/>
        </w:r>
      </w:hyperlink>
      <w:hyperlink w:anchor="_Toc469422500">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11kx3o">
        <w:r w:rsidDel="00000000" w:rsidR="00000000" w:rsidRPr="00000000">
          <w:rPr>
            <w:rFonts w:ascii="Calibri" w:cs="Calibri" w:eastAsia="Calibri" w:hAnsi="Calibri"/>
            <w:b w:val="0"/>
            <w:color w:val="000000"/>
            <w:sz w:val="22"/>
            <w:szCs w:val="22"/>
            <w:rtl w:val="0"/>
          </w:rPr>
          <w:t xml:space="preserve">Figure 13 DCR model of the entity Data breach. Two sub-processes are spawned with StartNotification added in the figure</w:t>
          <w:tab/>
        </w:r>
      </w:hyperlink>
      <w:hyperlink w:anchor="_Toc469422501">
        <w:r w:rsidDel="00000000" w:rsidR="00000000" w:rsidRPr="00000000">
          <w:rPr>
            <w:rtl w:val="0"/>
          </w:rPr>
        </w:r>
      </w:hyperlink>
    </w:p>
    <w:p w:rsidR="00000000" w:rsidDel="00000000" w:rsidP="00000000" w:rsidRDefault="00000000" w:rsidRPr="00000000">
      <w:pPr>
        <w:tabs>
          <w:tab w:val="right" w:pos="9062"/>
        </w:tabs>
        <w:spacing w:after="0" w:lineRule="auto"/>
        <w:contextualSpacing w:val="0"/>
        <w:jc w:val="both"/>
      </w:pPr>
      <w:hyperlink w:anchor="_Toc469422501">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Toc469422501">
        <w:r w:rsidDel="00000000" w:rsidR="00000000" w:rsidRPr="00000000">
          <w:rPr>
            <w:rtl w:val="0"/>
          </w:rPr>
        </w:r>
      </w:hyperlink>
    </w:p>
    <w:p w:rsidR="00000000" w:rsidDel="00000000" w:rsidP="00000000" w:rsidRDefault="00000000" w:rsidRPr="00000000">
      <w:pPr>
        <w:pStyle w:val="Heading1"/>
        <w:numPr>
          <w:ilvl w:val="0"/>
          <w:numId w:val="3"/>
        </w:numPr>
        <w:ind w:left="720" w:hanging="36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w:t>
      </w:r>
      <w:r w:rsidDel="00000000" w:rsidR="00000000" w:rsidRPr="00000000">
        <w:rPr>
          <w:rFonts w:ascii="Times New Roman" w:cs="Times New Roman" w:eastAsia="Times New Roman" w:hAnsi="Times New Roman"/>
          <w:sz w:val="24"/>
          <w:szCs w:val="24"/>
          <w:highlight w:val="red"/>
          <w:rtl w:val="0"/>
        </w:rPr>
        <w:t xml:space="preserve">raises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raise</w:t>
      </w:r>
      <w:r w:rsidDel="00000000" w:rsidR="00000000" w:rsidRPr="00000000">
        <w:rPr>
          <w:rFonts w:ascii="Times New Roman" w:cs="Times New Roman" w:eastAsia="Times New Roman" w:hAnsi="Times New Roman"/>
          <w:sz w:val="24"/>
          <w:szCs w:val="24"/>
          <w:rtl w:val="0"/>
        </w:rPr>
        <w:t xml:space="preserve"> many questions about how our data is processed and stored. More than 250 Million people now use the internet on a daily basis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information.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names, email addresses, dates of birth and telephone numbers of over 500 million people.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These problems related to their data worries many EU citizens. </w:t>
      </w:r>
      <w:r w:rsidDel="00000000" w:rsidR="00000000" w:rsidRPr="00000000">
        <w:rPr>
          <w:rFonts w:ascii="Times New Roman" w:cs="Times New Roman" w:eastAsia="Times New Roman" w:hAnsi="Times New Roman"/>
          <w:sz w:val="24"/>
          <w:szCs w:val="24"/>
          <w:highlight w:val="yellow"/>
          <w:rtl w:val="0"/>
        </w:rPr>
        <w:t xml:space="preserve">When </w:t>
      </w:r>
      <w:r w:rsidDel="00000000" w:rsidR="00000000" w:rsidRPr="00000000">
        <w:rPr>
          <w:rFonts w:ascii="Times New Roman" w:cs="Times New Roman" w:eastAsia="Times New Roman" w:hAnsi="Times New Roman"/>
          <w:sz w:val="24"/>
          <w:szCs w:val="24"/>
          <w:rtl w:val="0"/>
        </w:rPr>
        <w:t xml:space="preserve">asked 71% of Europeans said that they feel that there is no alternative other than to disclose personal information if they want to obtain products or services and only 15% feel they have complete control over the information they provide online; one in three people (31%) think they have no control over it at all. </w:t>
      </w:r>
      <w:r w:rsidDel="00000000" w:rsidR="00000000" w:rsidRPr="00000000">
        <w:rPr>
          <w:rFonts w:ascii="Times New Roman" w:cs="Times New Roman" w:eastAsia="Times New Roman" w:hAnsi="Times New Roman"/>
          <w:sz w:val="24"/>
          <w:szCs w:val="24"/>
          <w:highlight w:val="yellow"/>
          <w:rtl w:val="0"/>
        </w:rPr>
        <w:t xml:space="preserve">[reference]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That is why the European Commission has proposed as early as 2012 the General Data Protection Regulation (GDPR), which was adopted on the 27th of April 2016.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w:t>
      </w:r>
      <w:r w:rsidDel="00000000" w:rsidR="00000000" w:rsidRPr="00000000">
        <w:rPr>
          <w:rFonts w:ascii="Times New Roman" w:cs="Times New Roman" w:eastAsia="Times New Roman" w:hAnsi="Times New Roman"/>
          <w:sz w:val="24"/>
          <w:szCs w:val="24"/>
          <w:highlight w:val="red"/>
          <w:rtl w:val="0"/>
        </w:rPr>
        <w:t xml:space="preserve">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The GDPR</w:t>
      </w:r>
      <w:r w:rsidDel="00000000" w:rsidR="00000000" w:rsidRPr="00000000">
        <w:rPr>
          <w:rFonts w:ascii="Times New Roman" w:cs="Times New Roman" w:eastAsia="Times New Roman" w:hAnsi="Times New Roman"/>
          <w:sz w:val="24"/>
          <w:szCs w:val="24"/>
          <w:rtl w:val="0"/>
        </w:rPr>
        <w:t xml:space="preserve"> is a modernization and a harmonization of the actual data protection laws. It will take effect on the 28th of May 2018 and will replace the data protection directive (officially Directive 95/46/EC) from 1995.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are strict penalties for companies not complying to the laws, they vary from a simple written warning in case of first and unintentional noncompliance to different fines.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Data controllers have to ensure that personal data is "processed in a manner that ensures appropriate security of the personal data, including protection against unauthorized or unlawful processing and against accidental loss, destruction or damage, using appropriate technical or organizational measures". Data controllers can be fined to the height of 05% of their worldwide turnover (or 20 Million € whichever is greater).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contrast if data processors breach their statutory data security obligations, which requires them to "implement appropriate technical and organizational measures to ensure a level of security appropriate to the risk" of their personal data processing, then the most they could be fined is up 02% of their worldwide turnover (or 10 Million € whichever the greater). [11] </w:t>
      </w:r>
      <w:r w:rsidDel="00000000" w:rsidR="00000000" w:rsidRPr="00000000">
        <w:rPr>
          <w:rFonts w:ascii="Times New Roman" w:cs="Times New Roman" w:eastAsia="Times New Roman" w:hAnsi="Times New Roman"/>
          <w:sz w:val="24"/>
          <w:szCs w:val="24"/>
          <w:highlight w:val="yellow"/>
          <w:rtl w:val="0"/>
        </w:rPr>
        <w:t xml:space="preserve">[should be 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organisation acting in the public interest.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What we have tried to do in this project is taking a real company as an example to illustrate how the new regulation will affect its activity and the measures it will need to take in order to comply with the GDPR, this example is Rejsekort A/S. We have therefore found how they use their client’s data in a document released by them in 2014[6].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Rejsekort is an electronic ticket system for the public transportation in Denmark, it has recently completely replaced the old klippekort system. The system needs some personal data given by the users in order to function correctly. When a person registers as a new customer, </w:t>
      </w:r>
      <w:r w:rsidDel="00000000" w:rsidR="00000000" w:rsidRPr="00000000">
        <w:rPr>
          <w:rFonts w:ascii="Times New Roman" w:cs="Times New Roman" w:eastAsia="Times New Roman" w:hAnsi="Times New Roman"/>
          <w:sz w:val="24"/>
          <w:szCs w:val="24"/>
          <w:highlight w:val="yellow"/>
          <w:rtl w:val="0"/>
        </w:rPr>
        <w:t xml:space="preserve">they</w:t>
      </w:r>
      <w:r w:rsidDel="00000000" w:rsidR="00000000" w:rsidRPr="00000000">
        <w:rPr>
          <w:rFonts w:ascii="Times New Roman" w:cs="Times New Roman" w:eastAsia="Times New Roman" w:hAnsi="Times New Roman"/>
          <w:sz w:val="24"/>
          <w:szCs w:val="24"/>
          <w:rtl w:val="0"/>
        </w:rPr>
        <w:t xml:space="preserve">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r w:rsidDel="00000000" w:rsidR="00000000" w:rsidRPr="00000000">
        <w:rPr>
          <w:rtl w:val="0"/>
        </w:rPr>
      </w:r>
    </w:p>
    <w:p w:rsidR="00000000" w:rsidDel="00000000" w:rsidP="00000000" w:rsidRDefault="00000000" w:rsidRPr="00000000">
      <w:pPr>
        <w:pStyle w:val="Heading1"/>
        <w:numPr>
          <w:ilvl w:val="0"/>
          <w:numId w:val="3"/>
        </w:numPr>
        <w:ind w:left="720" w:hanging="360"/>
        <w:rPr/>
      </w:pPr>
      <w:bookmarkStart w:colFirst="0" w:colLast="0" w:name="_30j0zll" w:id="1"/>
      <w:bookmarkEnd w:id="1"/>
      <w:r w:rsidDel="00000000" w:rsidR="00000000" w:rsidRPr="00000000">
        <w:rPr>
          <w:rtl w:val="0"/>
        </w:rPr>
        <w:t xml:space="preserve">Details on GDPR &amp; DCR</w:t>
      </w:r>
    </w:p>
    <w:p w:rsidR="00000000" w:rsidDel="00000000" w:rsidP="00000000" w:rsidRDefault="00000000" w:rsidRPr="00000000">
      <w:pPr>
        <w:numPr>
          <w:ilvl w:val="1"/>
          <w:numId w:val="3"/>
        </w:numPr>
        <w:spacing w:after="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w:t>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One of the main points in the GDPR is that the controllers are required to get consent for the processing of the personal data for each purpose they will process it. The purpose should be explicit and unambiguous. The main idea is to give the data subject clear overview of what kind of data is collected and for what purposes. On the other hand, getting consent for each purpose gives the data subject flexibility not to give the consent for all the different ways the company wants to process his or her data, especially if it would not be an obstacle for the services provided by the controller. An example of this is the opinion research institutes which can get access to personal data for opinion surveys. The consent can also be withdrawn later.</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Another focus in the GDPR is that the collected data should be used only for the purposes for which they are collected. </w:t>
      </w:r>
      <w:r w:rsidDel="00000000" w:rsidR="00000000" w:rsidRPr="00000000">
        <w:rPr>
          <w:rFonts w:ascii="Times New Roman" w:cs="Times New Roman" w:eastAsia="Times New Roman" w:hAnsi="Times New Roman"/>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processing of data for other purposes is possible only if they are compatible, which would require further analysis. Using data for any other non-specified and non-compatible purposes would mean violation of the regulation law. [7, page 9, (50)] </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With the new regulation the controller is expected to require only a minimum set of personal data that are necessary for achievement of the purpose. Collecting unnecessary ones should be avoided. </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Collected data should be stored as long as it has a purpose. If the purposes are achieved and part/all of the collected data is no longer necessary, then they no longer should be kept.</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Before processing all the personal information should be accurate and up-to-date. [7]</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b w:val="1"/>
          <w:sz w:val="24"/>
          <w:szCs w:val="24"/>
          <w:highlight w:val="yellow"/>
          <w:rtl w:val="0"/>
        </w:rPr>
        <w:t xml:space="preserve">The data subject has the right not to be profiled</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 “1. The data subject shall have the right not to be subject to a decision based solely on automated processing, including profiling, which produces legal effects concerning him or her or similarly significantly affects him or her. … Paragraph 1 shall not apply if the decision … is based on the data subject's explicit consent.” [7, Article 22, paragraph 1,2]. As it is stated, the data subject can object to any automatic processing, including profiling, except the case, when the consent is given. Profiling could be used for price discrimination, targeted servicing or credit rating. the GDPR has the same requirements about profiling as Directive 94/46/EC with some minor amendment and the addition that profiling is possible if the consent is given.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red"/>
          <w:rtl w:val="0"/>
        </w:rPr>
        <w:t xml:space="preserve">Here are some concepts included in the GDPR that we have chosen not to cover explicitly in our model.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protection by design and default:</w:t>
      </w:r>
      <w:r w:rsidDel="00000000" w:rsidR="00000000" w:rsidRPr="00000000">
        <w:rPr>
          <w:rFonts w:ascii="Times New Roman" w:cs="Times New Roman" w:eastAsia="Times New Roman" w:hAnsi="Times New Roman"/>
          <w:sz w:val="24"/>
          <w:szCs w:val="24"/>
          <w:rtl w:val="0"/>
        </w:rPr>
        <w:t xml:space="preserve"> The protection of personal data has to be as much as possible designed into the system, turned on by default, and not left to the user to activate. It includes many different concepts such as data minimization, data pseudonymization and encryption.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minimization:</w:t>
      </w:r>
      <w:r w:rsidDel="00000000" w:rsidR="00000000" w:rsidRPr="00000000">
        <w:rPr>
          <w:rFonts w:ascii="Times New Roman" w:cs="Times New Roman" w:eastAsia="Times New Roman" w:hAnsi="Times New Roman"/>
          <w:sz w:val="24"/>
          <w:szCs w:val="24"/>
          <w:rtl w:val="0"/>
        </w:rPr>
        <w:t xml:space="preserve"> Is a concept stating that the company should not process more information that it actually needs to achieve the purpose for which the data was given by the data subject.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pseudonymization:</w:t>
      </w:r>
      <w:r w:rsidDel="00000000" w:rsidR="00000000" w:rsidRPr="00000000">
        <w:rPr>
          <w:rFonts w:ascii="Times New Roman" w:cs="Times New Roman" w:eastAsia="Times New Roman" w:hAnsi="Times New Roman"/>
          <w:sz w:val="24"/>
          <w:szCs w:val="24"/>
          <w:rtl w:val="0"/>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anonymization:</w:t>
      </w:r>
      <w:r w:rsidDel="00000000" w:rsidR="00000000" w:rsidRPr="00000000">
        <w:rPr>
          <w:rFonts w:ascii="Times New Roman" w:cs="Times New Roman" w:eastAsia="Times New Roman" w:hAnsi="Times New Roman"/>
          <w:sz w:val="24"/>
          <w:szCs w:val="24"/>
          <w:rtl w:val="0"/>
        </w:rPr>
        <w:t xml:space="preserve"> making the set of data in such way that no individual can be identified by any way, either by encrypting or removing personal identifiers.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Appoint a DPO:</w:t>
      </w:r>
      <w:r w:rsidDel="00000000" w:rsidR="00000000" w:rsidRPr="00000000">
        <w:rPr>
          <w:rFonts w:ascii="Times New Roman" w:cs="Times New Roman" w:eastAsia="Times New Roman" w:hAnsi="Times New Roman"/>
          <w:sz w:val="24"/>
          <w:szCs w:val="24"/>
          <w:rtl w:val="0"/>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processing of large data sets containing special categories of personal data such as ethnicity, religious or philosophical beliefs, also called sensitive personal data. It is however a good practice to appoint a person who is responsible for assessing the company’s processing of personal data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the right to not be profiled</w:t>
      </w:r>
      <w:r w:rsidDel="00000000" w:rsidR="00000000" w:rsidRPr="00000000">
        <w:rPr>
          <w:rFonts w:ascii="Times New Roman" w:cs="Times New Roman" w:eastAsia="Times New Roman" w:hAnsi="Times New Roman"/>
          <w:sz w:val="24"/>
          <w:szCs w:val="24"/>
          <w:rtl w:val="0"/>
        </w:rPr>
        <w:t xml:space="preserve"> that is explained earlier in this section.</w:t>
      </w: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DCR </w:t>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Here, we will represent and describe in more details DCR graphs that we used to model our process. DCR (Dynamic Condition Response) graph is a declarative, constraint-based business process modeling language. In the declarative languages like DCR all the flows in a process are implicitly defined, based on the constraints between the events. The number of the flows is restricted only by these constraints. [3]</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DCR graph is a directed graph, where the nodes, drawn like boxes, represent the events, or activities, and the arrows </w:t>
      </w:r>
      <w:r w:rsidDel="00000000" w:rsidR="00000000" w:rsidRPr="00000000">
        <w:rPr>
          <w:rFonts w:ascii="Times New Roman" w:cs="Times New Roman" w:eastAsia="Times New Roman" w:hAnsi="Times New Roman"/>
          <w:sz w:val="24"/>
          <w:szCs w:val="24"/>
          <w:highlight w:val="yellow"/>
          <w:rtl w:val="0"/>
        </w:rPr>
        <w:t xml:space="preserve">represents</w:t>
      </w:r>
      <w:r w:rsidDel="00000000" w:rsidR="00000000" w:rsidRPr="00000000">
        <w:rPr>
          <w:rFonts w:ascii="Times New Roman" w:cs="Times New Roman" w:eastAsia="Times New Roman" w:hAnsi="Times New Roman"/>
          <w:sz w:val="24"/>
          <w:szCs w:val="24"/>
          <w:rtl w:val="0"/>
        </w:rPr>
        <w:t xml:space="preserve"> the relations between the events. The representation of any process using DCR notations is simply called graph. Each DCR graph represents a process, which includes at least one 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activities play a main role in DCR graphs, they represent an action to be done. They are connected by one or more edges, which represent the constraints between them. Each activity allows nesting, explained later in this section. An activity can be in one of three states – executed, pending or included/excluded and it could be only in one state at a time. Details and graphical representation of the activities and their states is given in table X </w:t>
      </w:r>
      <w:r w:rsidDel="00000000" w:rsidR="00000000" w:rsidRPr="00000000">
        <w:rPr>
          <w:rFonts w:ascii="Times New Roman" w:cs="Times New Roman" w:eastAsia="Times New Roman" w:hAnsi="Times New Roman"/>
          <w:sz w:val="24"/>
          <w:szCs w:val="24"/>
          <w:highlight w:val="yellow"/>
          <w:rtl w:val="0"/>
        </w:rPr>
        <w:t xml:space="preserve">[not 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are 4 </w:t>
      </w:r>
      <w:r w:rsidDel="00000000" w:rsidR="00000000" w:rsidRPr="00000000">
        <w:rPr>
          <w:rFonts w:ascii="Times New Roman" w:cs="Times New Roman" w:eastAsia="Times New Roman" w:hAnsi="Times New Roman"/>
          <w:i w:val="1"/>
          <w:sz w:val="24"/>
          <w:szCs w:val="24"/>
          <w:rtl w:val="0"/>
        </w:rPr>
        <w:t xml:space="preserve">relations</w:t>
      </w:r>
      <w:r w:rsidDel="00000000" w:rsidR="00000000" w:rsidRPr="00000000">
        <w:rPr>
          <w:rFonts w:ascii="Times New Roman" w:cs="Times New Roman" w:eastAsia="Times New Roman" w:hAnsi="Times New Roman"/>
          <w:sz w:val="24"/>
          <w:szCs w:val="24"/>
          <w:rtl w:val="0"/>
        </w:rPr>
        <w:t xml:space="preserve"> between activities defined in the first version of DCR graph – condition, response, inclusion, exclusion [2]. The relation starts from an activity and ends in another activity or in the </w:t>
      </w:r>
      <w:r w:rsidDel="00000000" w:rsidR="00000000" w:rsidRPr="00000000">
        <w:rPr>
          <w:rFonts w:ascii="Times New Roman" w:cs="Times New Roman" w:eastAsia="Times New Roman" w:hAnsi="Times New Roman"/>
          <w:sz w:val="24"/>
          <w:szCs w:val="24"/>
          <w:highlight w:val="red"/>
          <w:rtl w:val="0"/>
        </w:rPr>
        <w:t xml:space="preserve">same one </w:t>
      </w:r>
      <w:r w:rsidDel="00000000" w:rsidR="00000000" w:rsidRPr="00000000">
        <w:rPr>
          <w:rFonts w:ascii="Times New Roman" w:cs="Times New Roman" w:eastAsia="Times New Roman" w:hAnsi="Times New Roman"/>
          <w:sz w:val="24"/>
          <w:szCs w:val="24"/>
          <w:highlight w:val="yellow"/>
          <w:rtl w:val="0"/>
        </w:rPr>
        <w:t xml:space="preserve">in the activity itself</w:t>
      </w:r>
      <w:r w:rsidDel="00000000" w:rsidR="00000000" w:rsidRPr="00000000">
        <w:rPr>
          <w:rFonts w:ascii="Times New Roman" w:cs="Times New Roman" w:eastAsia="Times New Roman" w:hAnsi="Times New Roman"/>
          <w:sz w:val="24"/>
          <w:szCs w:val="24"/>
          <w:rtl w:val="0"/>
        </w:rPr>
        <w:t xml:space="preserve">. Later the graph is extended with the notion of milestone. To explain the meaning of the relations we will use the </w:t>
      </w:r>
      <w:r w:rsidDel="00000000" w:rsidR="00000000" w:rsidRPr="00000000">
        <w:rPr>
          <w:rFonts w:ascii="Times New Roman" w:cs="Times New Roman" w:eastAsia="Times New Roman" w:hAnsi="Times New Roman"/>
          <w:sz w:val="24"/>
          <w:szCs w:val="24"/>
          <w:highlight w:val="red"/>
          <w:rtl w:val="0"/>
        </w:rPr>
        <w:t xml:space="preserve">notion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notation</w:t>
      </w:r>
      <w:r w:rsidDel="00000000" w:rsidR="00000000" w:rsidRPr="00000000">
        <w:rPr>
          <w:rFonts w:ascii="Times New Roman" w:cs="Times New Roman" w:eastAsia="Times New Roman" w:hAnsi="Times New Roman"/>
          <w:sz w:val="24"/>
          <w:szCs w:val="24"/>
          <w:rtl w:val="0"/>
        </w:rPr>
        <w:t xml:space="preserve"> of DCR Workbench for simplicity. The graphical representation of the relations can be seen in table X </w:t>
      </w:r>
      <w:r w:rsidDel="00000000" w:rsidR="00000000" w:rsidRPr="00000000">
        <w:rPr>
          <w:rFonts w:ascii="Times New Roman" w:cs="Times New Roman" w:eastAsia="Times New Roman" w:hAnsi="Times New Roman"/>
          <w:sz w:val="24"/>
          <w:szCs w:val="24"/>
          <w:highlight w:val="yellow"/>
          <w:rtl w:val="0"/>
        </w:rPr>
        <w:t xml:space="preserve">maybe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condition A -[k]-&gt;* B represents the constraint that for event B to happen, A should be executed at least k steps before B [5]. When there is no requirement for numbers of the steps, then this condition can be represented in the following format: A --&gt;* B. If A is excluded, then A is no longer requirement for B, </w:t>
      </w:r>
      <w:r w:rsidDel="00000000" w:rsidR="00000000" w:rsidRPr="00000000">
        <w:rPr>
          <w:rFonts w:ascii="Times New Roman" w:cs="Times New Roman" w:eastAsia="Times New Roman" w:hAnsi="Times New Roman"/>
          <w:sz w:val="24"/>
          <w:szCs w:val="24"/>
          <w:highlight w:val="red"/>
          <w:rtl w:val="0"/>
        </w:rPr>
        <w:t xml:space="preserve">neither the requirement for the steps is valid</w:t>
      </w:r>
      <w:r w:rsidDel="00000000" w:rsidR="00000000" w:rsidRPr="00000000">
        <w:rPr>
          <w:rFonts w:ascii="Times New Roman" w:cs="Times New Roman" w:eastAsia="Times New Roman" w:hAnsi="Times New Roman"/>
          <w:sz w:val="24"/>
          <w:szCs w:val="24"/>
          <w:rtl w:val="0"/>
        </w:rPr>
        <w:t xml:space="preserve">. After re-inclusion of A, the number of the steps will not be reset to k.</w:t>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response A *-[d]-&gt; B sets an effect that when A happens, B becomes </w:t>
      </w:r>
      <w:r w:rsidDel="00000000" w:rsidR="00000000" w:rsidRPr="00000000">
        <w:rPr>
          <w:rFonts w:ascii="Times New Roman" w:cs="Times New Roman" w:eastAsia="Times New Roman" w:hAnsi="Times New Roman"/>
          <w:sz w:val="24"/>
          <w:szCs w:val="24"/>
          <w:highlight w:val="red"/>
          <w:rtl w:val="0"/>
        </w:rPr>
        <w:t xml:space="preserve">obligated</w:t>
      </w:r>
      <w:r w:rsidDel="00000000" w:rsidR="00000000" w:rsidRPr="00000000">
        <w:rPr>
          <w:rFonts w:ascii="Times New Roman" w:cs="Times New Roman" w:eastAsia="Times New Roman" w:hAnsi="Times New Roman"/>
          <w:sz w:val="24"/>
          <w:szCs w:val="24"/>
          <w:rtl w:val="0"/>
        </w:rPr>
        <w:t xml:space="preserve"> (pending) and should happen at last d steps after the execution of A [5]. Here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imposes fixed deadline, but in its absence the event B is obligated to </w:t>
      </w:r>
      <w:r w:rsidDel="00000000" w:rsidR="00000000" w:rsidRPr="00000000">
        <w:rPr>
          <w:rFonts w:ascii="Times New Roman" w:cs="Times New Roman" w:eastAsia="Times New Roman" w:hAnsi="Times New Roman"/>
          <w:sz w:val="24"/>
          <w:szCs w:val="24"/>
          <w:highlight w:val="red"/>
          <w:rtl w:val="0"/>
        </w:rPr>
        <w:t xml:space="preserve">happened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happen</w:t>
      </w:r>
      <w:r w:rsidDel="00000000" w:rsidR="00000000" w:rsidRPr="00000000">
        <w:rPr>
          <w:rFonts w:ascii="Times New Roman" w:cs="Times New Roman" w:eastAsia="Times New Roman" w:hAnsi="Times New Roman"/>
          <w:sz w:val="24"/>
          <w:szCs w:val="24"/>
          <w:rtl w:val="0"/>
        </w:rPr>
        <w:t xml:space="preserve"> eventually, without any concrete deadline. It the case of the latter the relation could </w:t>
      </w:r>
      <w:r w:rsidDel="00000000" w:rsidR="00000000" w:rsidRPr="00000000">
        <w:rPr>
          <w:rFonts w:ascii="Times New Roman" w:cs="Times New Roman" w:eastAsia="Times New Roman" w:hAnsi="Times New Roman"/>
          <w:sz w:val="24"/>
          <w:szCs w:val="24"/>
          <w:highlight w:val="red"/>
          <w:rtl w:val="0"/>
        </w:rPr>
        <w:t xml:space="preserve">represented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be represented</w:t>
      </w:r>
      <w:r w:rsidDel="00000000" w:rsidR="00000000" w:rsidRPr="00000000">
        <w:rPr>
          <w:rFonts w:ascii="Times New Roman" w:cs="Times New Roman" w:eastAsia="Times New Roman" w:hAnsi="Times New Roman"/>
          <w:sz w:val="24"/>
          <w:szCs w:val="24"/>
          <w:rtl w:val="0"/>
        </w:rPr>
        <w:t xml:space="preserve"> as follow: A *--&gt; B. The deadline can’t be zero i.e. can’t happen immediately.</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An exclusion A --% B is an effect that when A happens, B is excluded and can’t be executed [5]. When B is excluded, it is no longer condition. If B was a pending obligation before exclusion, it need not happen after exclusion, unless </w:t>
      </w:r>
      <w:r w:rsidDel="00000000" w:rsidR="00000000" w:rsidRPr="00000000">
        <w:rPr>
          <w:rFonts w:ascii="Times New Roman" w:cs="Times New Roman" w:eastAsia="Times New Roman" w:hAnsi="Times New Roman"/>
          <w:sz w:val="24"/>
          <w:szCs w:val="24"/>
          <w:highlight w:val="red"/>
          <w:rtl w:val="0"/>
        </w:rPr>
        <w:t xml:space="preserve">not</w:t>
      </w:r>
      <w:r w:rsidDel="00000000" w:rsidR="00000000" w:rsidRPr="00000000">
        <w:rPr>
          <w:rFonts w:ascii="Times New Roman" w:cs="Times New Roman" w:eastAsia="Times New Roman" w:hAnsi="Times New Roman"/>
          <w:sz w:val="24"/>
          <w:szCs w:val="24"/>
          <w:rtl w:val="0"/>
        </w:rPr>
        <w:t xml:space="preserve"> re-included.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An inclusion A--+ B is an effect that when A happens, B is </w:t>
      </w:r>
      <w:r w:rsidDel="00000000" w:rsidR="00000000" w:rsidRPr="00000000">
        <w:rPr>
          <w:rFonts w:ascii="Times New Roman" w:cs="Times New Roman" w:eastAsia="Times New Roman" w:hAnsi="Times New Roman"/>
          <w:sz w:val="24"/>
          <w:szCs w:val="24"/>
          <w:highlight w:val="red"/>
          <w:rtl w:val="0"/>
        </w:rPr>
        <w:t xml:space="preserve">re</w:t>
      </w:r>
      <w:r w:rsidDel="00000000" w:rsidR="00000000" w:rsidRPr="00000000">
        <w:rPr>
          <w:rFonts w:ascii="Times New Roman" w:cs="Times New Roman" w:eastAsia="Times New Roman" w:hAnsi="Times New Roman"/>
          <w:sz w:val="24"/>
          <w:szCs w:val="24"/>
          <w:rtl w:val="0"/>
        </w:rPr>
        <w:t xml:space="preserve">-included. Now B can be executed. If B is condition for another activity, after re-inclusion it becomes valid.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A milestone A --&lt;&gt; B is a constraint that for event B to happen A should be not pending or excluded [5]. So If A is included, but not pending, B can also happen.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is one more relation called “s</w:t>
      </w:r>
      <w:r w:rsidDel="00000000" w:rsidR="00000000" w:rsidRPr="00000000">
        <w:rPr>
          <w:rFonts w:ascii="Times New Roman" w:cs="Times New Roman" w:eastAsia="Times New Roman" w:hAnsi="Times New Roman"/>
          <w:i w:val="1"/>
          <w:sz w:val="24"/>
          <w:szCs w:val="24"/>
          <w:rtl w:val="0"/>
        </w:rPr>
        <w:t xml:space="preserve">pawn</w:t>
      </w:r>
      <w:r w:rsidDel="00000000" w:rsidR="00000000" w:rsidRPr="00000000">
        <w:rPr>
          <w:rFonts w:ascii="Times New Roman" w:cs="Times New Roman" w:eastAsia="Times New Roman" w:hAnsi="Times New Roman"/>
          <w:sz w:val="24"/>
          <w:szCs w:val="24"/>
          <w:rtl w:val="0"/>
        </w:rPr>
        <w:t xml:space="preserve">”, but unlike the other five relations it specifies creation of sub-process than setting a constraint. The spawn relation is only possible between an activity and a sub-process, but not between two activities or to the same 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Graphs allow assigning a </w:t>
      </w:r>
      <w:r w:rsidDel="00000000" w:rsidR="00000000" w:rsidRPr="00000000">
        <w:rPr>
          <w:rFonts w:ascii="Times New Roman" w:cs="Times New Roman" w:eastAsia="Times New Roman" w:hAnsi="Times New Roman"/>
          <w:i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to the events, so that the actors, responsible for execution of an event, can be noted.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 xml:space="preserve">Nesting/Grouping</w:t>
      </w:r>
      <w:r w:rsidDel="00000000" w:rsidR="00000000" w:rsidRPr="00000000">
        <w:rPr>
          <w:rFonts w:ascii="Times New Roman" w:cs="Times New Roman" w:eastAsia="Times New Roman" w:hAnsi="Times New Roman"/>
          <w:sz w:val="24"/>
          <w:szCs w:val="24"/>
          <w:rtl w:val="0"/>
        </w:rPr>
        <w:t xml:space="preserve"> of the activities is added in one of the later extensions. The nesting represents grouping a set of related events, such that the relation from an event to the nesting node is valid to all grouped events.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 notion of </w:t>
      </w:r>
      <w:r w:rsidDel="00000000" w:rsidR="00000000" w:rsidRPr="00000000">
        <w:rPr>
          <w:rFonts w:ascii="Times New Roman" w:cs="Times New Roman" w:eastAsia="Times New Roman" w:hAnsi="Times New Roman"/>
          <w:i w:val="1"/>
          <w:sz w:val="24"/>
          <w:szCs w:val="24"/>
          <w:rtl w:val="0"/>
        </w:rPr>
        <w:t xml:space="preserve">spawned sub-processes</w:t>
      </w:r>
      <w:r w:rsidDel="00000000" w:rsidR="00000000" w:rsidRPr="00000000">
        <w:rPr>
          <w:rFonts w:ascii="Times New Roman" w:cs="Times New Roman" w:eastAsia="Times New Roman" w:hAnsi="Times New Roman"/>
          <w:sz w:val="24"/>
          <w:szCs w:val="24"/>
          <w:rtl w:val="0"/>
        </w:rPr>
        <w:t xml:space="preserve"> is one of the other extensions to the DCR graph. A DCR graph represents a business process, but each process can include sub-processes. Every sub-process can be either:</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 single-instance sub process, meaning a process embedded in the main process, or</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 multi-instance sub process, that can be spawned to run independently of the main process [4]. </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The graphical representation of the activities in the two tools - the visual tool and DCR workbench - and more details are available in </w:t>
      </w:r>
      <w:r w:rsidDel="00000000" w:rsidR="00000000" w:rsidRPr="00000000">
        <w:rPr>
          <w:rtl w:val="0"/>
        </w:rPr>
        <w:t xml:space="preserve">Table 1</w:t>
      </w:r>
      <w:r w:rsidDel="00000000" w:rsidR="00000000" w:rsidRPr="00000000">
        <w:rPr>
          <w:rFonts w:ascii="Times New Roman" w:cs="Times New Roman" w:eastAsia="Times New Roman" w:hAnsi="Times New Roman"/>
          <w:sz w:val="24"/>
          <w:szCs w:val="24"/>
          <w:rtl w:val="0"/>
        </w:rPr>
        <w:t xml:space="preserve"> below. </w:t>
      </w:r>
      <w:bookmarkStart w:colFirst="0" w:colLast="0" w:name="3znysh7" w:id="2"/>
      <w:bookmarkEnd w:id="2"/>
      <w:r w:rsidDel="00000000" w:rsidR="00000000" w:rsidRPr="00000000">
        <w:rPr>
          <w:rtl w:val="0"/>
        </w:rPr>
      </w:r>
    </w:p>
    <w:p w:rsidR="00000000" w:rsidDel="00000000" w:rsidP="00000000" w:rsidRDefault="00000000" w:rsidRPr="00000000">
      <w:pPr>
        <w:keepNext w:val="1"/>
        <w:spacing w:after="200" w:before="0" w:line="240" w:lineRule="auto"/>
        <w:contextualSpacing w:val="0"/>
      </w:pPr>
      <w:bookmarkStart w:colFirst="0" w:colLast="0" w:name="_tyjcwt" w:id="5"/>
      <w:bookmarkEnd w:id="5"/>
      <w:bookmarkStart w:colFirst="0" w:colLast="0" w:name="2et92p0" w:id="4"/>
      <w:bookmarkEnd w:id="4"/>
      <w:r w:rsidDel="00000000" w:rsidR="00000000" w:rsidRPr="00000000">
        <w:rPr>
          <w:rFonts w:ascii="Calibri" w:cs="Calibri" w:eastAsia="Calibri" w:hAnsi="Calibri"/>
          <w:b w:val="0"/>
          <w:i w:val="1"/>
          <w:color w:val="44546a"/>
          <w:sz w:val="18"/>
          <w:szCs w:val="18"/>
          <w:rtl w:val="0"/>
        </w:rPr>
        <w:t xml:space="preserve">Table 1 Graphical representation of activities</w:t>
      </w:r>
      <w:r w:rsidDel="00000000" w:rsidR="00000000" w:rsidRPr="00000000">
        <w:rPr>
          <w:rtl w:val="0"/>
        </w:rPr>
      </w:r>
    </w:p>
    <w:tbl>
      <w:tblPr>
        <w:tblStyle w:val="Table1"/>
        <w:bidiVisual w:val="0"/>
        <w:tblW w:w="963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6"/>
        <w:gridCol w:w="1896"/>
        <w:gridCol w:w="2209"/>
        <w:gridCol w:w="3283"/>
        <w:tblGridChange w:id="0">
          <w:tblGrid>
            <w:gridCol w:w="2246"/>
            <w:gridCol w:w="1896"/>
            <w:gridCol w:w="2209"/>
            <w:gridCol w:w="3283"/>
          </w:tblGrid>
        </w:tblGridChange>
      </w:tblGrid>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 workbench </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DCR.net visual tool</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 workbench, code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included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754380" cy="533400"/>
                  <wp:effectExtent b="0" l="0" r="0" t="0"/>
                  <wp:docPr descr="D:\ITU_edu\2sem\Critical Systems Project\DCR\pictures\Activity_itu.PNG" id="20" name="image51.png"/>
                  <a:graphic>
                    <a:graphicData uri="http://schemas.openxmlformats.org/drawingml/2006/picture">
                      <pic:pic>
                        <pic:nvPicPr>
                          <pic:cNvPr descr="D:\ITU_edu\2sem\Critical Systems Project\DCR\pictures\Activity_itu.PNG" id="0" name="image51.png"/>
                          <pic:cNvPicPr preferRelativeResize="0"/>
                        </pic:nvPicPr>
                        <pic:blipFill>
                          <a:blip r:embed="rId5"/>
                          <a:srcRect b="0" l="0" r="0" t="0"/>
                          <a:stretch>
                            <a:fillRect/>
                          </a:stretch>
                        </pic:blipFill>
                        <pic:spPr>
                          <a:xfrm>
                            <a:off x="0" y="0"/>
                            <a:ext cx="754380" cy="533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939873" cy="1184349"/>
                  <wp:effectExtent b="0" l="0" r="0" t="0"/>
                  <wp:docPr descr="D:\ITU_edu\2sem\Critical Systems Project\DCR\pictures\Activity.PNG" id="22" name="image53.png"/>
                  <a:graphic>
                    <a:graphicData uri="http://schemas.openxmlformats.org/drawingml/2006/picture">
                      <pic:pic>
                        <pic:nvPicPr>
                          <pic:cNvPr descr="D:\ITU_edu\2sem\Critical Systems Project\DCR\pictures\Activity.PNG" id="0" name="image53.png"/>
                          <pic:cNvPicPr preferRelativeResize="0"/>
                        </pic:nvPicPr>
                        <pic:blipFill>
                          <a:blip r:embed="rId6"/>
                          <a:srcRect b="0" l="0" r="0" t="0"/>
                          <a:stretch>
                            <a:fillRect/>
                          </a:stretch>
                        </pic:blipFill>
                        <pic:spPr>
                          <a:xfrm>
                            <a:off x="0" y="0"/>
                            <a:ext cx="939873" cy="1184349"/>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can be executed only if it is included and the constraints like condition and milestone are fulfilled. When added the activity is included by default. In the visual tool, this state can set by check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excluded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706259" cy="487829"/>
                  <wp:effectExtent b="0" l="0" r="0" t="0"/>
                  <wp:docPr descr="D:\ITU_edu\2sem\Critical Systems Project\DCR\pictures\Activity_excl_itu.PNG" id="21" name="image52.png"/>
                  <a:graphic>
                    <a:graphicData uri="http://schemas.openxmlformats.org/drawingml/2006/picture">
                      <pic:pic>
                        <pic:nvPicPr>
                          <pic:cNvPr descr="D:\ITU_edu\2sem\Critical Systems Project\DCR\pictures\Activity_excl_itu.PNG" id="0" name="image52.png"/>
                          <pic:cNvPicPr preferRelativeResize="0"/>
                        </pic:nvPicPr>
                        <pic:blipFill>
                          <a:blip r:embed="rId7"/>
                          <a:srcRect b="0" l="0" r="0" t="0"/>
                          <a:stretch>
                            <a:fillRect/>
                          </a:stretch>
                        </pic:blipFill>
                        <pic:spPr>
                          <a:xfrm>
                            <a:off x="0" y="0"/>
                            <a:ext cx="706259" cy="487829"/>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911295" cy="1098082"/>
                  <wp:effectExtent b="0" l="0" r="0" t="0"/>
                  <wp:docPr descr="D:\ITU_edu\2sem\Critical Systems Project\DCR\pictures\Activity_excluded.PNG" id="24" name="image55.png"/>
                  <a:graphic>
                    <a:graphicData uri="http://schemas.openxmlformats.org/drawingml/2006/picture">
                      <pic:pic>
                        <pic:nvPicPr>
                          <pic:cNvPr descr="D:\ITU_edu\2sem\Critical Systems Project\DCR\pictures\Activity_excluded.PNG" id="0" name="image55.png"/>
                          <pic:cNvPicPr preferRelativeResize="0"/>
                        </pic:nvPicPr>
                        <pic:blipFill>
                          <a:blip r:embed="rId8"/>
                          <a:srcRect b="0" l="0" r="0" t="0"/>
                          <a:stretch>
                            <a:fillRect/>
                          </a:stretch>
                        </pic:blipFill>
                        <pic:spPr>
                          <a:xfrm>
                            <a:off x="0" y="0"/>
                            <a:ext cx="911295" cy="1098082"/>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After exclusion, an activity will be again available to be executed, when it is included. Exclusion of an activity affects the relation going out from that activity. If the activity is a condition for another, after exclusion it is no longer valid. The same is valid for milestone.</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Activity; Pending</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769620" cy="510540"/>
                  <wp:effectExtent b="0" l="0" r="0" t="0"/>
                  <wp:docPr descr="D:\ITU_edu\2sem\Critical Systems Project\DCR\pictures\Activity_pending_itu.PNG" id="23" name="image54.png"/>
                  <a:graphic>
                    <a:graphicData uri="http://schemas.openxmlformats.org/drawingml/2006/picture">
                      <pic:pic>
                        <pic:nvPicPr>
                          <pic:cNvPr descr="D:\ITU_edu\2sem\Critical Systems Project\DCR\pictures\Activity_pending_itu.PNG" id="0" name="image54.png"/>
                          <pic:cNvPicPr preferRelativeResize="0"/>
                        </pic:nvPicPr>
                        <pic:blipFill>
                          <a:blip r:embed="rId9"/>
                          <a:srcRect b="0" l="0" r="0" t="0"/>
                          <a:stretch>
                            <a:fillRect/>
                          </a:stretch>
                        </pic:blipFill>
                        <pic:spPr>
                          <a:xfrm>
                            <a:off x="0" y="0"/>
                            <a:ext cx="769620" cy="51054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874222" cy="1101620"/>
                  <wp:effectExtent b="0" l="0" r="0" t="0"/>
                  <wp:docPr descr="D:\ITU_edu\2sem\Critical Systems Project\DCR\pictures\Activity_pend.png" id="26" name="image57.png"/>
                  <a:graphic>
                    <a:graphicData uri="http://schemas.openxmlformats.org/drawingml/2006/picture">
                      <pic:pic>
                        <pic:nvPicPr>
                          <pic:cNvPr descr="D:\ITU_edu\2sem\Critical Systems Project\DCR\pictures\Activity_pend.png" id="0" name="image57.png"/>
                          <pic:cNvPicPr preferRelativeResize="0"/>
                        </pic:nvPicPr>
                        <pic:blipFill>
                          <a:blip r:embed="rId10"/>
                          <a:srcRect b="0" l="0" r="0" t="0"/>
                          <a:stretch>
                            <a:fillRect/>
                          </a:stretch>
                        </pic:blipFill>
                        <pic:spPr>
                          <a:xfrm>
                            <a:off x="0" y="0"/>
                            <a:ext cx="874222" cy="11016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 activity will occur in pending state after another activity has executed and there is response relation between them. The pending activity is expected at some point to be executed, but the execution is no longer required if it is excluded in meanwhile. </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Activity; executed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861060" cy="541020"/>
                  <wp:effectExtent b="0" l="0" r="0" t="0"/>
                  <wp:docPr descr="D:\ITU_edu\2sem\Critical Systems Project\DCR\pictures\Activity_executed_itu.png" id="25" name="image56.png"/>
                  <a:graphic>
                    <a:graphicData uri="http://schemas.openxmlformats.org/drawingml/2006/picture">
                      <pic:pic>
                        <pic:nvPicPr>
                          <pic:cNvPr descr="D:\ITU_edu\2sem\Critical Systems Project\DCR\pictures\Activity_executed_itu.png" id="0" name="image56.png"/>
                          <pic:cNvPicPr preferRelativeResize="0"/>
                        </pic:nvPicPr>
                        <pic:blipFill>
                          <a:blip r:embed="rId11"/>
                          <a:srcRect b="0" l="0" r="0" t="0"/>
                          <a:stretch>
                            <a:fillRect/>
                          </a:stretch>
                        </pic:blipFill>
                        <pic:spPr>
                          <a:xfrm>
                            <a:off x="0" y="0"/>
                            <a:ext cx="861060" cy="5410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972553" cy="1225528"/>
                  <wp:effectExtent b="0" l="0" r="0" t="0"/>
                  <wp:docPr descr="D:\ITU_edu\2sem\Critical Systems Project\DCR\pictures\Activity_executed.png" id="28" name="image60.png"/>
                  <a:graphic>
                    <a:graphicData uri="http://schemas.openxmlformats.org/drawingml/2006/picture">
                      <pic:pic>
                        <pic:nvPicPr>
                          <pic:cNvPr descr="D:\ITU_edu\2sem\Critical Systems Project\DCR\pictures\Activity_executed.png" id="0" name="image60.png"/>
                          <pic:cNvPicPr preferRelativeResize="0"/>
                        </pic:nvPicPr>
                        <pic:blipFill>
                          <a:blip r:embed="rId12"/>
                          <a:srcRect b="0" l="0" r="0" t="0"/>
                          <a:stretch>
                            <a:fillRect/>
                          </a:stretch>
                        </pic:blipFill>
                        <pic:spPr>
                          <a:xfrm>
                            <a:off x="0" y="0"/>
                            <a:ext cx="972553" cy="1225528"/>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 activity could be executed several times except it has an exclusion relation to itself. It this case it will be excluded after the first execution. </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Nesting/Grouping</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656905" cy="801196"/>
                  <wp:effectExtent b="0" l="0" r="0" t="0"/>
                  <wp:docPr descr="D:\ITU_edu\2sem\Critical Systems Project\DCR\pictures\Group_itu.PNG" id="27" name="image58.png"/>
                  <a:graphic>
                    <a:graphicData uri="http://schemas.openxmlformats.org/drawingml/2006/picture">
                      <pic:pic>
                        <pic:nvPicPr>
                          <pic:cNvPr descr="D:\ITU_edu\2sem\Critical Systems Project\DCR\pictures\Group_itu.PNG" id="0" name="image58.png"/>
                          <pic:cNvPicPr preferRelativeResize="0"/>
                        </pic:nvPicPr>
                        <pic:blipFill>
                          <a:blip r:embed="rId13"/>
                          <a:srcRect b="0" l="0" r="0" t="0"/>
                          <a:stretch>
                            <a:fillRect/>
                          </a:stretch>
                        </pic:blipFill>
                        <pic:spPr>
                          <a:xfrm>
                            <a:off x="0" y="0"/>
                            <a:ext cx="656905" cy="801196"/>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1070867" cy="1192097"/>
                  <wp:effectExtent b="0" l="0" r="0" t="0"/>
                  <wp:docPr descr="D:\ITU_edu\2sem\Critical Systems Project\DCR\pictures\Nesting.PNG" id="31" name="image66.png"/>
                  <a:graphic>
                    <a:graphicData uri="http://schemas.openxmlformats.org/drawingml/2006/picture">
                      <pic:pic>
                        <pic:nvPicPr>
                          <pic:cNvPr descr="D:\ITU_edu\2sem\Critical Systems Project\DCR\pictures\Nesting.PNG" id="0" name="image66.png"/>
                          <pic:cNvPicPr preferRelativeResize="0"/>
                        </pic:nvPicPr>
                        <pic:blipFill>
                          <a:blip r:embed="rId14"/>
                          <a:srcRect b="0" l="0" r="0" t="0"/>
                          <a:stretch>
                            <a:fillRect/>
                          </a:stretch>
                        </pic:blipFill>
                        <pic:spPr>
                          <a:xfrm>
                            <a:off x="0" y="0"/>
                            <a:ext cx="1070867" cy="1192097"/>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Group “Group name”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Grouping in DCR Benchmark has the functionality of Nesting in the visual tool. A relation from the group / nesting is equal to putting relation to and from each of the compounding activities of the group.</w:t>
            </w:r>
            <w:r w:rsidDel="00000000" w:rsidR="00000000" w:rsidRPr="00000000">
              <w:rPr>
                <w:rtl w:val="0"/>
              </w:rPr>
            </w:r>
          </w:p>
        </w:tc>
      </w:tr>
    </w:tbl>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_3dy6vkm" w:id="7"/>
      <w:bookmarkEnd w:id="7"/>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Table 2</w:t>
      </w:r>
      <w:r w:rsidDel="00000000" w:rsidR="00000000" w:rsidRPr="00000000">
        <w:rPr>
          <w:rFonts w:ascii="Times New Roman" w:cs="Times New Roman" w:eastAsia="Times New Roman" w:hAnsi="Times New Roman"/>
          <w:sz w:val="24"/>
          <w:szCs w:val="24"/>
          <w:rtl w:val="0"/>
        </w:rPr>
        <w:t xml:space="preserve"> is shown the graphical representation of the relations between the activities and sub-processes. </w:t>
      </w:r>
      <w:bookmarkStart w:colFirst="0" w:colLast="0" w:name="1t3h5sf" w:id="6"/>
      <w:bookmarkEnd w:id="6"/>
      <w:r w:rsidDel="00000000" w:rsidR="00000000" w:rsidRPr="00000000">
        <w:rPr>
          <w:rtl w:val="0"/>
        </w:rPr>
      </w:r>
    </w:p>
    <w:p w:rsidR="00000000" w:rsidDel="00000000" w:rsidP="00000000" w:rsidRDefault="00000000" w:rsidRPr="00000000">
      <w:pPr>
        <w:keepNext w:val="1"/>
        <w:spacing w:after="200" w:before="0" w:line="240" w:lineRule="auto"/>
        <w:contextualSpacing w:val="0"/>
      </w:pPr>
      <w:bookmarkStart w:colFirst="0" w:colLast="0" w:name="_2s8eyo1" w:id="9"/>
      <w:bookmarkEnd w:id="9"/>
      <w:bookmarkStart w:colFirst="0" w:colLast="0" w:name="4d34og8" w:id="8"/>
      <w:bookmarkEnd w:id="8"/>
      <w:r w:rsidDel="00000000" w:rsidR="00000000" w:rsidRPr="00000000">
        <w:rPr>
          <w:rFonts w:ascii="Calibri" w:cs="Calibri" w:eastAsia="Calibri" w:hAnsi="Calibri"/>
          <w:b w:val="0"/>
          <w:i w:val="1"/>
          <w:color w:val="44546a"/>
          <w:sz w:val="18"/>
          <w:szCs w:val="18"/>
          <w:rtl w:val="0"/>
        </w:rPr>
        <w:t xml:space="preserve">Table 2 Graphical representation of relations</w:t>
      </w:r>
      <w:r w:rsidDel="00000000" w:rsidR="00000000" w:rsidRPr="00000000">
        <w:rPr>
          <w:rtl w:val="0"/>
        </w:rPr>
      </w:r>
    </w:p>
    <w:tbl>
      <w:tblPr>
        <w:tblStyle w:val="Table2"/>
        <w:bidiVisual w:val="0"/>
        <w:tblW w:w="963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4"/>
        <w:gridCol w:w="1416"/>
        <w:gridCol w:w="1418"/>
        <w:gridCol w:w="4536"/>
        <w:tblGridChange w:id="0">
          <w:tblGrid>
            <w:gridCol w:w="2264"/>
            <w:gridCol w:w="1416"/>
            <w:gridCol w:w="1418"/>
            <w:gridCol w:w="4536"/>
          </w:tblGrid>
        </w:tblGridChange>
      </w:tblGrid>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Condition</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739140" cy="259080"/>
                  <wp:effectExtent b="0" l="0" r="0" t="0"/>
                  <wp:docPr descr="D:\ITU_edu\2sem\Critical Systems Project\DCR\pictures\Condition.PNG" id="29" name="image61.png"/>
                  <a:graphic>
                    <a:graphicData uri="http://schemas.openxmlformats.org/drawingml/2006/picture">
                      <pic:pic>
                        <pic:nvPicPr>
                          <pic:cNvPr descr="D:\ITU_edu\2sem\Critical Systems Project\DCR\pictures\Condition.PNG" id="0" name="image61.png"/>
                          <pic:cNvPicPr preferRelativeResize="0"/>
                        </pic:nvPicPr>
                        <pic:blipFill>
                          <a:blip r:embed="rId15"/>
                          <a:srcRect b="0" l="0" r="0" t="0"/>
                          <a:stretch>
                            <a:fillRect/>
                          </a:stretch>
                        </pic:blipFill>
                        <pic:spPr>
                          <a:xfrm>
                            <a:off x="0" y="0"/>
                            <a:ext cx="739140" cy="2590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766773" cy="321550"/>
                  <wp:effectExtent b="0" l="0" r="0" t="0"/>
                  <wp:docPr id="30" name="image63.png"/>
                  <a:graphic>
                    <a:graphicData uri="http://schemas.openxmlformats.org/drawingml/2006/picture">
                      <pic:pic>
                        <pic:nvPicPr>
                          <pic:cNvPr id="0" name="image63.png"/>
                          <pic:cNvPicPr preferRelativeResize="0"/>
                        </pic:nvPicPr>
                        <pic:blipFill>
                          <a:blip r:embed="rId16"/>
                          <a:srcRect b="0" l="0" r="0" t="0"/>
                          <a:stretch>
                            <a:fillRect/>
                          </a:stretch>
                        </pic:blipFill>
                        <pic:spPr>
                          <a:xfrm>
                            <a:off x="0" y="0"/>
                            <a:ext cx="766773" cy="32155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114300" distR="114300">
                  <wp:extent cx="403860" cy="167640"/>
                  <wp:effectExtent b="0" l="0" r="0" t="0"/>
                  <wp:docPr id="32" name="image68.png"/>
                  <a:graphic>
                    <a:graphicData uri="http://schemas.openxmlformats.org/drawingml/2006/picture">
                      <pic:pic>
                        <pic:nvPicPr>
                          <pic:cNvPr id="0" name="image68.png"/>
                          <pic:cNvPicPr preferRelativeResize="0"/>
                        </pic:nvPicPr>
                        <pic:blipFill>
                          <a:blip r:embed="rId17"/>
                          <a:srcRect b="0" l="0" r="0" t="0"/>
                          <a:stretch>
                            <a:fillRect/>
                          </a:stretch>
                        </pic:blipFill>
                        <pic:spPr>
                          <a:xfrm>
                            <a:off x="0" y="0"/>
                            <a:ext cx="403860" cy="1676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421489" cy="197972"/>
                  <wp:effectExtent b="0" l="0" r="0" t="0"/>
                  <wp:docPr id="33" name="image69.png"/>
                  <a:graphic>
                    <a:graphicData uri="http://schemas.openxmlformats.org/drawingml/2006/picture">
                      <pic:pic>
                        <pic:nvPicPr>
                          <pic:cNvPr id="0" name="image69.png"/>
                          <pic:cNvPicPr preferRelativeResize="0"/>
                        </pic:nvPicPr>
                        <pic:blipFill>
                          <a:blip r:embed="rId18"/>
                          <a:srcRect b="0" l="0" r="0" t="0"/>
                          <a:stretch>
                            <a:fillRect/>
                          </a:stretch>
                        </pic:blipFill>
                        <pic:spPr>
                          <a:xfrm>
                            <a:off x="0" y="0"/>
                            <a:ext cx="421489" cy="197972"/>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condition between two activities ensures that the second activity cannot be executed unless the first is excluded or has been executed at least once.” Timed version is also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Response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67635" cy="306224"/>
                  <wp:effectExtent b="0" l="0" r="0" t="0"/>
                  <wp:docPr descr="D:\ITU_edu\2sem\Critical Systems Project\DCR\pictures\Response.PNG" id="34" name="image71.png"/>
                  <a:graphic>
                    <a:graphicData uri="http://schemas.openxmlformats.org/drawingml/2006/picture">
                      <pic:pic>
                        <pic:nvPicPr>
                          <pic:cNvPr descr="D:\ITU_edu\2sem\Critical Systems Project\DCR\pictures\Response.PNG" id="0" name="image71.png"/>
                          <pic:cNvPicPr preferRelativeResize="0"/>
                        </pic:nvPicPr>
                        <pic:blipFill>
                          <a:blip r:embed="rId19"/>
                          <a:srcRect b="0" l="0" r="0" t="0"/>
                          <a:stretch>
                            <a:fillRect/>
                          </a:stretch>
                        </pic:blipFill>
                        <pic:spPr>
                          <a:xfrm>
                            <a:off x="0" y="0"/>
                            <a:ext cx="867635" cy="3062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877502" cy="345427"/>
                  <wp:effectExtent b="0" l="0" r="0" t="0"/>
                  <wp:docPr id="35" name="image72.png"/>
                  <a:graphic>
                    <a:graphicData uri="http://schemas.openxmlformats.org/drawingml/2006/picture">
                      <pic:pic>
                        <pic:nvPicPr>
                          <pic:cNvPr id="0" name="image72.png"/>
                          <pic:cNvPicPr preferRelativeResize="0"/>
                        </pic:nvPicPr>
                        <pic:blipFill>
                          <a:blip r:embed="rId20"/>
                          <a:srcRect b="0" l="0" r="0" t="0"/>
                          <a:stretch>
                            <a:fillRect/>
                          </a:stretch>
                        </pic:blipFill>
                        <pic:spPr>
                          <a:xfrm>
                            <a:off x="0" y="0"/>
                            <a:ext cx="877502" cy="345427"/>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114300" distR="114300">
                  <wp:extent cx="426719" cy="205740"/>
                  <wp:effectExtent b="0" l="0" r="0" t="0"/>
                  <wp:docPr id="36" name="image73.png"/>
                  <a:graphic>
                    <a:graphicData uri="http://schemas.openxmlformats.org/drawingml/2006/picture">
                      <pic:pic>
                        <pic:nvPicPr>
                          <pic:cNvPr id="0" name="image73.png"/>
                          <pic:cNvPicPr preferRelativeResize="0"/>
                        </pic:nvPicPr>
                        <pic:blipFill>
                          <a:blip r:embed="rId21"/>
                          <a:srcRect b="0" l="0" r="0" t="0"/>
                          <a:stretch>
                            <a:fillRect/>
                          </a:stretch>
                        </pic:blipFill>
                        <pic:spPr>
                          <a:xfrm>
                            <a:off x="0" y="0"/>
                            <a:ext cx="426719" cy="2057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471568" cy="278654"/>
                  <wp:effectExtent b="0" l="0" r="0" t="0"/>
                  <wp:docPr id="37" name="image75.png"/>
                  <a:graphic>
                    <a:graphicData uri="http://schemas.openxmlformats.org/drawingml/2006/picture">
                      <pic:pic>
                        <pic:nvPicPr>
                          <pic:cNvPr id="0" name="image75.png"/>
                          <pic:cNvPicPr preferRelativeResize="0"/>
                        </pic:nvPicPr>
                        <pic:blipFill>
                          <a:blip r:embed="rId22"/>
                          <a:srcRect b="0" l="0" r="0" t="0"/>
                          <a:stretch>
                            <a:fillRect/>
                          </a:stretch>
                        </pic:blipFill>
                        <pic:spPr>
                          <a:xfrm>
                            <a:off x="0" y="0"/>
                            <a:ext cx="471568" cy="278654"/>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response, or goal, ensures that once the first activity has been executed the other activity becomes a goal, that must eventually be executed or excluded”. Timed version is also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Include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83920" cy="236220"/>
                  <wp:effectExtent b="0" l="0" r="0" t="0"/>
                  <wp:docPr descr="D:\ITU_edu\2sem\Critical Systems Project\DCR\pictures\Includes.PNG" id="38" name="image76.png"/>
                  <a:graphic>
                    <a:graphicData uri="http://schemas.openxmlformats.org/drawingml/2006/picture">
                      <pic:pic>
                        <pic:nvPicPr>
                          <pic:cNvPr descr="D:\ITU_edu\2sem\Critical Systems Project\DCR\pictures\Includes.PNG" id="0" name="image76.png"/>
                          <pic:cNvPicPr preferRelativeResize="0"/>
                        </pic:nvPicPr>
                        <pic:blipFill>
                          <a:blip r:embed="rId23"/>
                          <a:srcRect b="0" l="0" r="0" t="0"/>
                          <a:stretch>
                            <a:fillRect/>
                          </a:stretch>
                        </pic:blipFill>
                        <pic:spPr>
                          <a:xfrm>
                            <a:off x="0" y="0"/>
                            <a:ext cx="883920" cy="2362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403860" cy="182880"/>
                  <wp:effectExtent b="0" l="0" r="0" t="0"/>
                  <wp:docPr descr="D:\ITU_edu\2sem\Critical Systems Project\DCR\pictures\Include_itu.PNG" id="39" name="image77.png"/>
                  <a:graphic>
                    <a:graphicData uri="http://schemas.openxmlformats.org/drawingml/2006/picture">
                      <pic:pic>
                        <pic:nvPicPr>
                          <pic:cNvPr descr="D:\ITU_edu\2sem\Critical Systems Project\DCR\pictures\Include_itu.PNG" id="0" name="image77.png"/>
                          <pic:cNvPicPr preferRelativeResize="0"/>
                        </pic:nvPicPr>
                        <pic:blipFill>
                          <a:blip r:embed="rId24"/>
                          <a:srcRect b="0" l="0" r="0" t="0"/>
                          <a:stretch>
                            <a:fillRect/>
                          </a:stretch>
                        </pic:blipFill>
                        <pic:spPr>
                          <a:xfrm>
                            <a:off x="0" y="0"/>
                            <a:ext cx="403860" cy="18288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include relation includes other activities upon execution”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Exclude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83232" cy="213685"/>
                  <wp:effectExtent b="0" l="0" r="0" t="0"/>
                  <wp:docPr descr="D:\ITU_edu\2sem\Critical Systems Project\DCR\pictures\Exclude.PNG" id="10" name="image41.png"/>
                  <a:graphic>
                    <a:graphicData uri="http://schemas.openxmlformats.org/drawingml/2006/picture">
                      <pic:pic>
                        <pic:nvPicPr>
                          <pic:cNvPr descr="D:\ITU_edu\2sem\Critical Systems Project\DCR\pictures\Exclude.PNG" id="0" name="image41.png"/>
                          <pic:cNvPicPr preferRelativeResize="0"/>
                        </pic:nvPicPr>
                        <pic:blipFill>
                          <a:blip r:embed="rId25"/>
                          <a:srcRect b="0" l="0" r="0" t="0"/>
                          <a:stretch>
                            <a:fillRect/>
                          </a:stretch>
                        </pic:blipFill>
                        <pic:spPr>
                          <a:xfrm>
                            <a:off x="0" y="0"/>
                            <a:ext cx="883232" cy="213685"/>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396240" cy="213360"/>
                  <wp:effectExtent b="0" l="0" r="0" t="0"/>
                  <wp:docPr descr="D:\ITU_edu\2sem\Critical Systems Project\DCR\pictures\Exclude_itu.PNG" id="11" name="image42.png"/>
                  <a:graphic>
                    <a:graphicData uri="http://schemas.openxmlformats.org/drawingml/2006/picture">
                      <pic:pic>
                        <pic:nvPicPr>
                          <pic:cNvPr descr="D:\ITU_edu\2sem\Critical Systems Project\DCR\pictures\Exclude_itu.PNG" id="0" name="image42.png"/>
                          <pic:cNvPicPr preferRelativeResize="0"/>
                        </pic:nvPicPr>
                        <pic:blipFill>
                          <a:blip r:embed="rId26"/>
                          <a:srcRect b="0" l="0" r="0" t="0"/>
                          <a:stretch>
                            <a:fillRect/>
                          </a:stretch>
                        </pic:blipFill>
                        <pic:spPr>
                          <a:xfrm>
                            <a:off x="0" y="0"/>
                            <a:ext cx="396240" cy="21336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exclude relation excludes other activities upon execution”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Milestone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70315" cy="212093"/>
                  <wp:effectExtent b="0" l="0" r="0" t="0"/>
                  <wp:docPr descr="D:\ITU_edu\2sem\Critical Systems Project\DCR\pictures\Milestone.PNG" id="12" name="image43.png"/>
                  <a:graphic>
                    <a:graphicData uri="http://schemas.openxmlformats.org/drawingml/2006/picture">
                      <pic:pic>
                        <pic:nvPicPr>
                          <pic:cNvPr descr="D:\ITU_edu\2sem\Critical Systems Project\DCR\pictures\Milestone.PNG" id="0" name="image43.png"/>
                          <pic:cNvPicPr preferRelativeResize="0"/>
                        </pic:nvPicPr>
                        <pic:blipFill>
                          <a:blip r:embed="rId27"/>
                          <a:srcRect b="0" l="0" r="0" t="0"/>
                          <a:stretch>
                            <a:fillRect/>
                          </a:stretch>
                        </pic:blipFill>
                        <pic:spPr>
                          <a:xfrm>
                            <a:off x="0" y="0"/>
                            <a:ext cx="870315" cy="212093"/>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419100" cy="152400"/>
                  <wp:effectExtent b="0" l="0" r="0" t="0"/>
                  <wp:docPr descr="D:\ITU_edu\2sem\Critical Systems Project\DCR\pictures\Milestone_itu.PNG" id="13" name="image44.png"/>
                  <a:graphic>
                    <a:graphicData uri="http://schemas.openxmlformats.org/drawingml/2006/picture">
                      <pic:pic>
                        <pic:nvPicPr>
                          <pic:cNvPr descr="D:\ITU_edu\2sem\Critical Systems Project\DCR\pictures\Milestone_itu.PNG" id="0" name="image44.png"/>
                          <pic:cNvPicPr preferRelativeResize="0"/>
                        </pic:nvPicPr>
                        <pic:blipFill>
                          <a:blip r:embed="rId28"/>
                          <a:srcRect b="0" l="0" r="0" t="0"/>
                          <a:stretch>
                            <a:fillRect/>
                          </a:stretch>
                        </pic:blipFill>
                        <pic:spPr>
                          <a:xfrm>
                            <a:off x="0" y="0"/>
                            <a:ext cx="419100" cy="15240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--&lt;&gt;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milestone relations block the second activity if the first is currently a goal (response) and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Spawn</w:t>
            </w:r>
            <w:r w:rsidDel="00000000" w:rsidR="00000000" w:rsidRPr="00000000">
              <w:rPr>
                <w:rtl w:val="0"/>
              </w:rPr>
            </w:r>
          </w:p>
        </w:tc>
      </w:tr>
      <w:tr>
        <w:trPr>
          <w:trHeight w:val="980" w:hRule="atLeast"/>
        </w:trPr>
        <w:tc>
          <w:tcPr/>
          <w:p w:rsidR="00000000" w:rsidDel="00000000" w:rsidP="00000000" w:rsidRDefault="00000000" w:rsidRPr="00000000">
            <w:pPr>
              <w:contextualSpacing w:val="0"/>
              <w:jc w:val="both"/>
            </w:pPr>
            <w:r w:rsidDel="00000000" w:rsidR="00000000" w:rsidRPr="00000000">
              <w:drawing>
                <wp:inline distB="0" distT="0" distL="0" distR="0">
                  <wp:extent cx="893206" cy="231001"/>
                  <wp:effectExtent b="0" l="0" r="0" t="0"/>
                  <wp:docPr descr="D:\ITU_edu\2sem\Critical Systems Project\DCR\pictures\Spawn.PNG" id="14" name="image45.png"/>
                  <a:graphic>
                    <a:graphicData uri="http://schemas.openxmlformats.org/drawingml/2006/picture">
                      <pic:pic>
                        <pic:nvPicPr>
                          <pic:cNvPr descr="D:\ITU_edu\2sem\Critical Systems Project\DCR\pictures\Spawn.PNG" id="0" name="image45.png"/>
                          <pic:cNvPicPr preferRelativeResize="0"/>
                        </pic:nvPicPr>
                        <pic:blipFill>
                          <a:blip r:embed="rId29"/>
                          <a:srcRect b="0" l="0" r="0" t="0"/>
                          <a:stretch>
                            <a:fillRect/>
                          </a:stretch>
                        </pic:blipFill>
                        <pic:spPr>
                          <a:xfrm>
                            <a:off x="0" y="0"/>
                            <a:ext cx="893206" cy="231001"/>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746760" cy="541020"/>
                  <wp:effectExtent b="0" l="0" r="0" t="0"/>
                  <wp:docPr descr="D:\ITU_edu\2sem\Critical Systems Project\DCR\pictures\Spawn_itu.PNG" id="15" name="image46.png"/>
                  <a:graphic>
                    <a:graphicData uri="http://schemas.openxmlformats.org/drawingml/2006/picture">
                      <pic:pic>
                        <pic:nvPicPr>
                          <pic:cNvPr descr="D:\ITU_edu\2sem\Critical Systems Project\DCR\pictures\Spawn_itu.PNG" id="0" name="image46.png"/>
                          <pic:cNvPicPr preferRelativeResize="0"/>
                        </pic:nvPicPr>
                        <pic:blipFill>
                          <a:blip r:embed="rId30"/>
                          <a:srcRect b="0" l="0" r="0" t="0"/>
                          <a:stretch>
                            <a:fillRect/>
                          </a:stretch>
                        </pic:blipFill>
                        <pic:spPr>
                          <a:xfrm>
                            <a:off x="0" y="0"/>
                            <a:ext cx="746760" cy="5410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spawn relation spawns a new sub-process” [4]</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3"/>
        </w:numPr>
        <w:ind w:left="720" w:hanging="360"/>
        <w:rPr/>
      </w:pPr>
      <w:bookmarkStart w:colFirst="0" w:colLast="0" w:name="_17dp8vu" w:id="10"/>
      <w:bookmarkEnd w:id="10"/>
      <w:r w:rsidDel="00000000" w:rsidR="00000000" w:rsidRPr="00000000">
        <w:rPr>
          <w:rtl w:val="0"/>
        </w:rPr>
        <w:t xml:space="preserve">Description of the case process</w:t>
      </w:r>
    </w:p>
    <w:p w:rsidR="00000000" w:rsidDel="00000000" w:rsidP="00000000" w:rsidRDefault="00000000" w:rsidRPr="00000000">
      <w:pPr>
        <w:spacing w:after="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In this section, we will model how GDPR requirements are expected to be applied in our case “Modeling the GDPR requirements for data protection within Rejsekort A/S”, Figure 1.</w:t>
      </w:r>
    </w:p>
    <w:p w:rsidR="00000000" w:rsidDel="00000000" w:rsidP="00000000" w:rsidRDefault="00000000" w:rsidRPr="00000000">
      <w:pPr>
        <w:spacing w:after="0" w:lineRule="auto"/>
        <w:ind w:firstLine="360"/>
        <w:contextualSpacing w:val="0"/>
        <w:jc w:val="both"/>
      </w:pPr>
      <w:r w:rsidDel="00000000" w:rsidR="00000000" w:rsidRPr="00000000">
        <w:rPr>
          <w:rtl w:val="0"/>
        </w:rPr>
      </w:r>
    </w:p>
    <w:p w:rsidR="00000000" w:rsidDel="00000000" w:rsidP="00000000" w:rsidRDefault="00000000" w:rsidRPr="00000000">
      <w:pPr>
        <w:keepNext w:val="1"/>
        <w:spacing w:after="0" w:lineRule="auto"/>
        <w:ind w:firstLine="360"/>
        <w:contextualSpacing w:val="0"/>
        <w:jc w:val="both"/>
      </w:pPr>
      <w:r w:rsidDel="00000000" w:rsidR="00000000" w:rsidRPr="00000000">
        <w:drawing>
          <wp:inline distB="0" distT="0" distL="0" distR="0">
            <wp:extent cx="7570730" cy="5624674"/>
            <wp:effectExtent b="973028" l="-973028" r="-973028" t="973028"/>
            <wp:docPr id="16" name="image47.png"/>
            <a:graphic>
              <a:graphicData uri="http://schemas.openxmlformats.org/drawingml/2006/picture">
                <pic:pic>
                  <pic:nvPicPr>
                    <pic:cNvPr id="0" name="image47.png"/>
                    <pic:cNvPicPr preferRelativeResize="0"/>
                  </pic:nvPicPr>
                  <pic:blipFill>
                    <a:blip r:embed="rId31"/>
                    <a:srcRect b="0" l="0" r="0" t="0"/>
                    <a:stretch>
                      <a:fillRect/>
                    </a:stretch>
                  </pic:blipFill>
                  <pic:spPr>
                    <a:xfrm rot="5400000">
                      <a:off x="0" y="0"/>
                      <a:ext cx="7570730" cy="5624674"/>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26in1rg" w:id="12"/>
      <w:bookmarkEnd w:id="12"/>
      <w:bookmarkStart w:colFirst="0" w:colLast="0" w:name="3rdcrjn" w:id="11"/>
      <w:bookmarkEnd w:id="11"/>
      <w:r w:rsidDel="00000000" w:rsidR="00000000" w:rsidRPr="00000000">
        <w:rPr>
          <w:rFonts w:ascii="Calibri" w:cs="Calibri" w:eastAsia="Calibri" w:hAnsi="Calibri"/>
          <w:b w:val="0"/>
          <w:i w:val="1"/>
          <w:color w:val="44546a"/>
          <w:sz w:val="18"/>
          <w:szCs w:val="18"/>
          <w:rtl w:val="0"/>
        </w:rPr>
        <w:t xml:space="preserve">Figure 1 DCR of the process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59" w:lineRule="auto"/>
        <w:ind w:left="0" w:firstLine="360"/>
        <w:contextualSpacing w:val="0"/>
        <w:jc w:val="both"/>
      </w:pPr>
      <w:r w:rsidDel="00000000" w:rsidR="00000000" w:rsidRPr="00000000">
        <w:rPr>
          <w:rFonts w:ascii="Times New Roman" w:cs="Times New Roman" w:eastAsia="Times New Roman" w:hAnsi="Times New Roman"/>
          <w:sz w:val="24"/>
          <w:szCs w:val="24"/>
          <w:highlight w:val="yellow"/>
          <w:rtl w:val="0"/>
        </w:rPr>
        <w:t xml:space="preserve">The </w:t>
      </w:r>
      <w:r w:rsidDel="00000000" w:rsidR="00000000" w:rsidRPr="00000000">
        <w:rPr>
          <w:rFonts w:ascii="Times New Roman" w:cs="Times New Roman" w:eastAsia="Times New Roman" w:hAnsi="Times New Roman"/>
          <w:b w:val="0"/>
          <w:color w:val="000000"/>
          <w:sz w:val="24"/>
          <w:szCs w:val="24"/>
          <w:rtl w:val="0"/>
        </w:rPr>
        <w:t xml:space="preserve">GDPR keeps using the same definitions for “controller” and “processor” with almost no changes. According to GDPR, "Controller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 [7]. And </w:t>
      </w:r>
      <w:r w:rsidDel="00000000" w:rsidR="00000000" w:rsidRPr="00000000">
        <w:rPr>
          <w:rFonts w:ascii="Times New Roman" w:cs="Times New Roman" w:eastAsia="Times New Roman" w:hAnsi="Times New Roman"/>
          <w:b w:val="0"/>
          <w:sz w:val="24"/>
          <w:szCs w:val="24"/>
          <w:rtl w:val="0"/>
        </w:rPr>
        <w:t xml:space="preserve">"Processor means a natural or legal person, public authority, agency or any other body which processes personal data on behalf of the controller.</w:t>
      </w:r>
      <w:r w:rsidDel="00000000" w:rsidR="00000000" w:rsidRPr="00000000">
        <w:rPr>
          <w:rFonts w:ascii="Times New Roman" w:cs="Times New Roman" w:eastAsia="Times New Roman" w:hAnsi="Times New Roman"/>
          <w:b w:val="0"/>
          <w:sz w:val="24"/>
          <w:szCs w:val="24"/>
          <w:rtl w:val="0"/>
        </w:rPr>
        <w:t xml:space="preserve">” [7] </w:t>
      </w:r>
    </w:p>
    <w:p w:rsidR="00000000" w:rsidDel="00000000" w:rsidP="00000000" w:rsidRDefault="00000000" w:rsidRPr="00000000">
      <w:pPr>
        <w:spacing w:after="160" w:before="0" w:line="259" w:lineRule="auto"/>
        <w:ind w:left="0" w:firstLine="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 our case the controller is Rejsekort A/S. Rejsekort A/S is also a processor in some of the processing cases, for example when a customer requests blocking of the travel card, </w:t>
      </w:r>
      <w:r w:rsidDel="00000000" w:rsidR="00000000" w:rsidRPr="00000000">
        <w:rPr>
          <w:rFonts w:ascii="Times New Roman" w:cs="Times New Roman" w:eastAsia="Times New Roman" w:hAnsi="Times New Roman"/>
          <w:b w:val="0"/>
          <w:color w:val="000000"/>
          <w:sz w:val="24"/>
          <w:szCs w:val="24"/>
          <w:highlight w:val="red"/>
          <w:rtl w:val="0"/>
        </w:rPr>
        <w:t xml:space="preserve">when the personal data should be removed from the system and etc. But in [6] Rejsekort A/S doesn’t specify the processors</w:t>
      </w:r>
      <w:r w:rsidDel="00000000" w:rsidR="00000000" w:rsidRPr="00000000">
        <w:rPr>
          <w:rFonts w:ascii="Times New Roman" w:cs="Times New Roman" w:eastAsia="Times New Roman" w:hAnsi="Times New Roman"/>
          <w:b w:val="0"/>
          <w:color w:val="000000"/>
          <w:sz w:val="24"/>
          <w:szCs w:val="24"/>
          <w:rtl w:val="0"/>
        </w:rPr>
        <w:t xml:space="preserve">. A careful look in the documentation shows that there are other companies included in the data processing. One of them is Nets A/S, in which system the customer payments are executed. </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The GDPR requires the controller to have lawful basis to process personal data. One of the lawful basis is the consent given by data subject. The consent should cover all the purposes of the processing. This requires Rejsekort A/S to specify and document the purposes of the processing of its customers’ personal data as well. As the GPRD underlines, the personal data should be collected for explicit purposes and the consent should be explicit [7], it must require the consent for the services provided by Rejsekort A/S to be distinguished from the consent for marketing purposes. In the section 2 of [6] it is declared that opinion research institutes can have access to the following information about the customer: “name, address and e-mail address”. The given personal information is sufficient to identify natural persons and since the processing of the data for opinion research institutes is separate from the processing to provide the main services, we decide to split the consent in two different consents: consent for main purposes and consent for opinion research institutes.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Consent for main purposes – going through [6] we considered to put the following purposes in one group, called by us “main purposes” – manufacture the card, reload operations of the balance, send data to partner/affiliated companies. They form the core of the services, provided by Rejsekort A/S, and are closely related to each other.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Each customer using the Rejsekort system should get a traveling card. To produce a card, the manufacturer gets the name and possibly the photo of the customer, depending on the type of the card [6]. On the other hand, the customer needs to reload his or her balance, using the reload automats on the train stations or the company’s website. All payment operations are carried out </w:t>
      </w:r>
      <w:r w:rsidDel="00000000" w:rsidR="00000000" w:rsidRPr="00000000">
        <w:rPr>
          <w:rFonts w:ascii="Times New Roman" w:cs="Times New Roman" w:eastAsia="Times New Roman" w:hAnsi="Times New Roman"/>
          <w:sz w:val="24"/>
          <w:szCs w:val="24"/>
          <w:highlight w:val="red"/>
          <w:rtl w:val="0"/>
        </w:rPr>
        <w:t xml:space="preserve">in the system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by</w:t>
      </w:r>
      <w:r w:rsidDel="00000000" w:rsidR="00000000" w:rsidRPr="00000000">
        <w:rPr>
          <w:rFonts w:ascii="Times New Roman" w:cs="Times New Roman" w:eastAsia="Times New Roman" w:hAnsi="Times New Roman"/>
          <w:sz w:val="24"/>
          <w:szCs w:val="24"/>
          <w:rtl w:val="0"/>
        </w:rPr>
        <w:t xml:space="preserve"> Nets A/S which receives the data from Rejsekort A/S to finish </w:t>
      </w:r>
      <w:r w:rsidDel="00000000" w:rsidR="00000000" w:rsidRPr="00000000">
        <w:rPr>
          <w:rFonts w:ascii="Times New Roman" w:cs="Times New Roman" w:eastAsia="Times New Roman" w:hAnsi="Times New Roman"/>
          <w:sz w:val="24"/>
          <w:szCs w:val="24"/>
          <w:highlight w:val="red"/>
          <w:rtl w:val="0"/>
        </w:rPr>
        <w:t xml:space="preserve">the operation of paying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the payment operation</w:t>
      </w:r>
      <w:r w:rsidDel="00000000" w:rsidR="00000000" w:rsidRPr="00000000">
        <w:rPr>
          <w:rFonts w:ascii="Times New Roman" w:cs="Times New Roman" w:eastAsia="Times New Roman" w:hAnsi="Times New Roman"/>
          <w:sz w:val="24"/>
          <w:szCs w:val="24"/>
          <w:rtl w:val="0"/>
        </w:rPr>
        <w:t xml:space="preserve">. In [6] is stated that “Employees in Rejsekort A/S and the affiliated transport companies, whose job it is to serve you as a customer and process your personal data, have access to the collected personal data.” From this statement it is clear that not only the employees of Rejsekort need access to personal data, but the affiliated companies could also get the personal data. We decide to put all the above activities in a group, called main purposes. Any other purposes, which are part of the core functionality of the Rejsekort A/S system, could be specified and added to this group.  The DCR model of giving consent for main purposes is shown in </w:t>
      </w:r>
      <w:r w:rsidDel="00000000" w:rsidR="00000000" w:rsidRPr="00000000">
        <w:rPr>
          <w:rtl w:val="0"/>
        </w:rPr>
        <w:t xml:space="preserve">Figure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1"/>
        <w:contextualSpacing w:val="0"/>
        <w:jc w:val="both"/>
      </w:pPr>
      <w:r w:rsidDel="00000000" w:rsidR="00000000" w:rsidRPr="00000000">
        <w:drawing>
          <wp:inline distB="0" distT="0" distL="0" distR="0">
            <wp:extent cx="5760720" cy="1508760"/>
            <wp:effectExtent b="0" l="0" r="0" t="0"/>
            <wp:docPr id="17" name="image48.png"/>
            <a:graphic>
              <a:graphicData uri="http://schemas.openxmlformats.org/drawingml/2006/picture">
                <pic:pic>
                  <pic:nvPicPr>
                    <pic:cNvPr id="0" name="image48.png"/>
                    <pic:cNvPicPr preferRelativeResize="0"/>
                  </pic:nvPicPr>
                  <pic:blipFill>
                    <a:blip r:embed="rId32"/>
                    <a:srcRect b="0" l="0" r="0" t="0"/>
                    <a:stretch>
                      <a:fillRect/>
                    </a:stretch>
                  </pic:blipFill>
                  <pic:spPr>
                    <a:xfrm>
                      <a:off x="0" y="0"/>
                      <a:ext cx="5760720" cy="150876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35nkun2" w:id="14"/>
      <w:bookmarkEnd w:id="14"/>
      <w:bookmarkStart w:colFirst="0" w:colLast="0" w:name="lnxbz9" w:id="13"/>
      <w:bookmarkEnd w:id="13"/>
      <w:r w:rsidDel="00000000" w:rsidR="00000000" w:rsidRPr="00000000">
        <w:rPr>
          <w:rFonts w:ascii="Calibri" w:cs="Calibri" w:eastAsia="Calibri" w:hAnsi="Calibri"/>
          <w:b w:val="0"/>
          <w:i w:val="1"/>
          <w:color w:val="44546a"/>
          <w:sz w:val="18"/>
          <w:szCs w:val="18"/>
          <w:rtl w:val="0"/>
        </w:rPr>
        <w:t xml:space="preserve">Figure 2 DCR model of giving the consent for main purposes</w:t>
      </w:r>
      <w:r w:rsidDel="00000000" w:rsidR="00000000" w:rsidRPr="00000000">
        <w:rPr>
          <w:rtl w:val="0"/>
        </w:rPr>
      </w:r>
    </w:p>
    <w:p w:rsidR="00000000" w:rsidDel="00000000" w:rsidP="00000000" w:rsidRDefault="00000000" w:rsidRPr="00000000">
      <w:pPr>
        <w:ind w:firstLine="708"/>
        <w:contextualSpacing w:val="0"/>
        <w:jc w:val="both"/>
      </w:pPr>
      <w:bookmarkStart w:colFirst="0" w:colLast="0" w:name="_1ksv4uv" w:id="16"/>
      <w:bookmarkEnd w:id="16"/>
      <w:bookmarkStart w:colFirst="0" w:colLast="0" w:name="44sinio" w:id="15"/>
      <w:bookmarkEnd w:id="15"/>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the following activities are illustrated – “Give consent for main purposes”, “Block main purposes”, “Register” and </w:t>
      </w:r>
      <w:r w:rsidDel="00000000" w:rsidR="00000000" w:rsidRPr="00000000">
        <w:rPr>
          <w:rFonts w:ascii="Times New Roman" w:cs="Times New Roman" w:eastAsia="Times New Roman" w:hAnsi="Times New Roman"/>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group item “Mandatory”. The activity “Give consent for main purposes” models giving a consent for the main purposes by the data subject, which is a requirement before to start processing. “Register” represents the act of getting registered in the system. Here the customer fills in his/her personal data in the </w:t>
      </w:r>
      <w:r w:rsidDel="00000000" w:rsidR="00000000" w:rsidRPr="00000000">
        <w:rPr>
          <w:rFonts w:ascii="Times New Roman" w:cs="Times New Roman" w:eastAsia="Times New Roman" w:hAnsi="Times New Roman"/>
          <w:sz w:val="24"/>
          <w:szCs w:val="24"/>
          <w:highlight w:val="red"/>
          <w:rtl w:val="0"/>
        </w:rPr>
        <w:t xml:space="preserve">system of Rejsekort 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Rejsekort A/S system</w:t>
      </w:r>
      <w:r w:rsidDel="00000000" w:rsidR="00000000" w:rsidRPr="00000000">
        <w:rPr>
          <w:rFonts w:ascii="Times New Roman" w:cs="Times New Roman" w:eastAsia="Times New Roman" w:hAnsi="Times New Roman"/>
          <w:sz w:val="24"/>
          <w:szCs w:val="24"/>
          <w:rtl w:val="0"/>
        </w:rPr>
        <w:t xml:space="preserve">, after which Rejsekort, as a controller, can begin processing </w:t>
      </w:r>
      <w:r w:rsidDel="00000000" w:rsidR="00000000" w:rsidRPr="00000000">
        <w:rPr>
          <w:rFonts w:ascii="Times New Roman" w:cs="Times New Roman" w:eastAsia="Times New Roman" w:hAnsi="Times New Roman"/>
          <w:sz w:val="24"/>
          <w:szCs w:val="24"/>
          <w:highlight w:val="red"/>
          <w:rtl w:val="0"/>
        </w:rPr>
        <w:t xml:space="preserve">with</w:t>
      </w:r>
      <w:r w:rsidDel="00000000" w:rsidR="00000000" w:rsidRPr="00000000">
        <w:rPr>
          <w:rFonts w:ascii="Times New Roman" w:cs="Times New Roman" w:eastAsia="Times New Roman" w:hAnsi="Times New Roman"/>
          <w:sz w:val="24"/>
          <w:szCs w:val="24"/>
          <w:rtl w:val="0"/>
        </w:rPr>
        <w:t xml:space="preserve"> the given personal data. “Block main purposes” and “Withdraw consent for main purposes” are related to withdrawing a consent that will be discussed later in this section. </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“Mandatory” encapsulates the main purposes mentioned above. </w:t>
      </w:r>
      <w:r w:rsidDel="00000000" w:rsidR="00000000" w:rsidRPr="00000000">
        <w:rPr>
          <w:rFonts w:ascii="Times New Roman" w:cs="Times New Roman" w:eastAsia="Times New Roman" w:hAnsi="Times New Roman"/>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“Mandatory” group includes the activities “Manufacture", “Send data to the partner” and “Reload” with response relation to “Nets A/S”. The activity “Manufacture” describes the production of the traveling card. “Reload” represents loading the traveling card with desired amount. Since all the payments in Rejsekort A/S is proceed through the Nets A/S system, the event “Nets A/S” represents the usage of that system. “Send data to the partner” depicts sending the data to the affiliated companies.</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In the beginning neither “Register”, nor </w:t>
      </w:r>
      <w:r w:rsidDel="00000000" w:rsidR="00000000" w:rsidRPr="00000000">
        <w:rPr>
          <w:rFonts w:ascii="Times New Roman" w:cs="Times New Roman" w:eastAsia="Times New Roman" w:hAnsi="Times New Roman"/>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activities in “Mandatory” can be executed, because they are blocked - “Register” is a condition for “Mandatory”, and “Give consent for main purposes” is a condition for “Register”. The graph in the figure above is in that initial state. The execution of “Give consent for main purposes” excludes “Block main purposes”, because of </w:t>
      </w:r>
      <w:r w:rsidDel="00000000" w:rsidR="00000000" w:rsidRPr="00000000">
        <w:rPr>
          <w:rFonts w:ascii="Times New Roman" w:cs="Times New Roman" w:eastAsia="Times New Roman" w:hAnsi="Times New Roman"/>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exclusion relation between them, and so “Block main purposes” is no longer a condition for “Mandatory”. There lefts the condition “Register”, where the customer fills in his personal data. After the execution of “Register”, the activities in “Mandatory” are allowed to be executed. The initial state of the graph above complies with the expectation that a customer should give his or her consent before to be able to “Register”. </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GDPR, like the previous directive, guarantees the right of the data subjects to withdraw their consents [7]. The withdrawing of a consent make it is impossible for the controller to use the personal data later for the purposes for which they were collected. To illustrate this, we will use the same model in </w:t>
      </w:r>
      <w:r w:rsidDel="00000000" w:rsidR="00000000" w:rsidRPr="00000000">
        <w:rPr>
          <w:rtl w:val="0"/>
        </w:rPr>
        <w:t xml:space="preserve">Figure 1</w:t>
      </w:r>
      <w:r w:rsidDel="00000000" w:rsidR="00000000" w:rsidRPr="00000000">
        <w:rPr>
          <w:rFonts w:ascii="Times New Roman" w:cs="Times New Roman" w:eastAsia="Times New Roman" w:hAnsi="Times New Roman"/>
          <w:sz w:val="24"/>
          <w:szCs w:val="24"/>
          <w:rtl w:val="0"/>
        </w:rPr>
        <w:t xml:space="preserve">. As mentioned above, the two activities “Withdraw consent for main purposes” and “Block main purposes” are part of the withdrawing of the consent. The activity “Withdraw consent for main purposes” illustrates withdrawing the consent given to process the personal data. “Block main purposes” doesn’t depict some activity of the data subject or the controller and acts like a switch. The “Register” activity has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relation with “Withdraw consent for main purposes”. The latter has the same relation with “Block main purposes”. “Block main purposes” excludes itself when the </w:t>
      </w:r>
      <w:r w:rsidDel="00000000" w:rsidR="00000000" w:rsidRPr="00000000">
        <w:rPr>
          <w:rFonts w:ascii="Times New Roman" w:cs="Times New Roman" w:eastAsia="Times New Roman" w:hAnsi="Times New Roman"/>
          <w:sz w:val="24"/>
          <w:szCs w:val="24"/>
          <w:highlight w:val="yellow"/>
          <w:rtl w:val="0"/>
        </w:rPr>
        <w:t xml:space="preserve">consent</w:t>
      </w:r>
      <w:r w:rsidDel="00000000" w:rsidR="00000000" w:rsidRPr="00000000">
        <w:rPr>
          <w:rFonts w:ascii="Times New Roman" w:cs="Times New Roman" w:eastAsia="Times New Roman" w:hAnsi="Times New Roman"/>
          <w:sz w:val="24"/>
          <w:szCs w:val="24"/>
          <w:rtl w:val="0"/>
        </w:rPr>
        <w:t xml:space="preserve"> is given, and gets included (becomes again a condition for “Main purposes”) after withdrawing the consent. The initial state of “Withdraw consent for main purposes” is excluded – it cannot be executed before giving the consent. When “Withdraw consent for main purposes” is executed, it re-includes the event “Block main purposes”. Since the latter is a condition for “Mandatory” group, after the its re-inclusion, “Block main purposes” again becomes a condition for “Mandatory” group and the group gets blocked. </w:t>
      </w:r>
      <w:r w:rsidDel="00000000" w:rsidR="00000000" w:rsidRPr="00000000">
        <w:rPr>
          <w:rtl w:val="0"/>
        </w:rPr>
      </w:r>
    </w:p>
    <w:p w:rsidR="00000000" w:rsidDel="00000000" w:rsidP="00000000" w:rsidRDefault="00000000" w:rsidRPr="00000000">
      <w:pPr>
        <w:ind w:firstLine="708"/>
        <w:contextualSpacing w:val="0"/>
        <w:jc w:val="both"/>
      </w:pPr>
      <w:bookmarkStart w:colFirst="0" w:colLast="0" w:name="_2jxsxqh" w:id="17"/>
      <w:bookmarkEnd w:id="17"/>
      <w:r w:rsidDel="00000000" w:rsidR="00000000" w:rsidRPr="00000000">
        <w:rPr>
          <w:rFonts w:ascii="Times New Roman" w:cs="Times New Roman" w:eastAsia="Times New Roman" w:hAnsi="Times New Roman"/>
          <w:sz w:val="24"/>
          <w:szCs w:val="24"/>
          <w:rtl w:val="0"/>
        </w:rPr>
        <w:t xml:space="preserve">Another area related to the rights of the data subjects extended in </w:t>
      </w:r>
      <w:r w:rsidDel="00000000" w:rsidR="00000000" w:rsidRPr="00000000">
        <w:rPr>
          <w:rFonts w:ascii="Times New Roman" w:cs="Times New Roman" w:eastAsia="Times New Roman" w:hAnsi="Times New Roman"/>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GDPR is the right </w:t>
      </w:r>
      <w:r w:rsidDel="00000000" w:rsidR="00000000" w:rsidRPr="00000000">
        <w:rPr>
          <w:rFonts w:ascii="Times New Roman" w:cs="Times New Roman" w:eastAsia="Times New Roman" w:hAnsi="Times New Roman"/>
          <w:sz w:val="24"/>
          <w:szCs w:val="24"/>
          <w:highlight w:val="yellow"/>
          <w:rtl w:val="0"/>
        </w:rPr>
        <w:t xml:space="preserve">of the data subject</w:t>
      </w:r>
      <w:r w:rsidDel="00000000" w:rsidR="00000000" w:rsidRPr="00000000">
        <w:rPr>
          <w:rFonts w:ascii="Times New Roman" w:cs="Times New Roman" w:eastAsia="Times New Roman" w:hAnsi="Times New Roman"/>
          <w:sz w:val="24"/>
          <w:szCs w:val="24"/>
          <w:rtl w:val="0"/>
        </w:rPr>
        <w:t xml:space="preserve"> to get support from the controller to exercises his/her rights. The Directive 95/46/EC doesn’t obligate the controllers to give effect to the rights of the data subjects. With the new change, the recommendations of the Directive to help the data subject becomes an obligation </w:t>
      </w:r>
      <w:r w:rsidDel="00000000" w:rsidR="00000000" w:rsidRPr="00000000">
        <w:rPr>
          <w:rFonts w:ascii="Times New Roman" w:cs="Times New Roman" w:eastAsia="Times New Roman" w:hAnsi="Times New Roman"/>
          <w:sz w:val="24"/>
          <w:szCs w:val="24"/>
          <w:highlight w:val="red"/>
          <w:rtl w:val="0"/>
        </w:rPr>
        <w:t xml:space="preserve">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that</w:t>
      </w:r>
      <w:r w:rsidDel="00000000" w:rsidR="00000000" w:rsidRPr="00000000">
        <w:rPr>
          <w:rFonts w:ascii="Times New Roman" w:cs="Times New Roman" w:eastAsia="Times New Roman" w:hAnsi="Times New Roman"/>
          <w:sz w:val="24"/>
          <w:szCs w:val="24"/>
          <w:rtl w:val="0"/>
        </w:rPr>
        <w:t xml:space="preserve"> the controller should comply with. This is reflected in our model and can be seen 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The controller should take into account all the new rights given to the data subject and implement appropriate measures to reflect their expectations. This could include training of the employees to respond as fast as possible to data subjects’ requests. [8]</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tl w:val="0"/>
        </w:rPr>
      </w:r>
    </w:p>
    <w:p w:rsidR="00000000" w:rsidDel="00000000" w:rsidP="00000000" w:rsidRDefault="00000000" w:rsidRPr="00000000">
      <w:pPr>
        <w:keepNext w:val="1"/>
        <w:ind w:left="708" w:firstLine="708"/>
        <w:contextualSpacing w:val="0"/>
        <w:jc w:val="both"/>
      </w:pPr>
      <w:r w:rsidDel="00000000" w:rsidR="00000000" w:rsidRPr="00000000">
        <w:drawing>
          <wp:inline distB="0" distT="0" distL="0" distR="0">
            <wp:extent cx="3457480" cy="712798"/>
            <wp:effectExtent b="0" l="0" r="0" t="0"/>
            <wp:docPr id="18" name="image49.png"/>
            <a:graphic>
              <a:graphicData uri="http://schemas.openxmlformats.org/drawingml/2006/picture">
                <pic:pic>
                  <pic:nvPicPr>
                    <pic:cNvPr id="0" name="image49.png"/>
                    <pic:cNvPicPr preferRelativeResize="0"/>
                  </pic:nvPicPr>
                  <pic:blipFill>
                    <a:blip r:embed="rId33"/>
                    <a:srcRect b="0" l="0" r="0" t="0"/>
                    <a:stretch>
                      <a:fillRect/>
                    </a:stretch>
                  </pic:blipFill>
                  <pic:spPr>
                    <a:xfrm>
                      <a:off x="0" y="0"/>
                      <a:ext cx="3457480" cy="71279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3j2qqm3" w:id="19"/>
      <w:bookmarkEnd w:id="19"/>
      <w:bookmarkStart w:colFirst="0" w:colLast="0" w:name="z337ya" w:id="18"/>
      <w:bookmarkEnd w:id="18"/>
      <w:r w:rsidDel="00000000" w:rsidR="00000000" w:rsidRPr="00000000">
        <w:rPr>
          <w:rFonts w:ascii="Calibri" w:cs="Calibri" w:eastAsia="Calibri" w:hAnsi="Calibri"/>
          <w:b w:val="0"/>
          <w:i w:val="1"/>
          <w:color w:val="44546a"/>
          <w:sz w:val="18"/>
          <w:szCs w:val="18"/>
          <w:rtl w:val="0"/>
        </w:rPr>
        <w:t xml:space="preserve">Figure 3 DCR model of getting assistance from the controller</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1y810tw" w:id="21"/>
      <w:bookmarkEnd w:id="21"/>
      <w:bookmarkStart w:colFirst="0" w:colLast="0" w:name="4i7ojhp" w:id="20"/>
      <w:bookmarkEnd w:id="20"/>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tl w:val="0"/>
        </w:rPr>
        <w:t xml:space="preserve">Figure 3</w:t>
      </w:r>
      <w:r w:rsidDel="00000000" w:rsidR="00000000" w:rsidRPr="00000000">
        <w:rPr>
          <w:rFonts w:ascii="Times New Roman" w:cs="Times New Roman" w:eastAsia="Times New Roman" w:hAnsi="Times New Roman"/>
          <w:sz w:val="24"/>
          <w:szCs w:val="24"/>
          <w:rtl w:val="0"/>
        </w:rPr>
        <w:t xml:space="preserve"> includes two events – “Register”, which is explained before, and “Get assistance from the company”, which depicts the right of the customer to get assistance to exercise his/her rights. It is excluded by default and can be included when the customer is registered. After the inclusion “Get assistance from the company” can be executed.</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Article 13 of [6] requires the controller </w:t>
      </w:r>
      <w:r w:rsidDel="00000000" w:rsidR="00000000" w:rsidRPr="00000000">
        <w:rPr>
          <w:rFonts w:ascii="Times New Roman" w:cs="Times New Roman" w:eastAsia="Times New Roman" w:hAnsi="Times New Roman"/>
          <w:sz w:val="24"/>
          <w:szCs w:val="24"/>
          <w:highlight w:val="yellow"/>
          <w:rtl w:val="0"/>
        </w:rPr>
        <w:t xml:space="preserve">to</w:t>
      </w:r>
      <w:r w:rsidDel="00000000" w:rsidR="00000000" w:rsidRPr="00000000">
        <w:rPr>
          <w:rFonts w:ascii="Times New Roman" w:cs="Times New Roman" w:eastAsia="Times New Roman" w:hAnsi="Times New Roman"/>
          <w:sz w:val="24"/>
          <w:szCs w:val="24"/>
          <w:rtl w:val="0"/>
        </w:rPr>
        <w:t xml:space="preserve"> inform how long the personal data will be kept. Rejsekort A/S already complies with this rule and in [6] it discloses that keeps this information for five years after the termination of the customer relationship. This is modeled and illustrated in </w:t>
      </w:r>
      <w:r w:rsidDel="00000000" w:rsidR="00000000" w:rsidRPr="00000000">
        <w:rPr>
          <w:rtl w:val="0"/>
        </w:rPr>
        <w:t xml:space="preserve">Figure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521539" cy="1937558"/>
            <wp:effectExtent b="0" l="0" r="0" t="0"/>
            <wp:docPr id="19" name="image50.png"/>
            <a:graphic>
              <a:graphicData uri="http://schemas.openxmlformats.org/drawingml/2006/picture">
                <pic:pic>
                  <pic:nvPicPr>
                    <pic:cNvPr id="0" name="image50.png"/>
                    <pic:cNvPicPr preferRelativeResize="0"/>
                  </pic:nvPicPr>
                  <pic:blipFill>
                    <a:blip r:embed="rId34"/>
                    <a:srcRect b="0" l="0" r="0" t="0"/>
                    <a:stretch>
                      <a:fillRect/>
                    </a:stretch>
                  </pic:blipFill>
                  <pic:spPr>
                    <a:xfrm>
                      <a:off x="0" y="0"/>
                      <a:ext cx="5521539" cy="193755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1ci93xb" w:id="23"/>
      <w:bookmarkEnd w:id="23"/>
      <w:bookmarkStart w:colFirst="0" w:colLast="0" w:name="2xcytpi" w:id="22"/>
      <w:bookmarkEnd w:id="22"/>
      <w:r w:rsidDel="00000000" w:rsidR="00000000" w:rsidRPr="00000000">
        <w:rPr>
          <w:rFonts w:ascii="Calibri" w:cs="Calibri" w:eastAsia="Calibri" w:hAnsi="Calibri"/>
          <w:b w:val="0"/>
          <w:i w:val="1"/>
          <w:color w:val="44546a"/>
          <w:sz w:val="18"/>
          <w:szCs w:val="18"/>
          <w:rtl w:val="0"/>
        </w:rPr>
        <w:t xml:space="preserve">Figure 4 DCR model of termination of relationship</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3whwml4" w:id="25"/>
      <w:bookmarkEnd w:id="25"/>
      <w:bookmarkStart w:colFirst="0" w:colLast="0" w:name="2bn6wsx" w:id="24"/>
      <w:bookmarkEnd w:id="24"/>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4</w:t>
      </w:r>
      <w:r w:rsidDel="00000000" w:rsidR="00000000" w:rsidRPr="00000000">
        <w:rPr>
          <w:rFonts w:ascii="Times New Roman" w:cs="Times New Roman" w:eastAsia="Times New Roman" w:hAnsi="Times New Roman"/>
          <w:sz w:val="24"/>
          <w:szCs w:val="24"/>
          <w:rtl w:val="0"/>
        </w:rPr>
        <w:t xml:space="preserve"> there are three activities – “Register”, “Terminate relationship” and “Delete identity”. “Terminate” and “Delete identity” are in a group, called “Terminate”. “Terminate relationship” represents stopping to be a customer of Rejsekort A/S. “Delete identity” describes the erasure of all the collected data. “Terminate” group is by default excluded, because it can’t be executed before “Register”. The activities “Terminate” and “Delete identity” are also excluded. The execution of “Register” re-includes the group “Terminate” that on the other hand leads to re-inclusion of both activities in the group, because a relation with a group is valid for all the activities </w:t>
      </w:r>
      <w:r w:rsidDel="00000000" w:rsidR="00000000" w:rsidRPr="00000000">
        <w:rPr>
          <w:rFonts w:ascii="Times New Roman" w:cs="Times New Roman" w:eastAsia="Times New Roman" w:hAnsi="Times New Roman"/>
          <w:sz w:val="24"/>
          <w:szCs w:val="24"/>
          <w:highlight w:val="yellow"/>
          <w:rtl w:val="0"/>
        </w:rPr>
        <w:t xml:space="preserve">within</w:t>
      </w:r>
      <w:r w:rsidDel="00000000" w:rsidR="00000000" w:rsidRPr="00000000">
        <w:rPr>
          <w:rFonts w:ascii="Times New Roman" w:cs="Times New Roman" w:eastAsia="Times New Roman" w:hAnsi="Times New Roman"/>
          <w:sz w:val="24"/>
          <w:szCs w:val="24"/>
          <w:rtl w:val="0"/>
        </w:rPr>
        <w:t xml:space="preserve"> the group, </w:t>
      </w:r>
      <w:r w:rsidDel="00000000" w:rsidR="00000000" w:rsidRPr="00000000">
        <w:rPr>
          <w:rFonts w:ascii="Times New Roman" w:cs="Times New Roman" w:eastAsia="Times New Roman" w:hAnsi="Times New Roman"/>
          <w:sz w:val="24"/>
          <w:szCs w:val="24"/>
          <w:highlight w:val="red"/>
          <w:rtl w:val="0"/>
        </w:rPr>
        <w:t xml:space="preserve">as it is written before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delete</w:t>
      </w:r>
      <w:r w:rsidDel="00000000" w:rsidR="00000000" w:rsidRPr="00000000">
        <w:rPr>
          <w:rFonts w:ascii="Times New Roman" w:cs="Times New Roman" w:eastAsia="Times New Roman" w:hAnsi="Times New Roman"/>
          <w:sz w:val="24"/>
          <w:szCs w:val="24"/>
          <w:rtl w:val="0"/>
        </w:rPr>
        <w:t xml:space="preserve">. The activity “Terminate relationship” has response and condition constraints to “Delete identity”. The execution of “Terminate relationship” will require a pending response within 1825 days. The number 1825 days is equal to five years. Since none of the tools allow specifying time units, here and in the other figures, where the constrains are timed, we will use days.  Beside the response, there is also a condition constraint that requires “Delete identity” to be executed at least 1825 days after “Terminate relationship” is triggered. The combination of these two relations has the effect that “Delete identity” should be executed exactly after 1825 days - neither earlier, </w:t>
      </w:r>
      <w:r w:rsidDel="00000000" w:rsidR="00000000" w:rsidRPr="00000000">
        <w:rPr>
          <w:rFonts w:ascii="Times New Roman" w:cs="Times New Roman" w:eastAsia="Times New Roman" w:hAnsi="Times New Roman"/>
          <w:sz w:val="24"/>
          <w:szCs w:val="24"/>
          <w:highlight w:val="yellow"/>
          <w:rtl w:val="0"/>
        </w:rPr>
        <w:t xml:space="preserve">nor</w:t>
      </w:r>
      <w:r w:rsidDel="00000000" w:rsidR="00000000" w:rsidRPr="00000000">
        <w:rPr>
          <w:rFonts w:ascii="Times New Roman" w:cs="Times New Roman" w:eastAsia="Times New Roman" w:hAnsi="Times New Roman"/>
          <w:sz w:val="24"/>
          <w:szCs w:val="24"/>
          <w:rtl w:val="0"/>
        </w:rPr>
        <w:t xml:space="preserve"> later, as we expect. So as the model above also behaves, the personal data can’t be deleted before 5 years has passed after the termination of the relation.</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Here we will show the blocking process, described in [6]. A travel card can be blocked either by its owner, or by the staff of Rejsekort A/S. The owner can block it in case of lost to prevent further misuse with the card. The reasons of blocking the card by the staff is pointed in [6]. One of the reasons could be that the customer has unpaid debts. In this case beside blocking the card, the customer also would be transferred to Customer Register. In both of blockings the card becomes no longer valid and can’t be used. We model both of the cases with one DCR model that is shown in </w:t>
      </w:r>
      <w:r w:rsidDel="00000000" w:rsidR="00000000" w:rsidRPr="00000000">
        <w:rPr>
          <w:rtl w:val="0"/>
        </w:rPr>
        <w:t xml:space="preserve">Figure 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1"/>
        <w:ind w:left="708" w:firstLine="708"/>
        <w:contextualSpacing w:val="0"/>
        <w:jc w:val="both"/>
      </w:pPr>
      <w:bookmarkStart w:colFirst="0" w:colLast="0" w:name="_qsh70q" w:id="27"/>
      <w:bookmarkEnd w:id="27"/>
      <w:r w:rsidDel="00000000" w:rsidR="00000000" w:rsidRPr="00000000">
        <w:drawing>
          <wp:inline distB="0" distT="0" distL="0" distR="0">
            <wp:extent cx="3982581" cy="933645"/>
            <wp:effectExtent b="0" l="0" r="0" t="0"/>
            <wp:docPr id="1" name="image06.png"/>
            <a:graphic>
              <a:graphicData uri="http://schemas.openxmlformats.org/drawingml/2006/picture">
                <pic:pic>
                  <pic:nvPicPr>
                    <pic:cNvPr id="0" name="image06.png"/>
                    <pic:cNvPicPr preferRelativeResize="0"/>
                  </pic:nvPicPr>
                  <pic:blipFill>
                    <a:blip r:embed="rId35"/>
                    <a:srcRect b="0" l="0" r="0" t="0"/>
                    <a:stretch>
                      <a:fillRect/>
                    </a:stretch>
                  </pic:blipFill>
                  <pic:spPr>
                    <a:xfrm>
                      <a:off x="0" y="0"/>
                      <a:ext cx="3982581" cy="933645"/>
                    </a:xfrm>
                    <a:prstGeom prst="rect"/>
                    <a:ln/>
                  </pic:spPr>
                </pic:pic>
              </a:graphicData>
            </a:graphic>
          </wp:inline>
        </w:drawing>
      </w:r>
      <w:bookmarkStart w:colFirst="0" w:colLast="0" w:name="3as4poj" w:id="26"/>
      <w:bookmarkEnd w:id="26"/>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49x2ik5" w:id="29"/>
      <w:bookmarkEnd w:id="29"/>
      <w:bookmarkStart w:colFirst="0" w:colLast="0" w:name="1pxezwc" w:id="28"/>
      <w:bookmarkEnd w:id="28"/>
      <w:r w:rsidDel="00000000" w:rsidR="00000000" w:rsidRPr="00000000">
        <w:rPr>
          <w:rFonts w:ascii="Calibri" w:cs="Calibri" w:eastAsia="Calibri" w:hAnsi="Calibri"/>
          <w:b w:val="0"/>
          <w:i w:val="1"/>
          <w:color w:val="44546a"/>
          <w:sz w:val="18"/>
          <w:szCs w:val="18"/>
          <w:rtl w:val="0"/>
        </w:rPr>
        <w:t xml:space="preserve">Figure 5 DCR model of blocking request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5</w:t>
      </w:r>
      <w:r w:rsidDel="00000000" w:rsidR="00000000" w:rsidRPr="00000000">
        <w:rPr>
          <w:rFonts w:ascii="Times New Roman" w:cs="Times New Roman" w:eastAsia="Times New Roman" w:hAnsi="Times New Roman"/>
          <w:sz w:val="24"/>
          <w:szCs w:val="24"/>
          <w:rtl w:val="0"/>
        </w:rPr>
        <w:t xml:space="preserve"> there are 3 activities – “Register”, “Blocking request” and “Block”. “Register” is the same activity from the previous graphs. “Blocking request” depicts the request of the owner for blocking, and “Block” - the process of blocking, which could be executed directly by the employees of the controller because of an unpaid debt or as a result of the request of the customer. “Blocking request” is excluded by default and can’t execute before “Register”. There is an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relation between “Register” and “Blocking request”, which means that when “Register” is executed “Blocking request” will be re-included and will be available to be triggered. The relation between “Blocking request” and “Block” is of type response. This means that after the execution of “Blocking request”, “Block” becomes a pending response. The deadline is not specified, so it could be triggered at any time. When the card is blocked the user shouldn’t be able to use the system of Rejsekort A/S. This would mean that some of the activities are no longer valid e.g. “Reload” (“Reload” is no longer valid, since the card is blocked). But we decide not to extend the graph with more constraints to keep it simple.</w:t>
      </w:r>
    </w:p>
    <w:p w:rsidR="00000000" w:rsidDel="00000000" w:rsidP="00000000" w:rsidRDefault="00000000" w:rsidRPr="00000000">
      <w:pPr>
        <w:contextualSpacing w:val="0"/>
        <w:jc w:val="both"/>
      </w:pPr>
      <w:bookmarkStart w:colFirst="0" w:colLast="0" w:name="_2p2csry" w:id="30"/>
      <w:bookmarkEnd w:id="30"/>
      <w:r w:rsidDel="00000000" w:rsidR="00000000" w:rsidRPr="00000000">
        <w:rPr>
          <w:rtl w:val="0"/>
        </w:rPr>
        <w:t xml:space="preserve">Figure 6</w:t>
      </w:r>
      <w:r w:rsidDel="00000000" w:rsidR="00000000" w:rsidRPr="00000000">
        <w:rPr>
          <w:rFonts w:ascii="Times New Roman" w:cs="Times New Roman" w:eastAsia="Times New Roman" w:hAnsi="Times New Roman"/>
          <w:sz w:val="24"/>
          <w:szCs w:val="24"/>
          <w:rtl w:val="0"/>
        </w:rPr>
        <w:t xml:space="preserve"> represents 3 different activities that all has a relation with “Register”. ”Get machine readable format” also called data portability. It means the ability of the user to get all his data from the online service he is using in a format that is compatible with other platforms, it requires common technical standards to allow the transfer from one data controller to another. </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"Controllers must make the data available in a structured, commonly used, machine-readable and interoperable format that allows the individual to transfer the data to another controller." [12].  This makes it easier to the user to have more control over the processed data. The new law could lead to some extra burden in the companies because of the additional expenses to implement a new system, dealing with the requirement. [7, Article 20]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is also “The right to be forgotten” sometimes called “right to erasure” is the right for the data subject to have his or her data erased and no longer processed under certain circumstances, which include: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personal data is no longer necessary to serve the user in relation to the purposes for which the data was collected.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data subject withdraws his or hers consent.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personal data was unlawfully used.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data subject has given his or hers consent as a child, without being fully aware of the consequences.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If a data subject has requested to exercise his or hers right to erasure, and it was evaluated as a legitimate request, the company has to contact all third parties that have gotten the data subjects’ data by the company, and have to delete the data without undue delay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request could also be rejected if the deletion of the data would diminish the freedom of expression and information of a third party, if the data is processed for public health purposes or the public interest.</w:t>
      </w:r>
      <w:r w:rsidDel="00000000" w:rsidR="00000000" w:rsidRPr="00000000">
        <w:rPr>
          <w:rtl w:val="0"/>
        </w:rPr>
      </w:r>
    </w:p>
    <w:p w:rsidR="00000000" w:rsidDel="00000000" w:rsidP="00000000" w:rsidRDefault="00000000" w:rsidRPr="00000000">
      <w:pPr>
        <w:keepNext w:val="1"/>
        <w:contextualSpacing w:val="0"/>
        <w:jc w:val="both"/>
      </w:pPr>
      <w:r w:rsidDel="00000000" w:rsidR="00000000" w:rsidRPr="00000000">
        <w:rPr>
          <w:rFonts w:ascii="Times New Roman" w:cs="Times New Roman" w:eastAsia="Times New Roman" w:hAnsi="Times New Roman"/>
          <w:sz w:val="24"/>
          <w:szCs w:val="24"/>
          <w:rtl w:val="0"/>
        </w:rPr>
        <w:t xml:space="preserve">And last we have “Request information modification” and “Modify information”. Every user has the right to change the information the company has on him or her, it could be done in order to rectify the information or for any other reason the user sees fit. “Request for information modification” is a condition to “Modify information”,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that means that the company will only modify information of its users upon request.</w:t>
      </w:r>
    </w:p>
    <w:p w:rsidR="00000000" w:rsidDel="00000000" w:rsidP="00000000" w:rsidRDefault="00000000" w:rsidRPr="00000000">
      <w:pPr>
        <w:keepNext w:val="1"/>
        <w:contextualSpacing w:val="0"/>
        <w:jc w:val="both"/>
      </w:pPr>
      <w:r w:rsidDel="00000000" w:rsidR="00000000" w:rsidRPr="00000000">
        <w:drawing>
          <wp:inline distB="114300" distT="114300" distL="114300" distR="114300">
            <wp:extent cx="5731200" cy="2463800"/>
            <wp:effectExtent b="0" l="0" r="0" t="0"/>
            <wp:docPr descr="dcr2.png" id="2" name="image09.png"/>
            <a:graphic>
              <a:graphicData uri="http://schemas.openxmlformats.org/drawingml/2006/picture">
                <pic:pic>
                  <pic:nvPicPr>
                    <pic:cNvPr descr="dcr2.png" id="0" name="image09.png"/>
                    <pic:cNvPicPr preferRelativeResize="0"/>
                  </pic:nvPicPr>
                  <pic:blipFill>
                    <a:blip r:embed="rId36"/>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3o7alnk" w:id="32"/>
      <w:bookmarkEnd w:id="32"/>
      <w:bookmarkStart w:colFirst="0" w:colLast="0" w:name="147n2zr" w:id="31"/>
      <w:bookmarkEnd w:id="31"/>
      <w:r w:rsidDel="00000000" w:rsidR="00000000" w:rsidRPr="00000000">
        <w:rPr>
          <w:rFonts w:ascii="Calibri" w:cs="Calibri" w:eastAsia="Calibri" w:hAnsi="Calibri"/>
          <w:b w:val="0"/>
          <w:i w:val="1"/>
          <w:color w:val="44546a"/>
          <w:sz w:val="18"/>
          <w:szCs w:val="18"/>
          <w:rtl w:val="0"/>
        </w:rPr>
        <w:t xml:space="preserve">Figure 6 DCR model of data poratbilty, information modification and the right to be forgotten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can see from </w:t>
      </w:r>
      <w:r w:rsidDel="00000000" w:rsidR="00000000" w:rsidRPr="00000000">
        <w:rPr>
          <w:rtl w:val="0"/>
        </w:rPr>
        <w:t xml:space="preserve">Figure 6</w:t>
      </w:r>
      <w:r w:rsidDel="00000000" w:rsidR="00000000" w:rsidRPr="00000000">
        <w:rPr>
          <w:rFonts w:ascii="Times New Roman" w:cs="Times New Roman" w:eastAsia="Times New Roman" w:hAnsi="Times New Roman"/>
          <w:sz w:val="24"/>
          <w:szCs w:val="24"/>
          <w:rtl w:val="0"/>
        </w:rPr>
        <w:t xml:space="preserve"> 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the next figure we have modeled the process of giving and withdrawing the consent for opinion research institutes to process the user's personal data. Rejsekort sends users data to opinion research institutes, the data includes the name, the address and the email. It is done in order to carry out customer satisfaction surveys and improve the user experience. Only users who have agreed to share their data and have given an explicit consent will have their data used. The company will need the explicit consent of the user for each purpose it is going to use the data for. The opinion research institute will delete the received personal data when they have completed their task. This consent is not mandatory in order to use Rejsekort A/S, but if given will help improve the overall service.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data subject can, if he or she has previously given a consent to the company sending personal data to an opinion research institute, withdraw the consent for that processing without any justification. By withdrawing his or hers consent, the user is ensured that their personal data will not be used in future customer satisfaction surveys.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To model this part of the process, we have used the same “switch” as in </w:t>
      </w:r>
      <w:r w:rsidDel="00000000" w:rsidR="00000000" w:rsidRPr="00000000">
        <w:rPr>
          <w:rtl w:val="0"/>
        </w:rPr>
        <w:t xml:space="preserve">Figure 7</w:t>
      </w:r>
      <w:r w:rsidDel="00000000" w:rsidR="00000000" w:rsidRPr="00000000">
        <w:rPr>
          <w:rFonts w:ascii="Times New Roman" w:cs="Times New Roman" w:eastAsia="Times New Roman" w:hAnsi="Times New Roman"/>
          <w:sz w:val="24"/>
          <w:szCs w:val="24"/>
          <w:rtl w:val="0"/>
        </w:rPr>
        <w:t xml:space="preserve">. In order to execute “Send data to opinion research institutes” the consent has to be given. When the consent is withdrawn it is no longer possible to execute that activity.</w:t>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6200458" cy="1733550"/>
            <wp:effectExtent b="0" l="0" r="0" t="0"/>
            <wp:docPr descr="dcr4.png" id="3" name="image10.png"/>
            <a:graphic>
              <a:graphicData uri="http://schemas.openxmlformats.org/drawingml/2006/picture">
                <pic:pic>
                  <pic:nvPicPr>
                    <pic:cNvPr descr="dcr4.png" id="0" name="image10.png"/>
                    <pic:cNvPicPr preferRelativeResize="0"/>
                  </pic:nvPicPr>
                  <pic:blipFill>
                    <a:blip r:embed="rId37"/>
                    <a:srcRect b="0" l="0" r="0" t="0"/>
                    <a:stretch>
                      <a:fillRect/>
                    </a:stretch>
                  </pic:blipFill>
                  <pic:spPr>
                    <a:xfrm>
                      <a:off x="0" y="0"/>
                      <a:ext cx="6200458" cy="17335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ihv636" w:id="34"/>
      <w:bookmarkEnd w:id="34"/>
      <w:bookmarkStart w:colFirst="0" w:colLast="0" w:name="23ckvvd" w:id="33"/>
      <w:bookmarkEnd w:id="33"/>
      <w:r w:rsidDel="00000000" w:rsidR="00000000" w:rsidRPr="00000000">
        <w:rPr>
          <w:rFonts w:ascii="Calibri" w:cs="Calibri" w:eastAsia="Calibri" w:hAnsi="Calibri"/>
          <w:b w:val="0"/>
          <w:i w:val="1"/>
          <w:color w:val="44546a"/>
          <w:sz w:val="18"/>
          <w:szCs w:val="18"/>
          <w:rtl w:val="0"/>
        </w:rPr>
        <w:t xml:space="preserve">Figure 7 DCR model of giving and withdrawing consent for opinion-research institues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can see from the </w:t>
      </w:r>
      <w:r w:rsidDel="00000000" w:rsidR="00000000" w:rsidRPr="00000000">
        <w:rPr>
          <w:rtl w:val="0"/>
        </w:rPr>
        <w:t xml:space="preserve">Figure 7</w:t>
      </w:r>
      <w:r w:rsidDel="00000000" w:rsidR="00000000" w:rsidRPr="00000000">
        <w:rPr>
          <w:rFonts w:ascii="Times New Roman" w:cs="Times New Roman" w:eastAsia="Times New Roman" w:hAnsi="Times New Roman"/>
          <w:sz w:val="24"/>
          <w:szCs w:val="24"/>
          <w:rtl w:val="0"/>
        </w:rPr>
        <w:t xml:space="preserve"> that we have one activity called “Block opinion-research institutes”, which we have not talked about earlier. This activity is basically a switch.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Each personal data breach which can lead to material or/and non-material damages to natural persons should be notified to the supervisory authority. When the processor of personal data becomes aware of such a data breach, it is expected to inform the controller immediately. The controller is required to inform the supervisory authority within 72 hours. This notification should include details about the kind of the breach and where it occurred, how many persons are affected, the possible consequences and measures which will be taken to address the security gap.  If the data breach poses risks for the rights and freedoms of the natural persons, there appears a necessity for the controller to notify the data subjects as well. In </w:t>
      </w:r>
      <w:r w:rsidDel="00000000" w:rsidR="00000000" w:rsidRPr="00000000">
        <w:rPr>
          <w:rtl w:val="0"/>
        </w:rPr>
        <w:t xml:space="preserve">Figure 9</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tl w:val="0"/>
        </w:rPr>
        <w:t xml:space="preserve">Figure 9</w:t>
      </w:r>
      <w:r w:rsidDel="00000000" w:rsidR="00000000" w:rsidRPr="00000000">
        <w:rPr>
          <w:rFonts w:ascii="Times New Roman" w:cs="Times New Roman" w:eastAsia="Times New Roman" w:hAnsi="Times New Roman"/>
          <w:sz w:val="24"/>
          <w:szCs w:val="24"/>
          <w:rtl w:val="0"/>
        </w:rPr>
        <w:t xml:space="preserve"> the DCR model of the data breach in our process is shown.</w:t>
      </w:r>
    </w:p>
    <w:p w:rsidR="00000000" w:rsidDel="00000000" w:rsidP="00000000" w:rsidRDefault="00000000" w:rsidRPr="00000000">
      <w:pPr>
        <w:keepNext w:val="1"/>
        <w:ind w:firstLine="360"/>
        <w:contextualSpacing w:val="0"/>
        <w:jc w:val="center"/>
      </w:pPr>
      <w:r w:rsidDel="00000000" w:rsidR="00000000" w:rsidRPr="00000000">
        <w:drawing>
          <wp:inline distB="0" distT="0" distL="0" distR="0">
            <wp:extent cx="2640470" cy="897585"/>
            <wp:effectExtent b="0" l="0" r="0" t="0"/>
            <wp:docPr id="4"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2640470" cy="89758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_1hmsyys" w:id="36"/>
      <w:bookmarkEnd w:id="36"/>
      <w:bookmarkStart w:colFirst="0" w:colLast="0" w:name="32hioqz" w:id="35"/>
      <w:bookmarkEnd w:id="35"/>
      <w:r w:rsidDel="00000000" w:rsidR="00000000" w:rsidRPr="00000000">
        <w:rPr>
          <w:rFonts w:ascii="Calibri" w:cs="Calibri" w:eastAsia="Calibri" w:hAnsi="Calibri"/>
          <w:b w:val="0"/>
          <w:i w:val="1"/>
          <w:color w:val="44546a"/>
          <w:sz w:val="18"/>
          <w:szCs w:val="18"/>
          <w:rtl w:val="0"/>
        </w:rPr>
        <w:t xml:space="preserve">Figure 8 DCR model of data breach; no sub-process spawned</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The model in </w:t>
      </w:r>
      <w:r w:rsidDel="00000000" w:rsidR="00000000" w:rsidRPr="00000000">
        <w:rPr>
          <w:rtl w:val="0"/>
        </w:rPr>
        <w:t xml:space="preserve">Figure 8</w:t>
      </w:r>
      <w:r w:rsidDel="00000000" w:rsidR="00000000" w:rsidRPr="00000000">
        <w:rPr>
          <w:rFonts w:ascii="Times New Roman" w:cs="Times New Roman" w:eastAsia="Times New Roman" w:hAnsi="Times New Roman"/>
          <w:sz w:val="24"/>
          <w:szCs w:val="24"/>
          <w:rtl w:val="0"/>
        </w:rPr>
        <w:t xml:space="preserve"> includes the activity “Register” and the sub-process “Data breach” that is initially “closed” – no sub-process is spawned – where “Data breach” represents the data breach of the personal data. The relation between “Register” and “Data breach” is of type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The model after the spawning of the first sub-process can be seen in </w:t>
      </w:r>
      <w:r w:rsidDel="00000000" w:rsidR="00000000" w:rsidRPr="00000000">
        <w:rPr>
          <w:rtl w:val="0"/>
        </w:rPr>
        <w:t xml:space="preserve">Figure 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1"/>
        <w:ind w:firstLine="360"/>
        <w:contextualSpacing w:val="0"/>
        <w:jc w:val="center"/>
      </w:pPr>
      <w:r w:rsidDel="00000000" w:rsidR="00000000" w:rsidRPr="00000000">
        <w:drawing>
          <wp:inline distB="0" distT="0" distL="0" distR="0">
            <wp:extent cx="5481458" cy="935328"/>
            <wp:effectExtent b="0" l="0" r="0" t="0"/>
            <wp:docPr id="5"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5481458" cy="93532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2grqrue" w:id="38"/>
      <w:bookmarkEnd w:id="38"/>
      <w:bookmarkStart w:colFirst="0" w:colLast="0" w:name="41mghml" w:id="37"/>
      <w:bookmarkEnd w:id="37"/>
      <w:r w:rsidDel="00000000" w:rsidR="00000000" w:rsidRPr="00000000">
        <w:rPr>
          <w:rFonts w:ascii="Calibri" w:cs="Calibri" w:eastAsia="Calibri" w:hAnsi="Calibri"/>
          <w:b w:val="0"/>
          <w:i w:val="1"/>
          <w:color w:val="44546a"/>
          <w:sz w:val="18"/>
          <w:szCs w:val="18"/>
          <w:rtl w:val="0"/>
        </w:rPr>
        <w:t xml:space="preserve">Figure 9 DCR model of data breach; One sub-process is spawned</w:t>
      </w:r>
      <w:r w:rsidDel="00000000" w:rsidR="00000000" w:rsidRPr="00000000">
        <w:rPr>
          <w:rtl w:val="0"/>
        </w:rPr>
      </w:r>
    </w:p>
    <w:p w:rsidR="00000000" w:rsidDel="00000000" w:rsidP="00000000" w:rsidRDefault="00000000" w:rsidRPr="00000000">
      <w:pPr>
        <w:keepNext w:val="1"/>
        <w:ind w:firstLine="360"/>
        <w:contextualSpacing w:val="0"/>
        <w:jc w:val="both"/>
      </w:pPr>
      <w:r w:rsidDel="00000000" w:rsidR="00000000" w:rsidRPr="00000000">
        <w:rPr>
          <w:rFonts w:ascii="Times New Roman" w:cs="Times New Roman" w:eastAsia="Times New Roman" w:hAnsi="Times New Roman"/>
          <w:sz w:val="24"/>
          <w:szCs w:val="24"/>
          <w:rtl w:val="0"/>
        </w:rPr>
        <w:t xml:space="preserve">The sub-process includes the following activities: “StartNotification”, “Notify authority”, “Assess the risk”, “High risk” and “Notify data subject”. “Notify authority” depicts the act of notifying the supervisory authority, which should be done within 3 days. “Asses the risk” – the process of assessing the risk from the data breach for the rights and freedoms of the data subject. “High risk” – checks if the mentioned risk is high. The activity “Notify data subject” represent notifying the data subject about the likely consequences in the case that the risk is very high. “</w:t>
      </w:r>
      <w:r w:rsidDel="00000000" w:rsidR="00000000" w:rsidRPr="00000000">
        <w:rPr>
          <w:rFonts w:ascii="Times New Roman" w:cs="Times New Roman" w:eastAsia="Times New Roman" w:hAnsi="Times New Roman"/>
          <w:sz w:val="24"/>
          <w:szCs w:val="24"/>
          <w:highlight w:val="red"/>
          <w:rtl w:val="0"/>
        </w:rPr>
        <w:t xml:space="preserve">StartNotification” is a helper event that exclude itself after its execution.</w:t>
      </w:r>
      <w:r w:rsidDel="00000000" w:rsidR="00000000" w:rsidRPr="00000000">
        <w:rPr>
          <w:rFonts w:ascii="Times New Roman" w:cs="Times New Roman" w:eastAsia="Times New Roman" w:hAnsi="Times New Roman"/>
          <w:sz w:val="24"/>
          <w:szCs w:val="24"/>
          <w:rtl w:val="0"/>
        </w:rPr>
        <w:t xml:space="preserve"> It prevents the deadline for notifying the authority to be reset to 3 [days], when another data breach is </w:t>
      </w:r>
      <w:r w:rsidDel="00000000" w:rsidR="00000000" w:rsidRPr="00000000">
        <w:rPr>
          <w:rFonts w:ascii="Times New Roman" w:cs="Times New Roman" w:eastAsia="Times New Roman" w:hAnsi="Times New Roman"/>
          <w:sz w:val="24"/>
          <w:szCs w:val="24"/>
          <w:highlight w:val="yellow"/>
          <w:rtl w:val="0"/>
        </w:rPr>
        <w:t xml:space="preserve">registered</w:t>
      </w:r>
      <w:r w:rsidDel="00000000" w:rsidR="00000000" w:rsidRPr="00000000">
        <w:rPr>
          <w:rFonts w:ascii="Times New Roman" w:cs="Times New Roman" w:eastAsia="Times New Roman" w:hAnsi="Times New Roman"/>
          <w:sz w:val="24"/>
          <w:szCs w:val="24"/>
          <w:rtl w:val="0"/>
        </w:rPr>
        <w:t xml:space="preserve"> within 3 days. This is explained in more details in section 4.  As can be seen in </w:t>
      </w:r>
      <w:r w:rsidDel="00000000" w:rsidR="00000000" w:rsidRPr="00000000">
        <w:rPr>
          <w:rtl w:val="0"/>
        </w:rPr>
        <w:t xml:space="preserve">Figure 9</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highlight w:val="yellow"/>
          <w:rtl w:val="0"/>
        </w:rPr>
        <w:t xml:space="preserve">constraint</w:t>
      </w:r>
      <w:r w:rsidDel="00000000" w:rsidR="00000000" w:rsidRPr="00000000">
        <w:rPr>
          <w:rFonts w:ascii="Times New Roman" w:cs="Times New Roman" w:eastAsia="Times New Roman" w:hAnsi="Times New Roman"/>
          <w:sz w:val="24"/>
          <w:szCs w:val="24"/>
          <w:rtl w:val="0"/>
        </w:rPr>
        <w:t xml:space="preserve"> between “StartNotification” and “Asses the risk” is of type </w:t>
      </w:r>
      <w:r w:rsidDel="00000000" w:rsidR="00000000" w:rsidRPr="00000000">
        <w:rPr>
          <w:rFonts w:ascii="Times New Roman" w:cs="Times New Roman" w:eastAsia="Times New Roman" w:hAnsi="Times New Roman"/>
          <w:i w:val="1"/>
          <w:sz w:val="24"/>
          <w:szCs w:val="24"/>
          <w:rtl w:val="0"/>
        </w:rPr>
        <w:t xml:space="preserve">response. </w:t>
      </w:r>
      <w:r w:rsidDel="00000000" w:rsidR="00000000" w:rsidRPr="00000000">
        <w:rPr>
          <w:rFonts w:ascii="Times New Roman" w:cs="Times New Roman" w:eastAsia="Times New Roman" w:hAnsi="Times New Roman"/>
          <w:sz w:val="24"/>
          <w:szCs w:val="24"/>
          <w:rtl w:val="0"/>
        </w:rPr>
        <w:t xml:space="preserve">It is expected the assessment to be done as soon as possible. “Asses the risk” and “High risk” are </w:t>
      </w:r>
      <w:r w:rsidDel="00000000" w:rsidR="00000000" w:rsidRPr="00000000">
        <w:rPr>
          <w:rFonts w:ascii="Times New Roman" w:cs="Times New Roman" w:eastAsia="Times New Roman" w:hAnsi="Times New Roman"/>
          <w:sz w:val="24"/>
          <w:szCs w:val="24"/>
          <w:highlight w:val="yellow"/>
          <w:rtl w:val="0"/>
        </w:rPr>
        <w:t xml:space="preserve">connected</w:t>
      </w:r>
      <w:r w:rsidDel="00000000" w:rsidR="00000000" w:rsidRPr="00000000">
        <w:rPr>
          <w:rFonts w:ascii="Times New Roman" w:cs="Times New Roman" w:eastAsia="Times New Roman" w:hAnsi="Times New Roman"/>
          <w:sz w:val="24"/>
          <w:szCs w:val="24"/>
          <w:rtl w:val="0"/>
        </w:rPr>
        <w:t xml:space="preserve"> trough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relation. </w:t>
      </w:r>
      <w:r w:rsidDel="00000000" w:rsidR="00000000" w:rsidRPr="00000000">
        <w:rPr>
          <w:rFonts w:ascii="Times New Roman" w:cs="Times New Roman" w:eastAsia="Times New Roman" w:hAnsi="Times New Roman"/>
          <w:sz w:val="24"/>
          <w:szCs w:val="24"/>
          <w:highlight w:val="red"/>
          <w:rtl w:val="0"/>
        </w:rPr>
        <w:t xml:space="preserve">This like that,</w:t>
      </w:r>
      <w:r w:rsidDel="00000000" w:rsidR="00000000" w:rsidRPr="00000000">
        <w:rPr>
          <w:rFonts w:ascii="Times New Roman" w:cs="Times New Roman" w:eastAsia="Times New Roman" w:hAnsi="Times New Roman"/>
          <w:sz w:val="24"/>
          <w:szCs w:val="24"/>
          <w:rtl w:val="0"/>
        </w:rPr>
        <w:t xml:space="preserve"> because by default “High risk” is excluded and it can’t be available for execution before the risk assessment. The activities “High risk” and “Notify data subject” are connected with two relations –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because the “Notify data subject” is by default excluded, and </w:t>
      </w:r>
      <w:r w:rsidDel="00000000" w:rsidR="00000000" w:rsidRPr="00000000">
        <w:rPr>
          <w:rFonts w:ascii="Times New Roman" w:cs="Times New Roman" w:eastAsia="Times New Roman" w:hAnsi="Times New Roman"/>
          <w:i w:val="1"/>
          <w:sz w:val="24"/>
          <w:szCs w:val="24"/>
          <w:rtl w:val="0"/>
        </w:rPr>
        <w:t xml:space="preserve">condition</w:t>
      </w:r>
      <w:r w:rsidDel="00000000" w:rsidR="00000000" w:rsidRPr="00000000">
        <w:rPr>
          <w:rFonts w:ascii="Times New Roman" w:cs="Times New Roman" w:eastAsia="Times New Roman" w:hAnsi="Times New Roman"/>
          <w:sz w:val="24"/>
          <w:szCs w:val="24"/>
          <w:rtl w:val="0"/>
        </w:rPr>
        <w:t xml:space="preserve">, because even included “Notify data subject” can’t be executed before “High risk”. For spawning new sub-process as a result of data breaches, the sub-process activity “Data breach” should be executed. </w:t>
      </w:r>
    </w:p>
    <w:p w:rsidR="00000000" w:rsidDel="00000000" w:rsidP="00000000" w:rsidRDefault="00000000" w:rsidRPr="00000000">
      <w:pPr>
        <w:pStyle w:val="Heading1"/>
        <w:numPr>
          <w:ilvl w:val="0"/>
          <w:numId w:val="3"/>
        </w:numPr>
        <w:ind w:left="720" w:hanging="360"/>
        <w:jc w:val="both"/>
        <w:rPr/>
      </w:pPr>
      <w:bookmarkStart w:colFirst="0" w:colLast="0" w:name="_vx1227" w:id="39"/>
      <w:bookmarkEnd w:id="39"/>
      <w:r w:rsidDel="00000000" w:rsidR="00000000" w:rsidRPr="00000000">
        <w:rPr>
          <w:rtl w:val="0"/>
        </w:rPr>
        <w:t xml:space="preserve">Reflection </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When an imperative approach is used for modeling a business process, we should define all the legal steps to end in another legal step. At each step we specify, which are the next possible ones. A deviation from the predefined path from a step to another step is not allowed. "However, while imperative approaches are a strong concept when it comes to well-defined processes, they lack clarity once an observed behavior allows for flexible execution." [9]</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In the declarative approach, on the other hand, each transition from a state to another state is allowed by default, except there is no violation of any of the constraints. Instead of defining the allowed sequences of events, the workflow is described using rules between the events [10]. The flexibility of the declarative way, like DCR, comes from the fact that, when a new </w:t>
      </w:r>
      <w:r w:rsidDel="00000000" w:rsidR="00000000" w:rsidRPr="00000000">
        <w:rPr>
          <w:rFonts w:ascii="Times New Roman" w:cs="Times New Roman" w:eastAsia="Times New Roman" w:hAnsi="Times New Roman"/>
          <w:sz w:val="24"/>
          <w:szCs w:val="24"/>
          <w:highlight w:val="yellow"/>
          <w:rtl w:val="0"/>
        </w:rPr>
        <w:t xml:space="preserve">constraint</w:t>
      </w:r>
      <w:r w:rsidDel="00000000" w:rsidR="00000000" w:rsidRPr="00000000">
        <w:rPr>
          <w:rFonts w:ascii="Times New Roman" w:cs="Times New Roman" w:eastAsia="Times New Roman" w:hAnsi="Times New Roman"/>
          <w:sz w:val="24"/>
          <w:szCs w:val="24"/>
          <w:rtl w:val="0"/>
        </w:rPr>
        <w:t xml:space="preserve"> between the events arises, it is enough to define it in the graph without explicitly rearranging the flow in the diagram.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We can see also that using a DCR graph to model our system will be smaller in size comparing if we would use a flowchart. In our example, the user can withdraw the consent for processing his or her data at any time. In order to model that with a flow chart, we have to add an “arrow” from the withdraw activity to all the other activity, which will, if we have enough activities, render the chart unread</w:t>
      </w:r>
      <w:r w:rsidDel="00000000" w:rsidR="00000000" w:rsidRPr="00000000">
        <w:rPr>
          <w:rtl w:val="0"/>
        </w:rPr>
        <w:t xml:space="preserve">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In a DCR graph there is no need to put a loop, if some actions would be executed in a cyclic order. The approach here in DCR is to put the appropriate constrains in a way that they allow cyclic execution. The graph 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above shows that if the consent for mandatory is not given, the activities in the group “Mandatory” are blocked. This is the initial state of the graph. When the consent is given, the events in the group become allowed - the graph is shown in </w:t>
      </w:r>
      <w:r w:rsidDel="00000000" w:rsidR="00000000" w:rsidRPr="00000000">
        <w:rPr>
          <w:rtl w:val="0"/>
        </w:rPr>
        <w:t xml:space="preserve">Figure 10.</w:t>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325075" cy="1442208"/>
            <wp:effectExtent b="0" l="0" r="0" t="0"/>
            <wp:docPr id="6"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5325075" cy="144220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1v1yuxt" w:id="41"/>
      <w:bookmarkEnd w:id="41"/>
      <w:bookmarkStart w:colFirst="0" w:colLast="0" w:name="3fwokq0" w:id="40"/>
      <w:bookmarkEnd w:id="40"/>
      <w:r w:rsidDel="00000000" w:rsidR="00000000" w:rsidRPr="00000000">
        <w:rPr>
          <w:rFonts w:ascii="Calibri" w:cs="Calibri" w:eastAsia="Calibri" w:hAnsi="Calibri"/>
          <w:b w:val="0"/>
          <w:i w:val="1"/>
          <w:color w:val="44546a"/>
          <w:sz w:val="18"/>
          <w:szCs w:val="18"/>
          <w:rtl w:val="0"/>
        </w:rPr>
        <w:t xml:space="preserve">Figure 10 DCR model of giving consent for main purposes. The activities in group Mandatory are available</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4f1mdlm" w:id="43"/>
      <w:bookmarkEnd w:id="43"/>
      <w:bookmarkStart w:colFirst="0" w:colLast="0" w:name="2u6wntf" w:id="42"/>
      <w:bookmarkEnd w:id="42"/>
      <w:r w:rsidDel="00000000" w:rsidR="00000000" w:rsidRPr="00000000">
        <w:rPr>
          <w:rFonts w:ascii="Times New Roman" w:cs="Times New Roman" w:eastAsia="Times New Roman" w:hAnsi="Times New Roman"/>
          <w:sz w:val="24"/>
          <w:szCs w:val="24"/>
          <w:rtl w:val="0"/>
        </w:rPr>
        <w:t xml:space="preserve">And now if we withdraw our consent, the activities in the group would be blocked and the graph would look like this in </w:t>
      </w:r>
      <w:r w:rsidDel="00000000" w:rsidR="00000000" w:rsidRPr="00000000">
        <w:rPr>
          <w:rtl w:val="0"/>
        </w:rPr>
        <w:t xml:space="preserve">Figure 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270406" cy="1435535"/>
            <wp:effectExtent b="0" l="0" r="0" t="0"/>
            <wp:docPr id="7" name="image38.png"/>
            <a:graphic>
              <a:graphicData uri="http://schemas.openxmlformats.org/drawingml/2006/picture">
                <pic:pic>
                  <pic:nvPicPr>
                    <pic:cNvPr id="0" name="image38.png"/>
                    <pic:cNvPicPr preferRelativeResize="0"/>
                  </pic:nvPicPr>
                  <pic:blipFill>
                    <a:blip r:embed="rId41"/>
                    <a:srcRect b="0" l="0" r="0" t="0"/>
                    <a:stretch>
                      <a:fillRect/>
                    </a:stretch>
                  </pic:blipFill>
                  <pic:spPr>
                    <a:xfrm>
                      <a:off x="0" y="0"/>
                      <a:ext cx="5270406" cy="143553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3tbugp1" w:id="45"/>
      <w:bookmarkEnd w:id="45"/>
      <w:bookmarkStart w:colFirst="0" w:colLast="0" w:name="19c6y18" w:id="44"/>
      <w:bookmarkEnd w:id="44"/>
      <w:r w:rsidDel="00000000" w:rsidR="00000000" w:rsidRPr="00000000">
        <w:rPr>
          <w:rFonts w:ascii="Calibri" w:cs="Calibri" w:eastAsia="Calibri" w:hAnsi="Calibri"/>
          <w:b w:val="0"/>
          <w:i w:val="1"/>
          <w:color w:val="44546a"/>
          <w:sz w:val="18"/>
          <w:szCs w:val="18"/>
          <w:rtl w:val="0"/>
        </w:rPr>
        <w:t xml:space="preserve">Figure 11 DCR model of giving consent for main purposes. The activities in group Mandatory are blocked</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28h4qwu" w:id="47"/>
      <w:bookmarkEnd w:id="47"/>
      <w:bookmarkStart w:colFirst="0" w:colLast="0" w:name="nmf14n" w:id="46"/>
      <w:bookmarkEnd w:id="46"/>
      <w:r w:rsidDel="00000000" w:rsidR="00000000" w:rsidRPr="00000000">
        <w:rPr>
          <w:rFonts w:ascii="Times New Roman" w:cs="Times New Roman" w:eastAsia="Times New Roman" w:hAnsi="Times New Roman"/>
          <w:sz w:val="24"/>
          <w:szCs w:val="24"/>
          <w:rtl w:val="0"/>
        </w:rPr>
        <w:t xml:space="preserve">In figure </w:t>
      </w:r>
      <w:r w:rsidDel="00000000" w:rsidR="00000000" w:rsidRPr="00000000">
        <w:rPr>
          <w:rtl w:val="0"/>
        </w:rPr>
        <w:t xml:space="preserve">Figure 11</w:t>
      </w:r>
      <w:r w:rsidDel="00000000" w:rsidR="00000000" w:rsidRPr="00000000">
        <w:rPr>
          <w:rFonts w:ascii="Times New Roman" w:cs="Times New Roman" w:eastAsia="Times New Roman" w:hAnsi="Times New Roman"/>
          <w:sz w:val="24"/>
          <w:szCs w:val="24"/>
          <w:rtl w:val="0"/>
        </w:rPr>
        <w:t xml:space="preserve"> we can see that the activities in “Mandatory” are again not allowed because of the existing condition constraint with “Mandatory” group. If we decide to give the consent again, then the only thing to be done is to execute the activity “Give consent for main purposes”. There is no need to define any loops and we don’t change the flow explicitly. The only thing to be done is to add constraints. </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37m2jsg" w:id="48"/>
      <w:bookmarkEnd w:id="48"/>
      <w:r w:rsidDel="00000000" w:rsidR="00000000" w:rsidRPr="00000000">
        <w:rPr>
          <w:rFonts w:ascii="Times New Roman" w:cs="Times New Roman" w:eastAsia="Times New Roman" w:hAnsi="Times New Roman"/>
          <w:sz w:val="24"/>
          <w:szCs w:val="24"/>
          <w:rtl w:val="0"/>
        </w:rPr>
        <w:t xml:space="preserve">We encountered a problem with the sub-process entries in DCR Workbench. When a new sub-process is spawn after an existing one, the deadlines of the pending responses in the existing sub-process are reset to their initial values, which is not correct. We will demonstrate this with an example to the sub-process “Data breach” from our graph. The </w:t>
      </w:r>
      <w:r w:rsidDel="00000000" w:rsidR="00000000" w:rsidRPr="00000000">
        <w:rPr>
          <w:rtl w:val="0"/>
        </w:rPr>
        <w:t xml:space="preserve">Figure 12</w:t>
      </w:r>
      <w:r w:rsidDel="00000000" w:rsidR="00000000" w:rsidRPr="00000000">
        <w:rPr>
          <w:rFonts w:ascii="Times New Roman" w:cs="Times New Roman" w:eastAsia="Times New Roman" w:hAnsi="Times New Roman"/>
          <w:sz w:val="24"/>
          <w:szCs w:val="24"/>
          <w:rtl w:val="0"/>
        </w:rPr>
        <w:t xml:space="preserve"> shows the sub-process item “Data breach” with two spawned sub-processes. </w:t>
      </w:r>
    </w:p>
    <w:p w:rsidR="00000000" w:rsidDel="00000000" w:rsidP="00000000" w:rsidRDefault="00000000" w:rsidRPr="00000000">
      <w:pPr>
        <w:keepNext w:val="1"/>
        <w:contextualSpacing w:val="0"/>
        <w:jc w:val="both"/>
      </w:pPr>
      <w:r w:rsidDel="00000000" w:rsidR="00000000" w:rsidRPr="00000000">
        <w:drawing>
          <wp:inline distB="0" distT="0" distL="0" distR="0">
            <wp:extent cx="5361393" cy="2538269"/>
            <wp:effectExtent b="0" l="0" r="0" t="0"/>
            <wp:docPr id="8" name="image39.png"/>
            <a:graphic>
              <a:graphicData uri="http://schemas.openxmlformats.org/drawingml/2006/picture">
                <pic:pic>
                  <pic:nvPicPr>
                    <pic:cNvPr id="0" name="image39.png"/>
                    <pic:cNvPicPr preferRelativeResize="0"/>
                  </pic:nvPicPr>
                  <pic:blipFill>
                    <a:blip r:embed="rId42"/>
                    <a:srcRect b="0" l="0" r="0" t="0"/>
                    <a:stretch>
                      <a:fillRect/>
                    </a:stretch>
                  </pic:blipFill>
                  <pic:spPr>
                    <a:xfrm>
                      <a:off x="0" y="0"/>
                      <a:ext cx="5361393" cy="2538269"/>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46r0co2" w:id="50"/>
      <w:bookmarkEnd w:id="50"/>
      <w:bookmarkStart w:colFirst="0" w:colLast="0" w:name="1mrcu09" w:id="49"/>
      <w:bookmarkEnd w:id="49"/>
      <w:r w:rsidDel="00000000" w:rsidR="00000000" w:rsidRPr="00000000">
        <w:rPr>
          <w:rFonts w:ascii="Calibri" w:cs="Calibri" w:eastAsia="Calibri" w:hAnsi="Calibri"/>
          <w:b w:val="0"/>
          <w:i w:val="1"/>
          <w:color w:val="44546a"/>
          <w:sz w:val="18"/>
          <w:szCs w:val="18"/>
          <w:rtl w:val="0"/>
        </w:rPr>
        <w:t xml:space="preserve">Figure 12 DCR model of Data breach. Two sub-process are spawned</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This is not a correct behavior.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An additional helper event is added to fix this error. The new graph is shown in </w:t>
      </w:r>
      <w:r w:rsidDel="00000000" w:rsidR="00000000" w:rsidRPr="00000000">
        <w:rPr>
          <w:rtl w:val="0"/>
        </w:rPr>
        <w:t xml:space="preserve">Figure 13</w:t>
      </w:r>
      <w:r w:rsidDel="00000000" w:rsidR="00000000" w:rsidRPr="00000000">
        <w:rPr>
          <w:rFonts w:ascii="Times New Roman" w:cs="Times New Roman" w:eastAsia="Times New Roman" w:hAnsi="Times New Roman"/>
          <w:sz w:val="24"/>
          <w:szCs w:val="24"/>
          <w:rtl w:val="0"/>
        </w:rPr>
        <w:t xml:space="preserve">. The event added is “StartNotification” that is put before the activities “Asses the risk” and “Notify Authority”. “StartNotification” has </w:t>
      </w:r>
      <w:r w:rsidDel="00000000" w:rsidR="00000000" w:rsidRPr="00000000">
        <w:rPr>
          <w:rFonts w:ascii="Times New Roman" w:cs="Times New Roman" w:eastAsia="Times New Roman" w:hAnsi="Times New Roman"/>
          <w:i w:val="1"/>
          <w:sz w:val="24"/>
          <w:szCs w:val="24"/>
          <w:rtl w:val="0"/>
        </w:rPr>
        <w:t xml:space="preserve">exclude</w:t>
      </w:r>
      <w:r w:rsidDel="00000000" w:rsidR="00000000" w:rsidRPr="00000000">
        <w:rPr>
          <w:rFonts w:ascii="Times New Roman" w:cs="Times New Roman" w:eastAsia="Times New Roman" w:hAnsi="Times New Roman"/>
          <w:sz w:val="24"/>
          <w:szCs w:val="24"/>
          <w:rtl w:val="0"/>
        </w:rPr>
        <w:t xml:space="preserve"> relations to itself. After the execution of “StartNotification” it will exclude itself and will be no longer a condition for “Notify authority”, but it will require a pending response with deadline 3 days. When a new data breach will be registered, which means “Data breach” will be executed again, now this will not reset the deadlines of the previous “Notify authority” activities, where “StartNotification” has already executed. “Data breach” will not affect the deadline of “Notify authority”, because “StartNotification” “cuts” the relation between these two events.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To fix this error we recommend not to enforce responses for the sub-processes which are already spawned. If this will be fixed, we will be able to connect directly “Data breach” and “Notify authority” with no need of medium helper event.</w:t>
      </w:r>
    </w:p>
    <w:p w:rsidR="00000000" w:rsidDel="00000000" w:rsidP="00000000" w:rsidRDefault="00000000" w:rsidRPr="00000000">
      <w:pPr>
        <w:keepNext w:val="1"/>
        <w:contextualSpacing w:val="0"/>
        <w:jc w:val="both"/>
      </w:pPr>
      <w:r w:rsidDel="00000000" w:rsidR="00000000" w:rsidRPr="00000000">
        <w:drawing>
          <wp:inline distB="0" distT="0" distL="0" distR="0">
            <wp:extent cx="5760720" cy="1736090"/>
            <wp:effectExtent b="0" l="0" r="0" t="0"/>
            <wp:docPr id="9" name="image40.png"/>
            <a:graphic>
              <a:graphicData uri="http://schemas.openxmlformats.org/drawingml/2006/picture">
                <pic:pic>
                  <pic:nvPicPr>
                    <pic:cNvPr id="0" name="image40.png"/>
                    <pic:cNvPicPr preferRelativeResize="0"/>
                  </pic:nvPicPr>
                  <pic:blipFill>
                    <a:blip r:embed="rId43"/>
                    <a:srcRect b="0" l="0" r="0" t="0"/>
                    <a:stretch>
                      <a:fillRect/>
                    </a:stretch>
                  </pic:blipFill>
                  <pic:spPr>
                    <a:xfrm>
                      <a:off x="0" y="0"/>
                      <a:ext cx="5760720" cy="173609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111kx3o" w:id="52"/>
      <w:bookmarkEnd w:id="52"/>
      <w:bookmarkStart w:colFirst="0" w:colLast="0" w:name="2lwamvv" w:id="51"/>
      <w:bookmarkEnd w:id="51"/>
      <w:r w:rsidDel="00000000" w:rsidR="00000000" w:rsidRPr="00000000">
        <w:rPr>
          <w:rFonts w:ascii="Calibri" w:cs="Calibri" w:eastAsia="Calibri" w:hAnsi="Calibri"/>
          <w:b w:val="0"/>
          <w:i w:val="1"/>
          <w:color w:val="44546a"/>
          <w:sz w:val="18"/>
          <w:szCs w:val="18"/>
          <w:rtl w:val="0"/>
        </w:rPr>
        <w:t xml:space="preserve">Figure 13 DCR model of the entity Data breach. Two sub-processes are spawned with StartNotification added in the figure</w:t>
      </w:r>
      <w:r w:rsidDel="00000000" w:rsidR="00000000" w:rsidRPr="00000000">
        <w:rPr>
          <w:rtl w:val="0"/>
        </w:rPr>
      </w:r>
    </w:p>
    <w:p w:rsidR="00000000" w:rsidDel="00000000" w:rsidP="00000000" w:rsidRDefault="00000000" w:rsidRPr="00000000">
      <w:pPr>
        <w:pStyle w:val="Heading1"/>
        <w:numPr>
          <w:ilvl w:val="0"/>
          <w:numId w:val="3"/>
        </w:numPr>
        <w:ind w:left="720" w:hanging="360"/>
        <w:rPr/>
      </w:pPr>
      <w:bookmarkStart w:colFirst="0" w:colLast="0" w:name="_3l18frh" w:id="53"/>
      <w:bookmarkEnd w:id="53"/>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Times New Roman" w:cs="Times New Roman" w:eastAsia="Times New Roman" w:hAnsi="Times New Roman"/>
          <w:color w:val="222222"/>
          <w:sz w:val="24"/>
          <w:szCs w:val="24"/>
          <w:rtl w:val="0"/>
        </w:rPr>
        <w:t xml:space="preserve">T. Hildebrandt, and R. R. Mukkamala. “Distributed Dynamic Condition Response Structures”, IT University of Copenhagen, year </w:t>
      </w:r>
      <w:r w:rsidDel="00000000" w:rsidR="00000000" w:rsidRPr="00000000">
        <w:rPr>
          <w:rFonts w:ascii="Times New Roman" w:cs="Times New Roman" w:eastAsia="Times New Roman" w:hAnsi="Times New Roman"/>
          <w:color w:val="222222"/>
          <w:sz w:val="24"/>
          <w:szCs w:val="24"/>
          <w:highlight w:val="yellow"/>
          <w:rtl w:val="0"/>
        </w:rPr>
        <w:t xml:space="preserv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T. Hildebrandt, and R. R. Mukkamala. „Declarative Event-Based Workflow as Distributed Dynamic Condition Response Graphs”, IT University of Copenhagen, year ?</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G. D. Giacomo, M. Dumas, F. M. Maggi and M. Montali. "Declarative Process Modeling in BPMN", Sapienza Universita di Roma, Italy, University of Tartu, Estonia, Free University of Bozen-Bolzano, Italy  </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http://wiki.dcrgraphs.net/, [Accessed: 11-Dec-2016]   </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In the nick of time …</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Rejsekort A/S, PROTECTION OF PERSONAL DATA – REJSEKORT A/S, Søborg,  2014</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tab/>
        <w:t xml:space="preserve">2016</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http://www.whitecase.com/publications/article/chapter-1-introduction-unlocking-eu-general-data-protection-regulation, [Accessed: 12-Dec-2016]   </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J. Prescher, C. D. Ciccio, and J. Mendling, "From Declarative Processes to Imperative Models", Vienna University of Economics and Business, Vienna, Austria, year</w:t>
      </w:r>
    </w:p>
    <w:p w:rsidR="00000000" w:rsidDel="00000000" w:rsidP="00000000" w:rsidRDefault="00000000" w:rsidRPr="00000000">
      <w:pPr>
        <w:numPr>
          <w:ilvl w:val="0"/>
          <w:numId w:val="2"/>
        </w:numPr>
        <w:spacing w:after="0" w:before="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222222"/>
          <w:rtl w:val="0"/>
        </w:rPr>
        <w:t xml:space="preserve">Pesic, M., Schonenberg, M.H., Sidorova, N., van der Aalst, W.M.P.: Constraint-based workflow models: Change made easy. In: OTM Conferences (1). pp. 77–94 (2007)</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hyperlink r:id="rId44">
        <w:r w:rsidDel="00000000" w:rsidR="00000000" w:rsidRPr="00000000">
          <w:rPr>
            <w:color w:val="1155cc"/>
            <w:u w:val="single"/>
            <w:rtl w:val="0"/>
          </w:rPr>
          <w:t xml:space="preserve">http://www.out-law.com/en/articles/2016/may/gdpr-potential-fines-for-data-security-breaches-more-severe-for-data-controllers-than-processors-says-expert/</w:t>
        </w:r>
      </w:hyperlink>
      <w:r w:rsidDel="00000000" w:rsidR="00000000" w:rsidRPr="00000000">
        <w:rPr>
          <w:color w:val="1155cc"/>
          <w:u w:val="single"/>
          <w:rtl w:val="0"/>
        </w:rPr>
        <w:t xml:space="preserve">, </w:t>
      </w:r>
      <w:r w:rsidDel="00000000" w:rsidR="00000000" w:rsidRPr="00000000">
        <w:rPr>
          <w:rFonts w:ascii="Cambria" w:cs="Cambria" w:eastAsia="Cambria" w:hAnsi="Cambria"/>
          <w:color w:val="222222"/>
          <w:rtl w:val="0"/>
        </w:rPr>
        <w:t xml:space="preserve">[Accessed: 13-Dec-2016]</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hyperlink r:id="rId45">
        <w:r w:rsidDel="00000000" w:rsidR="00000000" w:rsidRPr="00000000">
          <w:rPr>
            <w:color w:val="1155cc"/>
            <w:u w:val="single"/>
            <w:rtl w:val="0"/>
          </w:rPr>
          <w:t xml:space="preserve">http://eur-lex.europa.eu/legal-content/EN/TXT/PDF/?uri=OJ:L:2016:119:FULL&amp;from=NL</w:t>
        </w:r>
      </w:hyperlink>
      <w:r w:rsidDel="00000000" w:rsidR="00000000" w:rsidRPr="00000000">
        <w:rPr>
          <w:color w:val="1155cc"/>
          <w:u w:val="single"/>
          <w:rtl w:val="0"/>
        </w:rPr>
        <w:t xml:space="preserve">, </w:t>
      </w:r>
      <w:r w:rsidDel="00000000" w:rsidR="00000000" w:rsidRPr="00000000">
        <w:rPr>
          <w:rFonts w:ascii="Cambria" w:cs="Cambria" w:eastAsia="Cambria" w:hAnsi="Cambria"/>
          <w:color w:val="222222"/>
          <w:rtl w:val="0"/>
        </w:rPr>
        <w:t xml:space="preserve">[Accessed: 13-Dec-2016]</w:t>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Times New Roman" w:cs="Times New Roman" w:eastAsia="Times New Roman" w:hAnsi="Times New Roman"/>
      <w:b w:val="0"/>
      <w:color w:val="000000"/>
      <w:sz w:val="32"/>
      <w:szCs w:val="32"/>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20" Type="http://schemas.openxmlformats.org/officeDocument/2006/relationships/image" Target="media/image72.png"/><Relationship Id="rId42" Type="http://schemas.openxmlformats.org/officeDocument/2006/relationships/image" Target="media/image39.png"/><Relationship Id="rId41" Type="http://schemas.openxmlformats.org/officeDocument/2006/relationships/image" Target="media/image38.png"/><Relationship Id="rId22" Type="http://schemas.openxmlformats.org/officeDocument/2006/relationships/image" Target="media/image75.png"/><Relationship Id="rId44" Type="http://schemas.openxmlformats.org/officeDocument/2006/relationships/hyperlink" Target="http://www.out-law.com/en/articles/2016/may/gdpr-potential-fines-for-data-security-breaches-more-severe-for-data-controllers-than-processors-says-expert/" TargetMode="External"/><Relationship Id="rId21" Type="http://schemas.openxmlformats.org/officeDocument/2006/relationships/image" Target="media/image73.png"/><Relationship Id="rId43" Type="http://schemas.openxmlformats.org/officeDocument/2006/relationships/image" Target="media/image40.png"/><Relationship Id="rId24" Type="http://schemas.openxmlformats.org/officeDocument/2006/relationships/image" Target="media/image77.png"/><Relationship Id="rId23" Type="http://schemas.openxmlformats.org/officeDocument/2006/relationships/image" Target="media/image76.png"/><Relationship Id="rId45" Type="http://schemas.openxmlformats.org/officeDocument/2006/relationships/hyperlink" Target="http://eur-lex.europa.eu/legal-content/EN/TXT/PDF/?uri=OJ:L:2016:119:FULL&amp;from=N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4.png"/><Relationship Id="rId26" Type="http://schemas.openxmlformats.org/officeDocument/2006/relationships/image" Target="media/image42.png"/><Relationship Id="rId25" Type="http://schemas.openxmlformats.org/officeDocument/2006/relationships/image" Target="media/image41.png"/><Relationship Id="rId28" Type="http://schemas.openxmlformats.org/officeDocument/2006/relationships/image" Target="media/image44.png"/><Relationship Id="rId27" Type="http://schemas.openxmlformats.org/officeDocument/2006/relationships/image" Target="media/image43.png"/><Relationship Id="rId5" Type="http://schemas.openxmlformats.org/officeDocument/2006/relationships/image" Target="media/image51.png"/><Relationship Id="rId6" Type="http://schemas.openxmlformats.org/officeDocument/2006/relationships/image" Target="media/image53.png"/><Relationship Id="rId29" Type="http://schemas.openxmlformats.org/officeDocument/2006/relationships/image" Target="media/image45.png"/><Relationship Id="rId7" Type="http://schemas.openxmlformats.org/officeDocument/2006/relationships/image" Target="media/image52.png"/><Relationship Id="rId8" Type="http://schemas.openxmlformats.org/officeDocument/2006/relationships/image" Target="media/image55.png"/><Relationship Id="rId31" Type="http://schemas.openxmlformats.org/officeDocument/2006/relationships/image" Target="media/image47.png"/><Relationship Id="rId30" Type="http://schemas.openxmlformats.org/officeDocument/2006/relationships/image" Target="media/image46.png"/><Relationship Id="rId11" Type="http://schemas.openxmlformats.org/officeDocument/2006/relationships/image" Target="media/image56.png"/><Relationship Id="rId33" Type="http://schemas.openxmlformats.org/officeDocument/2006/relationships/image" Target="media/image49.png"/><Relationship Id="rId10" Type="http://schemas.openxmlformats.org/officeDocument/2006/relationships/image" Target="media/image57.png"/><Relationship Id="rId32" Type="http://schemas.openxmlformats.org/officeDocument/2006/relationships/image" Target="media/image48.png"/><Relationship Id="rId13" Type="http://schemas.openxmlformats.org/officeDocument/2006/relationships/image" Target="media/image58.png"/><Relationship Id="rId35" Type="http://schemas.openxmlformats.org/officeDocument/2006/relationships/image" Target="media/image06.png"/><Relationship Id="rId12" Type="http://schemas.openxmlformats.org/officeDocument/2006/relationships/image" Target="media/image60.png"/><Relationship Id="rId34" Type="http://schemas.openxmlformats.org/officeDocument/2006/relationships/image" Target="media/image50.png"/><Relationship Id="rId15" Type="http://schemas.openxmlformats.org/officeDocument/2006/relationships/image" Target="media/image61.png"/><Relationship Id="rId37" Type="http://schemas.openxmlformats.org/officeDocument/2006/relationships/image" Target="media/image10.png"/><Relationship Id="rId14" Type="http://schemas.openxmlformats.org/officeDocument/2006/relationships/image" Target="media/image66.png"/><Relationship Id="rId36" Type="http://schemas.openxmlformats.org/officeDocument/2006/relationships/image" Target="media/image09.png"/><Relationship Id="rId17" Type="http://schemas.openxmlformats.org/officeDocument/2006/relationships/image" Target="media/image68.png"/><Relationship Id="rId39" Type="http://schemas.openxmlformats.org/officeDocument/2006/relationships/image" Target="media/image13.png"/><Relationship Id="rId16" Type="http://schemas.openxmlformats.org/officeDocument/2006/relationships/image" Target="media/image63.png"/><Relationship Id="rId38" Type="http://schemas.openxmlformats.org/officeDocument/2006/relationships/image" Target="media/image12.png"/><Relationship Id="rId19" Type="http://schemas.openxmlformats.org/officeDocument/2006/relationships/image" Target="media/image71.png"/><Relationship Id="rId18" Type="http://schemas.openxmlformats.org/officeDocument/2006/relationships/image" Target="media/image69.png"/></Relationships>
</file>