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left" w:pos="440"/>
          <w:tab w:val="right" w:pos="9062"/>
        </w:tabs>
        <w:spacing w:after="100" w:before="0" w:line="259" w:lineRule="auto"/>
        <w:contextualSpacing w:val="0"/>
      </w:pPr>
      <w:hyperlink w:anchor="_gjdgxs">
        <w:r w:rsidDel="00000000" w:rsidR="00000000" w:rsidRPr="00000000">
          <w:rPr>
            <w:rFonts w:ascii="Calibri" w:cs="Calibri" w:eastAsia="Calibri" w:hAnsi="Calibri"/>
            <w:b w:val="0"/>
            <w:color w:val="000000"/>
            <w:sz w:val="22"/>
            <w:szCs w:val="22"/>
            <w:rtl w:val="0"/>
          </w:rPr>
          <w:t xml:space="preserve">1.</w:t>
          <w:tab/>
          <w:t xml:space="preserve">Introduction</w:t>
          <w:tab/>
        </w:r>
      </w:hyperlink>
      <w:hyperlink w:anchor="_Toc469402599">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0j0zll">
        <w:r w:rsidDel="00000000" w:rsidR="00000000" w:rsidRPr="00000000">
          <w:rPr>
            <w:rFonts w:ascii="Calibri" w:cs="Calibri" w:eastAsia="Calibri" w:hAnsi="Calibri"/>
            <w:b w:val="0"/>
            <w:color w:val="000000"/>
            <w:sz w:val="22"/>
            <w:szCs w:val="22"/>
            <w:rtl w:val="0"/>
          </w:rPr>
          <w:t xml:space="preserve">2.</w:t>
          <w:tab/>
          <w:t xml:space="preserve">Details on GDPR &amp; DCR</w:t>
          <w:tab/>
        </w:r>
      </w:hyperlink>
      <w:hyperlink w:anchor="_Toc469402600">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17dp8vu">
        <w:r w:rsidDel="00000000" w:rsidR="00000000" w:rsidRPr="00000000">
          <w:rPr>
            <w:rFonts w:ascii="Calibri" w:cs="Calibri" w:eastAsia="Calibri" w:hAnsi="Calibri"/>
            <w:b w:val="0"/>
            <w:color w:val="000000"/>
            <w:sz w:val="22"/>
            <w:szCs w:val="22"/>
            <w:rtl w:val="0"/>
          </w:rPr>
          <w:t xml:space="preserve">3.</w:t>
          <w:tab/>
          <w:t xml:space="preserve">Description of the case process</w:t>
          <w:tab/>
        </w:r>
      </w:hyperlink>
      <w:hyperlink w:anchor="_Toc469402601">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2hioqz">
        <w:r w:rsidDel="00000000" w:rsidR="00000000" w:rsidRPr="00000000">
          <w:rPr>
            <w:rFonts w:ascii="Calibri" w:cs="Calibri" w:eastAsia="Calibri" w:hAnsi="Calibri"/>
            <w:b w:val="0"/>
            <w:color w:val="000000"/>
            <w:sz w:val="22"/>
            <w:szCs w:val="22"/>
            <w:rtl w:val="0"/>
          </w:rPr>
          <w:t xml:space="preserve">4.</w:t>
          <w:tab/>
          <w:t xml:space="preserve">Reflection</w:t>
          <w:tab/>
        </w:r>
      </w:hyperlink>
      <w:hyperlink w:anchor="_Toc469402602">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46r0co2">
        <w:r w:rsidDel="00000000" w:rsidR="00000000" w:rsidRPr="00000000">
          <w:rPr>
            <w:rFonts w:ascii="Calibri" w:cs="Calibri" w:eastAsia="Calibri" w:hAnsi="Calibri"/>
            <w:b w:val="0"/>
            <w:color w:val="000000"/>
            <w:sz w:val="22"/>
            <w:szCs w:val="22"/>
            <w:rtl w:val="0"/>
          </w:rPr>
          <w:t xml:space="preserve">5.</w:t>
          <w:tab/>
          <w:t xml:space="preserve">Conclusion</w:t>
          <w:tab/>
        </w:r>
      </w:hyperlink>
      <w:hyperlink w:anchor="_Toc469402603">
        <w:r w:rsidDel="00000000" w:rsidR="00000000" w:rsidRPr="00000000">
          <w:rPr>
            <w:rtl w:val="0"/>
          </w:rPr>
        </w:r>
      </w:hyperlink>
    </w:p>
    <w:p w:rsidR="00000000" w:rsidDel="00000000" w:rsidP="00000000" w:rsidRDefault="00000000" w:rsidRPr="00000000">
      <w:pPr>
        <w:contextualSpacing w:val="0"/>
      </w:pPr>
      <w:hyperlink w:anchor="_Toc469402603">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tyjcwt">
        <w:r w:rsidDel="00000000" w:rsidR="00000000" w:rsidRPr="00000000">
          <w:rPr>
            <w:rFonts w:ascii="Calibri" w:cs="Calibri" w:eastAsia="Calibri" w:hAnsi="Calibri"/>
            <w:b w:val="0"/>
            <w:color w:val="000000"/>
            <w:sz w:val="22"/>
            <w:szCs w:val="22"/>
            <w:rtl w:val="0"/>
          </w:rPr>
          <w:t xml:space="preserve">Table 1 Graphical representation of activities</w:t>
          <w:tab/>
        </w:r>
      </w:hyperlink>
      <w:hyperlink w:anchor="_Toc469402604">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s8eyo1">
        <w:r w:rsidDel="00000000" w:rsidR="00000000" w:rsidRPr="00000000">
          <w:rPr>
            <w:rFonts w:ascii="Calibri" w:cs="Calibri" w:eastAsia="Calibri" w:hAnsi="Calibri"/>
            <w:b w:val="0"/>
            <w:color w:val="000000"/>
            <w:sz w:val="22"/>
            <w:szCs w:val="22"/>
            <w:rtl w:val="0"/>
          </w:rPr>
          <w:t xml:space="preserve">Table 2 Graphical representation of relations</w:t>
          <w:tab/>
        </w:r>
      </w:hyperlink>
      <w:hyperlink w:anchor="_Toc469402605">
        <w:r w:rsidDel="00000000" w:rsidR="00000000" w:rsidRPr="00000000">
          <w:rPr>
            <w:rtl w:val="0"/>
          </w:rPr>
        </w:r>
      </w:hyperlink>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 </w:t>
      </w:r>
    </w:p>
    <w:p w:rsidR="00000000" w:rsidDel="00000000" w:rsidP="00000000" w:rsidRDefault="00000000" w:rsidRPr="00000000">
      <w:pPr>
        <w:tabs>
          <w:tab w:val="right" w:pos="9062"/>
        </w:tabs>
        <w:spacing w:after="0" w:before="0" w:line="259" w:lineRule="auto"/>
        <w:contextualSpacing w:val="0"/>
      </w:pPr>
      <w:hyperlink w:anchor="_26in1rg">
        <w:r w:rsidDel="00000000" w:rsidR="00000000" w:rsidRPr="00000000">
          <w:rPr>
            <w:rFonts w:ascii="Calibri" w:cs="Calibri" w:eastAsia="Calibri" w:hAnsi="Calibri"/>
            <w:b w:val="0"/>
            <w:color w:val="000000"/>
            <w:sz w:val="22"/>
            <w:szCs w:val="22"/>
            <w:rtl w:val="0"/>
          </w:rPr>
          <w:t xml:space="preserve">Figure 1 DCR of the process</w:t>
          <w:tab/>
        </w:r>
      </w:hyperlink>
      <w:hyperlink w:anchor="_Toc469402606">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5nkun2">
        <w:r w:rsidDel="00000000" w:rsidR="00000000" w:rsidRPr="00000000">
          <w:rPr>
            <w:rFonts w:ascii="Calibri" w:cs="Calibri" w:eastAsia="Calibri" w:hAnsi="Calibri"/>
            <w:b w:val="0"/>
            <w:color w:val="000000"/>
            <w:sz w:val="22"/>
            <w:szCs w:val="22"/>
            <w:rtl w:val="0"/>
          </w:rPr>
          <w:t xml:space="preserve">Figure 2 DCR model of giving the consent for main purposes</w:t>
          <w:tab/>
        </w:r>
      </w:hyperlink>
      <w:hyperlink w:anchor="_Toc469402607">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z337ya">
        <w:r w:rsidDel="00000000" w:rsidR="00000000" w:rsidRPr="00000000">
          <w:rPr>
            <w:rFonts w:ascii="Calibri" w:cs="Calibri" w:eastAsia="Calibri" w:hAnsi="Calibri"/>
            <w:b w:val="0"/>
            <w:color w:val="000000"/>
            <w:sz w:val="22"/>
            <w:szCs w:val="22"/>
            <w:rtl w:val="0"/>
          </w:rPr>
          <w:t xml:space="preserve">Figure 3 DCR model of getting assistance from the controller</w:t>
          <w:tab/>
        </w:r>
      </w:hyperlink>
      <w:hyperlink w:anchor="_Toc469402608">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xcytpi">
        <w:r w:rsidDel="00000000" w:rsidR="00000000" w:rsidRPr="00000000">
          <w:rPr>
            <w:rFonts w:ascii="Calibri" w:cs="Calibri" w:eastAsia="Calibri" w:hAnsi="Calibri"/>
            <w:b w:val="0"/>
            <w:color w:val="000000"/>
            <w:sz w:val="22"/>
            <w:szCs w:val="22"/>
            <w:rtl w:val="0"/>
          </w:rPr>
          <w:t xml:space="preserve">Figure 4 DCR model of termination of relationship</w:t>
          <w:tab/>
        </w:r>
      </w:hyperlink>
      <w:hyperlink w:anchor="_Toc469402609">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pxezwc">
        <w:r w:rsidDel="00000000" w:rsidR="00000000" w:rsidRPr="00000000">
          <w:rPr>
            <w:rFonts w:ascii="Calibri" w:cs="Calibri" w:eastAsia="Calibri" w:hAnsi="Calibri"/>
            <w:b w:val="0"/>
            <w:color w:val="000000"/>
            <w:sz w:val="22"/>
            <w:szCs w:val="22"/>
            <w:rtl w:val="0"/>
          </w:rPr>
          <w:t xml:space="preserve">Figure 5 DCR model of blocking request</w:t>
          <w:tab/>
        </w:r>
      </w:hyperlink>
      <w:hyperlink w:anchor="_Toc46940261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o7alnk">
        <w:r w:rsidDel="00000000" w:rsidR="00000000" w:rsidRPr="00000000">
          <w:rPr>
            <w:rFonts w:ascii="Calibri" w:cs="Calibri" w:eastAsia="Calibri" w:hAnsi="Calibri"/>
            <w:b w:val="0"/>
            <w:color w:val="000000"/>
            <w:sz w:val="22"/>
            <w:szCs w:val="22"/>
            <w:rtl w:val="0"/>
          </w:rPr>
          <w:t xml:space="preserve">Figure 6 DCR model of data poratbilty, information modification and the right to be forgotten</w:t>
          <w:tab/>
        </w:r>
      </w:hyperlink>
      <w:hyperlink w:anchor="_Toc469402611">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ihv636">
        <w:r w:rsidDel="00000000" w:rsidR="00000000" w:rsidRPr="00000000">
          <w:rPr>
            <w:rFonts w:ascii="Calibri" w:cs="Calibri" w:eastAsia="Calibri" w:hAnsi="Calibri"/>
            <w:b w:val="0"/>
            <w:color w:val="000000"/>
            <w:sz w:val="22"/>
            <w:szCs w:val="22"/>
            <w:rtl w:val="0"/>
          </w:rPr>
          <w:t xml:space="preserve">Figure 7 DCR model of giving and withdrawing consent for opinion-research institues</w:t>
          <w:tab/>
        </w:r>
      </w:hyperlink>
      <w:hyperlink w:anchor="_Toc469402612">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41mghml">
        <w:r w:rsidDel="00000000" w:rsidR="00000000" w:rsidRPr="00000000">
          <w:rPr>
            <w:rFonts w:ascii="Calibri" w:cs="Calibri" w:eastAsia="Calibri" w:hAnsi="Calibri"/>
            <w:b w:val="0"/>
            <w:color w:val="000000"/>
            <w:sz w:val="22"/>
            <w:szCs w:val="22"/>
            <w:rtl w:val="0"/>
          </w:rPr>
          <w:t xml:space="preserve">Figure 8 DCR model of giving consent for main purposes. The activities in group Mandatory are available</w:t>
          <w:tab/>
        </w:r>
      </w:hyperlink>
      <w:hyperlink w:anchor="_Toc469402613">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v1yuxt">
        <w:r w:rsidDel="00000000" w:rsidR="00000000" w:rsidRPr="00000000">
          <w:rPr>
            <w:rFonts w:ascii="Calibri" w:cs="Calibri" w:eastAsia="Calibri" w:hAnsi="Calibri"/>
            <w:b w:val="0"/>
            <w:color w:val="000000"/>
            <w:sz w:val="22"/>
            <w:szCs w:val="22"/>
            <w:rtl w:val="0"/>
          </w:rPr>
          <w:t xml:space="preserve">Figure 9 DCR model of giving consent for main purposes. The activities in group Mandatory are blocked</w:t>
          <w:tab/>
        </w:r>
      </w:hyperlink>
      <w:hyperlink w:anchor="_Toc469402614">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8h4qwu">
        <w:r w:rsidDel="00000000" w:rsidR="00000000" w:rsidRPr="00000000">
          <w:rPr>
            <w:rFonts w:ascii="Calibri" w:cs="Calibri" w:eastAsia="Calibri" w:hAnsi="Calibri"/>
            <w:b w:val="0"/>
            <w:color w:val="000000"/>
            <w:sz w:val="22"/>
            <w:szCs w:val="22"/>
            <w:rtl w:val="0"/>
          </w:rPr>
          <w:t xml:space="preserve">Figure 10 DCR model of Data breach entry. Two sub-process are spawned</w:t>
          <w:tab/>
        </w:r>
      </w:hyperlink>
      <w:hyperlink w:anchor="_Toc469402615">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mrcu09">
        <w:r w:rsidDel="00000000" w:rsidR="00000000" w:rsidRPr="00000000">
          <w:rPr>
            <w:rFonts w:ascii="Calibri" w:cs="Calibri" w:eastAsia="Calibri" w:hAnsi="Calibri"/>
            <w:b w:val="0"/>
            <w:color w:val="000000"/>
            <w:sz w:val="22"/>
            <w:szCs w:val="22"/>
            <w:rtl w:val="0"/>
          </w:rPr>
          <w:t xml:space="preserve">Figure 11 DCR model of the entity Data breach. Two sub-processes are spawned with StartNotification added in the figure</w:t>
          <w:tab/>
        </w:r>
      </w:hyperlink>
      <w:hyperlink w:anchor="_Toc469402616">
        <w:r w:rsidDel="00000000" w:rsidR="00000000" w:rsidRPr="00000000">
          <w:rPr>
            <w:rtl w:val="0"/>
          </w:rPr>
        </w:r>
      </w:hyperlink>
    </w:p>
    <w:p w:rsidR="00000000" w:rsidDel="00000000" w:rsidP="00000000" w:rsidRDefault="00000000" w:rsidRPr="00000000">
      <w:pPr>
        <w:tabs>
          <w:tab w:val="right" w:pos="9062"/>
        </w:tabs>
        <w:spacing w:after="0" w:lineRule="auto"/>
        <w:contextualSpacing w:val="0"/>
        <w:jc w:val="both"/>
      </w:pPr>
      <w:hyperlink w:anchor="_Toc46940261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69402616">
        <w:r w:rsidDel="00000000" w:rsidR="00000000" w:rsidRPr="00000000">
          <w:rPr>
            <w:rtl w:val="0"/>
          </w:rPr>
        </w:r>
      </w:hyperlink>
    </w:p>
    <w:p w:rsidR="00000000" w:rsidDel="00000000" w:rsidP="00000000" w:rsidRDefault="00000000" w:rsidRPr="00000000">
      <w:pPr>
        <w:pStyle w:val="Heading1"/>
        <w:numPr>
          <w:ilvl w:val="0"/>
          <w:numId w:val="3"/>
        </w:numPr>
        <w:ind w:left="72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spacing w:after="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w:t>
      </w:r>
      <w:r w:rsidDel="00000000" w:rsidR="00000000" w:rsidRPr="00000000">
        <w:rPr>
          <w:rtl w:val="0"/>
        </w:rPr>
      </w:r>
    </w:p>
    <w:p w:rsidR="00000000" w:rsidDel="00000000" w:rsidP="00000000" w:rsidRDefault="00000000" w:rsidRPr="00000000">
      <w:pPr>
        <w:spacing w:after="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That is why the European Commission has proposed as early as 2012 the </w:t>
      </w:r>
      <w:r w:rsidDel="00000000" w:rsidR="00000000" w:rsidRPr="00000000">
        <w:rPr>
          <w:rFonts w:ascii="Times New Roman" w:cs="Times New Roman" w:eastAsia="Times New Roman" w:hAnsi="Times New Roman"/>
          <w:b w:val="1"/>
          <w:color w:val="252525"/>
          <w:sz w:val="24"/>
          <w:szCs w:val="24"/>
          <w:highlight w:val="white"/>
          <w:rtl w:val="0"/>
        </w:rPr>
        <w:t xml:space="preserve">General Data Protection Regulation (GDPR), </w:t>
      </w:r>
      <w:r w:rsidDel="00000000" w:rsidR="00000000" w:rsidRPr="00000000">
        <w:rPr>
          <w:rFonts w:ascii="Times New Roman" w:cs="Times New Roman" w:eastAsia="Times New Roman" w:hAnsi="Times New Roman"/>
          <w:sz w:val="24"/>
          <w:szCs w:val="24"/>
          <w:rtl w:val="0"/>
        </w:rPr>
        <w:t xml:space="preserve">which was adopted on the 27th of April 2016</w:t>
      </w:r>
      <w:r w:rsidDel="00000000" w:rsidR="00000000" w:rsidRPr="00000000">
        <w:rPr>
          <w:rFonts w:ascii="Times New Roman" w:cs="Times New Roman" w:eastAsia="Times New Roman" w:hAnsi="Times New Roman"/>
          <w:color w:val="252525"/>
          <w:sz w:val="24"/>
          <w:szCs w:val="24"/>
          <w:highlight w:val="white"/>
          <w:rtl w:val="0"/>
        </w:rPr>
        <w:t xml:space="preserv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sidDel="00000000" w:rsidR="00000000" w:rsidRPr="00000000">
        <w:rPr>
          <w:rFonts w:ascii="Times New Roman" w:cs="Times New Roman" w:eastAsia="Times New Roman" w:hAnsi="Times New Roman"/>
          <w:i w:val="1"/>
          <w:sz w:val="24"/>
          <w:szCs w:val="24"/>
          <w:rtl w:val="0"/>
        </w:rPr>
        <w:t xml:space="preserve">Directive 95/46/EC</w:t>
      </w:r>
      <w:r w:rsidDel="00000000" w:rsidR="00000000" w:rsidRPr="00000000">
        <w:rPr>
          <w:rFonts w:ascii="Times New Roman" w:cs="Times New Roman" w:eastAsia="Times New Roman" w:hAnsi="Times New Roman"/>
          <w:sz w:val="24"/>
          <w:szCs w:val="24"/>
          <w:rtl w:val="0"/>
        </w:rPr>
        <w:t xml:space="preserve">) from 1995.</w:t>
      </w:r>
      <w:r w:rsidDel="00000000" w:rsidR="00000000" w:rsidRPr="00000000">
        <w:rPr>
          <w:rtl w:val="0"/>
        </w:rPr>
      </w:r>
    </w:p>
    <w:p w:rsidR="00000000" w:rsidDel="00000000" w:rsidP="00000000" w:rsidRDefault="00000000" w:rsidRPr="00000000">
      <w:pPr>
        <w:spacing w:after="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There are strict penalties for companies not complying to the laws, they vary from a simple written warning in case of first and unintentional noncompliance to different fines.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greater).[11]</w:t>
      </w:r>
      <w:r w:rsidDel="00000000" w:rsidR="00000000" w:rsidRPr="00000000">
        <w:rPr>
          <w:rtl w:val="0"/>
        </w:rPr>
      </w:r>
    </w:p>
    <w:p w:rsidR="00000000" w:rsidDel="00000000" w:rsidP="00000000" w:rsidRDefault="00000000" w:rsidRPr="00000000">
      <w:pPr>
        <w:spacing w:after="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30j0zll" w:id="1"/>
      <w:bookmarkEnd w:id="1"/>
      <w:r w:rsidDel="00000000" w:rsidR="00000000" w:rsidRPr="00000000">
        <w:rPr>
          <w:rtl w:val="0"/>
        </w:rPr>
        <w:t xml:space="preserve">Details on GDPR &amp; DCR</w:t>
      </w:r>
    </w:p>
    <w:p w:rsidR="00000000" w:rsidDel="00000000" w:rsidP="00000000" w:rsidRDefault="00000000" w:rsidRPr="00000000">
      <w:pPr>
        <w:numPr>
          <w:ilvl w:val="1"/>
          <w:numId w:val="3"/>
        </w:numPr>
        <w:spacing w:after="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w:t>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One of the main points in the GDPR is that </w:t>
      </w:r>
      <w:r w:rsidDel="00000000" w:rsidR="00000000" w:rsidRPr="00000000">
        <w:rPr>
          <w:rFonts w:ascii="Times New Roman" w:cs="Times New Roman" w:eastAsia="Times New Roman" w:hAnsi="Times New Roman"/>
          <w:color w:val="000000"/>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controllers are required to get consent for </w:t>
      </w:r>
      <w:r w:rsidDel="00000000" w:rsidR="00000000" w:rsidRPr="00000000">
        <w:rPr>
          <w:rFonts w:ascii="Times New Roman" w:cs="Times New Roman" w:eastAsia="Times New Roman" w:hAnsi="Times New Roman"/>
          <w:color w:val="000000"/>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processing of the personal data </w:t>
      </w:r>
      <w:r w:rsidDel="00000000" w:rsidR="00000000" w:rsidRPr="00000000">
        <w:rPr>
          <w:rFonts w:ascii="Times New Roman" w:cs="Times New Roman" w:eastAsia="Times New Roman" w:hAnsi="Times New Roman"/>
          <w:color w:val="000000"/>
          <w:sz w:val="24"/>
          <w:szCs w:val="24"/>
          <w:highlight w:val="yellow"/>
          <w:rtl w:val="0"/>
        </w:rPr>
        <w:t xml:space="preserve">for each purpose they will process it</w:t>
      </w:r>
      <w:r w:rsidDel="00000000" w:rsidR="00000000" w:rsidRPr="00000000">
        <w:rPr>
          <w:rFonts w:ascii="Times New Roman" w:cs="Times New Roman" w:eastAsia="Times New Roman" w:hAnsi="Times New Roman"/>
          <w:sz w:val="24"/>
          <w:szCs w:val="24"/>
          <w:rtl w:val="0"/>
        </w:rPr>
        <w:t xml:space="preserve">. The purpose should be explicit and unambiguous. The </w:t>
      </w:r>
      <w:r w:rsidDel="00000000" w:rsidR="00000000" w:rsidRPr="00000000">
        <w:rPr>
          <w:rFonts w:ascii="Times New Roman" w:cs="Times New Roman" w:eastAsia="Times New Roman" w:hAnsi="Times New Roman"/>
          <w:color w:val="000000"/>
          <w:sz w:val="24"/>
          <w:szCs w:val="24"/>
          <w:highlight w:val="yellow"/>
          <w:rtl w:val="0"/>
        </w:rPr>
        <w:t xml:space="preserve">main</w:t>
      </w:r>
      <w:r w:rsidDel="00000000" w:rsidR="00000000" w:rsidRPr="00000000">
        <w:rPr>
          <w:rFonts w:ascii="Times New Roman" w:cs="Times New Roman" w:eastAsia="Times New Roman" w:hAnsi="Times New Roman"/>
          <w:sz w:val="24"/>
          <w:szCs w:val="24"/>
          <w:rtl w:val="0"/>
        </w:rPr>
        <w:t xml:space="preserve"> idea is to give the data subject clear overview </w:t>
      </w:r>
      <w:r w:rsidDel="00000000" w:rsidR="00000000" w:rsidRPr="00000000">
        <w:rPr>
          <w:rFonts w:ascii="Times New Roman" w:cs="Times New Roman" w:eastAsia="Times New Roman" w:hAnsi="Times New Roman"/>
          <w:color w:val="000000"/>
          <w:sz w:val="24"/>
          <w:szCs w:val="24"/>
          <w:highlight w:val="yellow"/>
          <w:rtl w:val="0"/>
        </w:rPr>
        <w:t xml:space="preserve">of what kind of data is collected and for what purposes</w:t>
      </w:r>
      <w:r w:rsidDel="00000000" w:rsidR="00000000" w:rsidRPr="00000000">
        <w:rPr>
          <w:rFonts w:ascii="Times New Roman" w:cs="Times New Roman" w:eastAsia="Times New Roman" w:hAnsi="Times New Roman"/>
          <w:sz w:val="24"/>
          <w:szCs w:val="24"/>
          <w:rtl w:val="0"/>
        </w:rPr>
        <w:t xml:space="preserve">. On the other hand, getting consent </w:t>
      </w:r>
      <w:r w:rsidDel="00000000" w:rsidR="00000000" w:rsidRPr="00000000">
        <w:rPr>
          <w:rFonts w:ascii="Times New Roman" w:cs="Times New Roman" w:eastAsia="Times New Roman" w:hAnsi="Times New Roman"/>
          <w:color w:val="000000"/>
          <w:sz w:val="24"/>
          <w:szCs w:val="24"/>
          <w:highlight w:val="yellow"/>
          <w:rtl w:val="0"/>
        </w:rPr>
        <w:t xml:space="preserve">for each</w:t>
      </w:r>
      <w:r w:rsidDel="00000000" w:rsidR="00000000" w:rsidRPr="00000000">
        <w:rPr>
          <w:rFonts w:ascii="Times New Roman" w:cs="Times New Roman" w:eastAsia="Times New Roman" w:hAnsi="Times New Roman"/>
          <w:sz w:val="24"/>
          <w:szCs w:val="24"/>
          <w:rtl w:val="0"/>
        </w:rPr>
        <w:t xml:space="preserve"> purpose gives the data subject flexibility not to give the consent</w:t>
      </w:r>
      <w:r w:rsidDel="00000000" w:rsidR="00000000" w:rsidRPr="00000000">
        <w:rPr>
          <w:rFonts w:ascii="Times New Roman" w:cs="Times New Roman" w:eastAsia="Times New Roman" w:hAnsi="Times New Roman"/>
          <w:color w:val="000000"/>
          <w:sz w:val="24"/>
          <w:szCs w:val="24"/>
          <w:highlight w:val="yellow"/>
          <w:rtl w:val="0"/>
        </w:rPr>
        <w:t xml:space="preserve"> for all the different ways the company wants to process his or hers data</w:t>
      </w:r>
      <w:r w:rsidDel="00000000" w:rsidR="00000000" w:rsidRPr="00000000">
        <w:rPr>
          <w:rFonts w:ascii="Times New Roman" w:cs="Times New Roman" w:eastAsia="Times New Roman" w:hAnsi="Times New Roman"/>
          <w:sz w:val="24"/>
          <w:szCs w:val="24"/>
          <w:rtl w:val="0"/>
        </w:rPr>
        <w:t xml:space="preserve">, especially if it would not be an obstacle for the services provided by the controller. An example </w:t>
      </w:r>
      <w:r w:rsidDel="00000000" w:rsidR="00000000" w:rsidRPr="00000000">
        <w:rPr>
          <w:rFonts w:ascii="Times New Roman" w:cs="Times New Roman" w:eastAsia="Times New Roman" w:hAnsi="Times New Roman"/>
          <w:color w:val="000000"/>
          <w:sz w:val="24"/>
          <w:szCs w:val="24"/>
          <w:highlight w:val="yellow"/>
          <w:rtl w:val="0"/>
        </w:rPr>
        <w:t xml:space="preserve">of this</w:t>
      </w:r>
      <w:r w:rsidDel="00000000" w:rsidR="00000000" w:rsidRPr="00000000">
        <w:rPr>
          <w:rFonts w:ascii="Times New Roman" w:cs="Times New Roman" w:eastAsia="Times New Roman" w:hAnsi="Times New Roman"/>
          <w:sz w:val="24"/>
          <w:szCs w:val="24"/>
          <w:rtl w:val="0"/>
        </w:rPr>
        <w:t xml:space="preserve"> is the opinion research institutes which can get access to personal data for opinion surveys. The consent can also be withdrawn later.</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Another focus in </w:t>
      </w:r>
      <w:r w:rsidDel="00000000" w:rsidR="00000000" w:rsidRPr="00000000">
        <w:rPr>
          <w:rFonts w:ascii="Times New Roman" w:cs="Times New Roman" w:eastAsia="Times New Roman" w:hAnsi="Times New Roman"/>
          <w:color w:val="000000"/>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GDPR is that the collected data should be used </w:t>
      </w:r>
      <w:r w:rsidDel="00000000" w:rsidR="00000000" w:rsidRPr="00000000">
        <w:rPr>
          <w:rFonts w:ascii="Times New Roman" w:cs="Times New Roman" w:eastAsia="Times New Roman" w:hAnsi="Times New Roman"/>
          <w:color w:val="000000"/>
          <w:sz w:val="24"/>
          <w:szCs w:val="24"/>
          <w:highlight w:val="lightGray"/>
          <w:rtl w:val="0"/>
        </w:rPr>
        <w:t xml:space="preserve">only for the purposes</w:t>
      </w:r>
      <w:r w:rsidDel="00000000" w:rsidR="00000000" w:rsidRPr="00000000">
        <w:rPr>
          <w:rFonts w:ascii="Times New Roman" w:cs="Times New Roman" w:eastAsia="Times New Roman" w:hAnsi="Times New Roman"/>
          <w:sz w:val="24"/>
          <w:szCs w:val="24"/>
          <w:rtl w:val="0"/>
        </w:rPr>
        <w:t xml:space="preserve"> for which they are collected.  Processing of data for other purposes is possible only if they are compatible, which would require further analysis. Using data for any other non-specified and non-compatible purposes would mean violation of the regulation law. (7, p.9 (50))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With the new regulation the controller is expected to require only a </w:t>
      </w:r>
      <w:r w:rsidDel="00000000" w:rsidR="00000000" w:rsidRPr="00000000">
        <w:rPr>
          <w:rFonts w:ascii="Times New Roman" w:cs="Times New Roman" w:eastAsia="Times New Roman" w:hAnsi="Times New Roman"/>
          <w:color w:val="000000"/>
          <w:sz w:val="24"/>
          <w:szCs w:val="24"/>
          <w:highlight w:val="lightGray"/>
          <w:rtl w:val="0"/>
        </w:rPr>
        <w:t xml:space="preserve">minimum set of personal data</w:t>
      </w:r>
      <w:r w:rsidDel="00000000" w:rsidR="00000000" w:rsidRPr="00000000">
        <w:rPr>
          <w:rFonts w:ascii="Times New Roman" w:cs="Times New Roman" w:eastAsia="Times New Roman" w:hAnsi="Times New Roman"/>
          <w:sz w:val="24"/>
          <w:szCs w:val="24"/>
          <w:rtl w:val="0"/>
        </w:rPr>
        <w:t xml:space="preserve"> that are necessary for achievement of the purpose. Collecting unnecessary ones should be avoided.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Collected data should be stored </w:t>
      </w:r>
      <w:r w:rsidDel="00000000" w:rsidR="00000000" w:rsidRPr="00000000">
        <w:rPr>
          <w:rFonts w:ascii="Times New Roman" w:cs="Times New Roman" w:eastAsia="Times New Roman" w:hAnsi="Times New Roman"/>
          <w:color w:val="000000"/>
          <w:sz w:val="24"/>
          <w:szCs w:val="24"/>
          <w:highlight w:val="lightGray"/>
          <w:rtl w:val="0"/>
        </w:rPr>
        <w:t xml:space="preserve">as long as</w:t>
      </w:r>
      <w:r w:rsidDel="00000000" w:rsidR="00000000" w:rsidRPr="00000000">
        <w:rPr>
          <w:rFonts w:ascii="Times New Roman" w:cs="Times New Roman" w:eastAsia="Times New Roman" w:hAnsi="Times New Roman"/>
          <w:sz w:val="24"/>
          <w:szCs w:val="24"/>
          <w:rtl w:val="0"/>
        </w:rPr>
        <w:t xml:space="preserve"> it has a purpose. If the purposes are achieved and part/all of the collected data is no longer necessary, then they no longer should be kept.</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color w:val="000000"/>
          <w:sz w:val="24"/>
          <w:szCs w:val="24"/>
          <w:highlight w:val="lightGray"/>
          <w:rtl w:val="0"/>
        </w:rPr>
        <w:t xml:space="preserve">(known)</w:t>
      </w:r>
      <w:r w:rsidDel="00000000" w:rsidR="00000000" w:rsidRPr="00000000">
        <w:rPr>
          <w:rFonts w:ascii="Times New Roman" w:cs="Times New Roman" w:eastAsia="Times New Roman" w:hAnsi="Times New Roman"/>
          <w:sz w:val="24"/>
          <w:szCs w:val="24"/>
          <w:rtl w:val="0"/>
        </w:rPr>
        <w:t xml:space="preserve"> Before processing all the personal information should be accurate and up-to-date. (p.5)</w:t>
      </w:r>
      <w:r w:rsidDel="00000000" w:rsidR="00000000" w:rsidRPr="00000000">
        <w:rPr>
          <w:rtl w:val="0"/>
        </w:rPr>
      </w:r>
    </w:p>
    <w:p w:rsidR="00000000" w:rsidDel="00000000" w:rsidP="00000000" w:rsidRDefault="00000000" w:rsidRPr="00000000">
      <w:pPr>
        <w:tabs>
          <w:tab w:val="left" w:pos="4368"/>
        </w:tabs>
        <w:ind w:firstLine="708"/>
        <w:contextualSpacing w:val="0"/>
        <w:jc w:val="both"/>
      </w:pPr>
      <w:r w:rsidDel="00000000" w:rsidR="00000000" w:rsidRPr="00000000">
        <w:rPr>
          <w:rFonts w:ascii="Times New Roman" w:cs="Times New Roman" w:eastAsia="Times New Roman" w:hAnsi="Times New Roman"/>
          <w:color w:val="000000"/>
          <w:sz w:val="24"/>
          <w:szCs w:val="24"/>
          <w:highlight w:val="yellow"/>
          <w:rtl w:val="0"/>
        </w:rPr>
        <w:t xml:space="preserve">The data subject has the right not to be profiled –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w:t>
      </w:r>
      <w:r w:rsidDel="00000000" w:rsidR="00000000" w:rsidRPr="00000000">
        <w:rPr>
          <w:rFonts w:ascii="Times New Roman" w:cs="Times New Roman" w:eastAsia="Times New Roman" w:hAnsi="Times New Roman"/>
          <w:sz w:val="24"/>
          <w:szCs w:val="24"/>
          <w:rtl w:val="0"/>
        </w:rPr>
        <w:t xml:space="preserve">Profiling could be used for price discrimination, targeted servicing or credit rating.</w:t>
      </w:r>
      <w:r w:rsidDel="00000000" w:rsidR="00000000" w:rsidRPr="00000000">
        <w:rPr>
          <w:rFonts w:ascii="Times New Roman" w:cs="Times New Roman" w:eastAsia="Times New Roman" w:hAnsi="Times New Roman"/>
          <w:color w:val="000000"/>
          <w:sz w:val="24"/>
          <w:szCs w:val="24"/>
          <w:highlight w:val="yellow"/>
          <w:rtl w:val="0"/>
        </w:rPr>
        <w:t xml:space="preserve"> the GDPR has the same requirements about profiling as Directive 94/45/EC with some minor amendment and the addition that profiling is possible if the consent is given.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Here are some concepts included in the GDPR that we have chosen not to cover explicitly in our model.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protection by design and default :</w:t>
      </w:r>
      <w:r w:rsidDel="00000000" w:rsidR="00000000" w:rsidRPr="00000000">
        <w:rPr>
          <w:rFonts w:ascii="Times New Roman" w:cs="Times New Roman" w:eastAsia="Times New Roman" w:hAnsi="Times New Roman"/>
          <w:sz w:val="24"/>
          <w:szCs w:val="24"/>
          <w:rtl w:val="0"/>
        </w:rPr>
        <w:t xml:space="preserve"> The protection of personal data has to be as much as possible designed into the system, turned on by default, and not left to the user to activate. It includes many different concepts such as data minimization, data pseudonymization and encryption.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minimization :</w:t>
      </w:r>
      <w:r w:rsidDel="00000000" w:rsidR="00000000" w:rsidRPr="00000000">
        <w:rPr>
          <w:rFonts w:ascii="Times New Roman" w:cs="Times New Roman" w:eastAsia="Times New Roman" w:hAnsi="Times New Roman"/>
          <w:sz w:val="24"/>
          <w:szCs w:val="24"/>
          <w:rtl w:val="0"/>
        </w:rPr>
        <w:t xml:space="preserve"> Is a concept stating that the company should not process more informations that it actually needs to achieve the purpose for which the data was given by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pseudonymization :</w:t>
      </w:r>
      <w:r w:rsidDel="00000000" w:rsidR="00000000" w:rsidRPr="00000000">
        <w:rPr>
          <w:rFonts w:ascii="Times New Roman" w:cs="Times New Roman" w:eastAsia="Times New Roman" w:hAnsi="Times New Roman"/>
          <w:sz w:val="24"/>
          <w:szCs w:val="24"/>
          <w:rtl w:val="0"/>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anonymization :</w:t>
      </w:r>
      <w:r w:rsidDel="00000000" w:rsidR="00000000" w:rsidRPr="00000000">
        <w:rPr>
          <w:rFonts w:ascii="Times New Roman" w:cs="Times New Roman" w:eastAsia="Times New Roman" w:hAnsi="Times New Roman"/>
          <w:sz w:val="24"/>
          <w:szCs w:val="24"/>
          <w:rtl w:val="0"/>
        </w:rPr>
        <w:t xml:space="preserve"> making the set of data in such way that no individual can be identified by any way, either by encrypting or removing personal identifiers.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Appoint a DPO :</w:t>
      </w:r>
      <w:r w:rsidDel="00000000" w:rsidR="00000000" w:rsidRPr="00000000">
        <w:rPr>
          <w:rFonts w:ascii="Times New Roman" w:cs="Times New Roman" w:eastAsia="Times New Roman" w:hAnsi="Times New Roman"/>
          <w:sz w:val="24"/>
          <w:szCs w:val="24"/>
          <w:rtl w:val="0"/>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practise to appoint a person who is responsible for assessing the company’s processing of personal data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color w:val="000000"/>
          <w:sz w:val="24"/>
          <w:szCs w:val="24"/>
          <w:highlight w:val="yellow"/>
          <w:rtl w:val="0"/>
        </w:rPr>
        <w:t xml:space="preserve">The right to not be profiled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is a new right given to the data subject in the GDPR. profiling process of construction and application of </w:t>
      </w:r>
      <w:hyperlink r:id="rId5">
        <w:r w:rsidDel="00000000" w:rsidR="00000000" w:rsidRPr="00000000">
          <w:rPr>
            <w:rFonts w:ascii="Times New Roman" w:cs="Times New Roman" w:eastAsia="Times New Roman" w:hAnsi="Times New Roman"/>
            <w:sz w:val="24"/>
            <w:szCs w:val="24"/>
            <w:rtl w:val="0"/>
          </w:rPr>
          <w:t xml:space="preserve">user profiles</w:t>
        </w:r>
      </w:hyperlink>
      <w:r w:rsidDel="00000000" w:rsidR="00000000" w:rsidRPr="00000000">
        <w:rPr>
          <w:rFonts w:ascii="Times New Roman" w:cs="Times New Roman" w:eastAsia="Times New Roman" w:hAnsi="Times New Roman"/>
          <w:sz w:val="24"/>
          <w:szCs w:val="24"/>
          <w:rtl w:val="0"/>
        </w:rPr>
        <w:t xml:space="preserve"> generated by computerized </w:t>
      </w:r>
      <w:hyperlink r:id="rId6">
        <w:r w:rsidDel="00000000" w:rsidR="00000000" w:rsidRPr="00000000">
          <w:rPr>
            <w:rFonts w:ascii="Times New Roman" w:cs="Times New Roman" w:eastAsia="Times New Roman" w:hAnsi="Times New Roman"/>
            <w:sz w:val="24"/>
            <w:szCs w:val="24"/>
            <w:rtl w:val="0"/>
          </w:rPr>
          <w:t xml:space="preserve">data analysis</w:t>
        </w:r>
      </w:hyperlink>
      <w:r w:rsidDel="00000000" w:rsidR="00000000" w:rsidRPr="00000000">
        <w:rPr>
          <w:rFonts w:ascii="Times New Roman" w:cs="Times New Roman" w:eastAsia="Times New Roman" w:hAnsi="Times New Roman"/>
          <w:sz w:val="24"/>
          <w:szCs w:val="24"/>
          <w:rtl w:val="0"/>
        </w:rPr>
        <w:t xml:space="preserve">, it could be used for price discrimination, targeted servicing or credit rating. these practices are not legal except if the data subject has given an explicit consent.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DCR </w:t>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(3)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DCR graph is a directed graph, where the nodes, drawn like boxes, represent the events, or activities, and the arrows - the relations between the events. The representation of any process using DCR notations is simply called graph. Each DCR graph represents a process, which includes at least one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activities play </w:t>
      </w:r>
      <w:r w:rsidDel="00000000" w:rsidR="00000000" w:rsidRPr="00000000">
        <w:rPr>
          <w:rFonts w:ascii="Times New Roman" w:cs="Times New Roman" w:eastAsia="Times New Roman" w:hAnsi="Times New Roman"/>
          <w:color w:val="000000"/>
          <w:sz w:val="24"/>
          <w:szCs w:val="24"/>
          <w:highlight w:val="yellow"/>
          <w:rtl w:val="0"/>
        </w:rPr>
        <w:t xml:space="preserve">a</w:t>
      </w:r>
      <w:r w:rsidDel="00000000" w:rsidR="00000000" w:rsidRPr="00000000">
        <w:rPr>
          <w:rFonts w:ascii="Times New Roman" w:cs="Times New Roman" w:eastAsia="Times New Roman" w:hAnsi="Times New Roman"/>
          <w:sz w:val="24"/>
          <w:szCs w:val="24"/>
          <w:rtl w:val="0"/>
        </w:rPr>
        <w:t xml:space="preserve"> main role in DCR graphs,they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4 </w:t>
      </w:r>
      <w:r w:rsidDel="00000000" w:rsidR="00000000" w:rsidRPr="00000000">
        <w:rPr>
          <w:rFonts w:ascii="Times New Roman" w:cs="Times New Roman" w:eastAsia="Times New Roman" w:hAnsi="Times New Roman"/>
          <w:i w:val="1"/>
          <w:sz w:val="24"/>
          <w:szCs w:val="24"/>
          <w:rtl w:val="0"/>
        </w:rPr>
        <w:t xml:space="preserve">relations</w:t>
      </w:r>
      <w:r w:rsidDel="00000000" w:rsidR="00000000" w:rsidRPr="00000000">
        <w:rPr>
          <w:rFonts w:ascii="Times New Roman" w:cs="Times New Roman" w:eastAsia="Times New Roman" w:hAnsi="Times New Roman"/>
          <w:sz w:val="24"/>
          <w:szCs w:val="24"/>
          <w:rtl w:val="0"/>
        </w:rPr>
        <w:t xml:space="preserve"> between activities defined in the first version of DCR graph – condition, response, inclusion, exclusion (2). The relation starts from an activity and ends in another activity or in the same one. Later the graph is extended with </w:t>
      </w:r>
      <w:r w:rsidDel="00000000" w:rsidR="00000000" w:rsidRPr="00000000">
        <w:rPr>
          <w:rFonts w:ascii="Times New Roman" w:cs="Times New Roman" w:eastAsia="Times New Roman" w:hAnsi="Times New Roman"/>
          <w:color w:val="000000"/>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notion of milestone. To explain the meaning of the relations we will use the notion of DCR Workbench for simplicity. The graphical representation of the relations can be seen in table X: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condition A -[k]-&gt;* B represents the constraint that for event B to happen, A should be executed at least k steps before B (5). When there is no requirement for numbers of the steps, then this condition can be represented in the following format: A --&gt;* B. If A is excluded, then A is no longer requirement for B, neither the requirement for the steps is valid. After re-inclusion of A, the number of the steps will be reset to k, no matter of the value of k before the exclusion.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response A *-[d]-&gt; B sets an effect that when A happens, B becomes obligated(pending) and should happen at last d steps after the execution of A (5). Here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imposes fixed deadline, but in its absence the event B is obligated to happened eventually, without any concrete deadline. It the case of the latter the relation could represented as follow: A *--&gt; B. The deadline can’t be zero i.e. can’t happen immediately.</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exclusion A --% B is an effect that when A happens, B is excluded and can’t be executed (5). When B is excluded, it is no longer condition. If B was a pending obligation before exclusion, it need not happen after exclusion, unless not re-included.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inclusion A--+ B is an effect that when A happens, B is re-included. Now B can be executed. If B is condition for another activity, after re-inclusion it becomes valid.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milestone A --&lt;&gt; B is a constraint that for event B to happen A should be not pending or excluded (5). So If A is included, but not pending, B can also happen.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one more relation called “s</w:t>
      </w:r>
      <w:r w:rsidDel="00000000" w:rsidR="00000000" w:rsidRPr="00000000">
        <w:rPr>
          <w:rFonts w:ascii="Times New Roman" w:cs="Times New Roman" w:eastAsia="Times New Roman" w:hAnsi="Times New Roman"/>
          <w:i w:val="1"/>
          <w:sz w:val="24"/>
          <w:szCs w:val="24"/>
          <w:rtl w:val="0"/>
        </w:rPr>
        <w:t xml:space="preserve">pawn</w:t>
      </w:r>
      <w:r w:rsidDel="00000000" w:rsidR="00000000" w:rsidRPr="00000000">
        <w:rPr>
          <w:rFonts w:ascii="Times New Roman" w:cs="Times New Roman" w:eastAsia="Times New Roman" w:hAnsi="Times New Roman"/>
          <w:sz w:val="24"/>
          <w:szCs w:val="24"/>
          <w:rtl w:val="0"/>
        </w:rPr>
        <w:t xml:space="preserve">”, but unlike the other five relations it specifies creation of sub-process than setting a constraint. The spawn relation is only possible between an activity and a sub-process, but not between two activities or to the same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Graphs allow assigning a </w:t>
      </w: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to the events, so that the actors, responsible for execution of an event, can be noted. [16]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Nesting/Grouping</w:t>
      </w:r>
      <w:r w:rsidDel="00000000" w:rsidR="00000000" w:rsidRPr="00000000">
        <w:rPr>
          <w:rFonts w:ascii="Times New Roman" w:cs="Times New Roman" w:eastAsia="Times New Roman" w:hAnsi="Times New Roman"/>
          <w:sz w:val="24"/>
          <w:szCs w:val="24"/>
          <w:rtl w:val="0"/>
        </w:rPr>
        <w:t xml:space="preserve"> of the activities is added in one of the later extensions. The nesting represents grouping a set of related events, such that the relation from an event to the nesting node is valid to all grouped events.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notion of </w:t>
      </w:r>
      <w:r w:rsidDel="00000000" w:rsidR="00000000" w:rsidRPr="00000000">
        <w:rPr>
          <w:rFonts w:ascii="Times New Roman" w:cs="Times New Roman" w:eastAsia="Times New Roman" w:hAnsi="Times New Roman"/>
          <w:i w:val="1"/>
          <w:sz w:val="24"/>
          <w:szCs w:val="24"/>
          <w:rtl w:val="0"/>
        </w:rPr>
        <w:t xml:space="preserve">spawned sub-processes</w:t>
      </w:r>
      <w:r w:rsidDel="00000000" w:rsidR="00000000" w:rsidRPr="00000000">
        <w:rPr>
          <w:rFonts w:ascii="Times New Roman" w:cs="Times New Roman" w:eastAsia="Times New Roman" w:hAnsi="Times New Roman"/>
          <w:sz w:val="24"/>
          <w:szCs w:val="24"/>
          <w:rtl w:val="0"/>
        </w:rPr>
        <w:t xml:space="preserve"> is one of the other extensions to the DCR graph. A DCR graph represents a business process, but each process can include sub-processes. Every sub-process can be either: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single-instance sub process, meaning a process embedded in the main process, or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multi-instance sub process, that can be spawned to run independently of the main process (4). </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graphical representation of the activities in the two tools - the visual tool and DCR workbench - and more details are available in </w:t>
      </w:r>
      <w:r w:rsidDel="00000000" w:rsidR="00000000" w:rsidRPr="00000000">
        <w:rPr>
          <w:rtl w:val="0"/>
        </w:rPr>
        <w:t xml:space="preserve">Table 1</w:t>
      </w:r>
      <w:r w:rsidDel="00000000" w:rsidR="00000000" w:rsidRPr="00000000">
        <w:rPr>
          <w:rFonts w:ascii="Times New Roman" w:cs="Times New Roman" w:eastAsia="Times New Roman" w:hAnsi="Times New Roman"/>
          <w:sz w:val="24"/>
          <w:szCs w:val="24"/>
          <w:rtl w:val="0"/>
        </w:rPr>
        <w:t xml:space="preserve"> below. </w:t>
      </w:r>
      <w:r w:rsidDel="00000000" w:rsidR="00000000" w:rsidRPr="00000000">
        <w:rPr>
          <w:rtl w:val="0"/>
        </w:rPr>
      </w:r>
    </w:p>
    <w:p w:rsidR="00000000" w:rsidDel="00000000" w:rsidP="00000000" w:rsidRDefault="00000000" w:rsidRPr="00000000">
      <w:pPr>
        <w:keepNext w:val="1"/>
        <w:spacing w:after="200" w:line="240" w:lineRule="auto"/>
        <w:contextualSpacing w:val="0"/>
      </w:pPr>
      <w:bookmarkStart w:colFirst="0" w:colLast="0" w:name="_1fob9te" w:id="3"/>
      <w:bookmarkEnd w:id="3"/>
      <w:bookmarkStart w:colFirst="0" w:colLast="0" w:name="3znysh7" w:id="2"/>
      <w:bookmarkEnd w:id="2"/>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tyjcwt" w:id="5"/>
      <w:bookmarkEnd w:id="5"/>
      <w:bookmarkStart w:colFirst="0" w:colLast="0" w:name="2et92p0" w:id="4"/>
      <w:bookmarkEnd w:id="4"/>
      <w:r w:rsidDel="00000000" w:rsidR="00000000" w:rsidRPr="00000000">
        <w:rPr>
          <w:rFonts w:ascii="Calibri" w:cs="Calibri" w:eastAsia="Calibri" w:hAnsi="Calibri"/>
          <w:b w:val="0"/>
          <w:i w:val="1"/>
          <w:color w:val="44546a"/>
          <w:sz w:val="18"/>
          <w:szCs w:val="18"/>
          <w:rtl w:val="0"/>
        </w:rPr>
        <w:t xml:space="preserve">Table 1 Graphical representation of activities</w:t>
      </w:r>
      <w:r w:rsidDel="00000000" w:rsidR="00000000" w:rsidRPr="00000000">
        <w:rPr>
          <w:rtl w:val="0"/>
        </w:rPr>
      </w:r>
    </w:p>
    <w:tbl>
      <w:tblPr>
        <w:tblStyle w:val="Table1"/>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1896"/>
        <w:gridCol w:w="2209"/>
        <w:gridCol w:w="3283"/>
        <w:tblGridChange w:id="0">
          <w:tblGrid>
            <w:gridCol w:w="2246"/>
            <w:gridCol w:w="1896"/>
            <w:gridCol w:w="2209"/>
            <w:gridCol w:w="3283"/>
          </w:tblGrid>
        </w:tblGridChange>
      </w:tblGrid>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DCR.net visual tool</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code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included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754380" cy="533400"/>
                  <wp:effectExtent b="0" l="0" r="0" t="0"/>
                  <wp:docPr descr="D:\ITU_edu\2sem\Critical Systems Project\DCR\pictures\Activity_itu.PNG" id="18" name="image44.png"/>
                  <a:graphic>
                    <a:graphicData uri="http://schemas.openxmlformats.org/drawingml/2006/picture">
                      <pic:pic>
                        <pic:nvPicPr>
                          <pic:cNvPr descr="D:\ITU_edu\2sem\Critical Systems Project\DCR\pictures\Activity_itu.PNG" id="0" name="image44.png"/>
                          <pic:cNvPicPr preferRelativeResize="0"/>
                        </pic:nvPicPr>
                        <pic:blipFill>
                          <a:blip r:embed="rId7"/>
                          <a:srcRect b="0" l="0" r="0" t="0"/>
                          <a:stretch>
                            <a:fillRect/>
                          </a:stretch>
                        </pic:blipFill>
                        <pic:spPr>
                          <a:xfrm>
                            <a:off x="0" y="0"/>
                            <a:ext cx="75438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39873" cy="1184349"/>
                  <wp:effectExtent b="0" l="0" r="0" t="0"/>
                  <wp:docPr descr="D:\ITU_edu\2sem\Critical Systems Project\DCR\pictures\Activity.PNG" id="20" name="image48.png"/>
                  <a:graphic>
                    <a:graphicData uri="http://schemas.openxmlformats.org/drawingml/2006/picture">
                      <pic:pic>
                        <pic:nvPicPr>
                          <pic:cNvPr descr="D:\ITU_edu\2sem\Critical Systems Project\DCR\pictures\Activity.PNG" id="0" name="image48.png"/>
                          <pic:cNvPicPr preferRelativeResize="0"/>
                        </pic:nvPicPr>
                        <pic:blipFill>
                          <a:blip r:embed="rId8"/>
                          <a:srcRect b="0" l="0" r="0" t="0"/>
                          <a:stretch>
                            <a:fillRect/>
                          </a:stretch>
                        </pic:blipFill>
                        <pic:spPr>
                          <a:xfrm>
                            <a:off x="0" y="0"/>
                            <a:ext cx="939873" cy="118434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can be executed only if it is included and the constraints like condition and milestone are fulfilled. When added the activity is included by default. In the visual tool, this state can set by check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excluded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06259" cy="487829"/>
                  <wp:effectExtent b="0" l="0" r="0" t="0"/>
                  <wp:docPr descr="D:\ITU_edu\2sem\Critical Systems Project\DCR\pictures\Activity_excl_itu.PNG" id="19" name="image45.png"/>
                  <a:graphic>
                    <a:graphicData uri="http://schemas.openxmlformats.org/drawingml/2006/picture">
                      <pic:pic>
                        <pic:nvPicPr>
                          <pic:cNvPr descr="D:\ITU_edu\2sem\Critical Systems Project\DCR\pictures\Activity_excl_itu.PNG" id="0" name="image45.png"/>
                          <pic:cNvPicPr preferRelativeResize="0"/>
                        </pic:nvPicPr>
                        <pic:blipFill>
                          <a:blip r:embed="rId9"/>
                          <a:srcRect b="0" l="0" r="0" t="0"/>
                          <a:stretch>
                            <a:fillRect/>
                          </a:stretch>
                        </pic:blipFill>
                        <pic:spPr>
                          <a:xfrm>
                            <a:off x="0" y="0"/>
                            <a:ext cx="706259" cy="48782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911295" cy="1098082"/>
                  <wp:effectExtent b="0" l="0" r="0" t="0"/>
                  <wp:docPr descr="D:\ITU_edu\2sem\Critical Systems Project\DCR\pictures\Activity_excluded.PNG" id="22" name="image53.png"/>
                  <a:graphic>
                    <a:graphicData uri="http://schemas.openxmlformats.org/drawingml/2006/picture">
                      <pic:pic>
                        <pic:nvPicPr>
                          <pic:cNvPr descr="D:\ITU_edu\2sem\Critical Systems Project\DCR\pictures\Activity_excluded.PNG" id="0" name="image53.png"/>
                          <pic:cNvPicPr preferRelativeResize="0"/>
                        </pic:nvPicPr>
                        <pic:blipFill>
                          <a:blip r:embed="rId10"/>
                          <a:srcRect b="0" l="0" r="0" t="0"/>
                          <a:stretch>
                            <a:fillRect/>
                          </a:stretch>
                        </pic:blipFill>
                        <pic:spPr>
                          <a:xfrm>
                            <a:off x="0" y="0"/>
                            <a:ext cx="911295" cy="109808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Pending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69620" cy="510540"/>
                  <wp:effectExtent b="0" l="0" r="0" t="0"/>
                  <wp:docPr descr="D:\ITU_edu\2sem\Critical Systems Project\DCR\pictures\Activity_pending_itu.PNG" id="21" name="image51.png"/>
                  <a:graphic>
                    <a:graphicData uri="http://schemas.openxmlformats.org/drawingml/2006/picture">
                      <pic:pic>
                        <pic:nvPicPr>
                          <pic:cNvPr descr="D:\ITU_edu\2sem\Critical Systems Project\DCR\pictures\Activity_pending_itu.PNG" id="0" name="image51.png"/>
                          <pic:cNvPicPr preferRelativeResize="0"/>
                        </pic:nvPicPr>
                        <pic:blipFill>
                          <a:blip r:embed="rId11"/>
                          <a:srcRect b="0" l="0" r="0" t="0"/>
                          <a:stretch>
                            <a:fillRect/>
                          </a:stretch>
                        </pic:blipFill>
                        <pic:spPr>
                          <a:xfrm>
                            <a:off x="0" y="0"/>
                            <a:ext cx="769620" cy="51054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74222" cy="1101620"/>
                  <wp:effectExtent b="0" l="0" r="0" t="0"/>
                  <wp:docPr descr="D:\ITU_edu\2sem\Critical Systems Project\DCR\pictures\Activity_pend.png" id="24" name="image58.png"/>
                  <a:graphic>
                    <a:graphicData uri="http://schemas.openxmlformats.org/drawingml/2006/picture">
                      <pic:pic>
                        <pic:nvPicPr>
                          <pic:cNvPr descr="D:\ITU_edu\2sem\Critical Systems Project\DCR\pictures\Activity_pend.png" id="0" name="image58.png"/>
                          <pic:cNvPicPr preferRelativeResize="0"/>
                        </pic:nvPicPr>
                        <pic:blipFill>
                          <a:blip r:embed="rId12"/>
                          <a:srcRect b="0" l="0" r="0" t="0"/>
                          <a:stretch>
                            <a:fillRect/>
                          </a:stretch>
                        </pic:blipFill>
                        <pic:spPr>
                          <a:xfrm>
                            <a:off x="0" y="0"/>
                            <a:ext cx="874222" cy="11016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executed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861060" cy="541020"/>
                  <wp:effectExtent b="0" l="0" r="0" t="0"/>
                  <wp:docPr descr="D:\ITU_edu\2sem\Critical Systems Project\DCR\pictures\Activity_executed_itu.png" id="23" name="image56.png"/>
                  <a:graphic>
                    <a:graphicData uri="http://schemas.openxmlformats.org/drawingml/2006/picture">
                      <pic:pic>
                        <pic:nvPicPr>
                          <pic:cNvPr descr="D:\ITU_edu\2sem\Critical Systems Project\DCR\pictures\Activity_executed_itu.png" id="0" name="image56.png"/>
                          <pic:cNvPicPr preferRelativeResize="0"/>
                        </pic:nvPicPr>
                        <pic:blipFill>
                          <a:blip r:embed="rId13"/>
                          <a:srcRect b="0" l="0" r="0" t="0"/>
                          <a:stretch>
                            <a:fillRect/>
                          </a:stretch>
                        </pic:blipFill>
                        <pic:spPr>
                          <a:xfrm>
                            <a:off x="0" y="0"/>
                            <a:ext cx="861060" cy="541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72553" cy="1225528"/>
                  <wp:effectExtent b="0" l="0" r="0" t="0"/>
                  <wp:docPr descr="D:\ITU_edu\2sem\Critical Systems Project\DCR\pictures\Activity_executed.png" id="26" name="image62.png"/>
                  <a:graphic>
                    <a:graphicData uri="http://schemas.openxmlformats.org/drawingml/2006/picture">
                      <pic:pic>
                        <pic:nvPicPr>
                          <pic:cNvPr descr="D:\ITU_edu\2sem\Critical Systems Project\DCR\pictures\Activity_executed.png" id="0" name="image62.png"/>
                          <pic:cNvPicPr preferRelativeResize="0"/>
                        </pic:nvPicPr>
                        <pic:blipFill>
                          <a:blip r:embed="rId14"/>
                          <a:srcRect b="0" l="0" r="0" t="0"/>
                          <a:stretch>
                            <a:fillRect/>
                          </a:stretch>
                        </pic:blipFill>
                        <pic:spPr>
                          <a:xfrm>
                            <a:off x="0" y="0"/>
                            <a:ext cx="972553" cy="1225528"/>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activity could be executed several times except it has an exclusion relation to itself. It this case it will be excluded after the first execution.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Nesting/Grouping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656905" cy="801196"/>
                  <wp:effectExtent b="0" l="0" r="0" t="0"/>
                  <wp:docPr descr="D:\ITU_edu\2sem\Critical Systems Project\DCR\pictures\Group_itu.PNG" id="25" name="image61.png"/>
                  <a:graphic>
                    <a:graphicData uri="http://schemas.openxmlformats.org/drawingml/2006/picture">
                      <pic:pic>
                        <pic:nvPicPr>
                          <pic:cNvPr descr="D:\ITU_edu\2sem\Critical Systems Project\DCR\pictures\Group_itu.PNG" id="0" name="image61.png"/>
                          <pic:cNvPicPr preferRelativeResize="0"/>
                        </pic:nvPicPr>
                        <pic:blipFill>
                          <a:blip r:embed="rId15"/>
                          <a:srcRect b="0" l="0" r="0" t="0"/>
                          <a:stretch>
                            <a:fillRect/>
                          </a:stretch>
                        </pic:blipFill>
                        <pic:spPr>
                          <a:xfrm>
                            <a:off x="0" y="0"/>
                            <a:ext cx="656905" cy="801196"/>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1070867" cy="1192097"/>
                  <wp:effectExtent b="0" l="0" r="0" t="0"/>
                  <wp:docPr descr="D:\ITU_edu\2sem\Critical Systems Project\DCR\pictures\Nesting.PNG" id="29" name="image65.png"/>
                  <a:graphic>
                    <a:graphicData uri="http://schemas.openxmlformats.org/drawingml/2006/picture">
                      <pic:pic>
                        <pic:nvPicPr>
                          <pic:cNvPr descr="D:\ITU_edu\2sem\Critical Systems Project\DCR\pictures\Nesting.PNG" id="0" name="image65.png"/>
                          <pic:cNvPicPr preferRelativeResize="0"/>
                        </pic:nvPicPr>
                        <pic:blipFill>
                          <a:blip r:embed="rId16"/>
                          <a:srcRect b="0" l="0" r="0" t="0"/>
                          <a:stretch>
                            <a:fillRect/>
                          </a:stretch>
                        </pic:blipFill>
                        <pic:spPr>
                          <a:xfrm>
                            <a:off x="0" y="0"/>
                            <a:ext cx="1070867" cy="119209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“Group name”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Grouping in DCR Benchmark has the functionality of Nesting in the visual tool. A relation from the group / nesting is equal to putting relation to and from each of the compounding activities of the group.</w:t>
            </w:r>
            <w:r w:rsidDel="00000000" w:rsidR="00000000" w:rsidRPr="00000000">
              <w:rPr>
                <w:rtl w:val="0"/>
              </w:rPr>
            </w:r>
          </w:p>
        </w:tc>
      </w:tr>
    </w:tbl>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3dy6vkm" w:id="7"/>
      <w:bookmarkEnd w:id="7"/>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Table 2</w:t>
      </w:r>
      <w:r w:rsidDel="00000000" w:rsidR="00000000" w:rsidRPr="00000000">
        <w:rPr>
          <w:rFonts w:ascii="Times New Roman" w:cs="Times New Roman" w:eastAsia="Times New Roman" w:hAnsi="Times New Roman"/>
          <w:sz w:val="24"/>
          <w:szCs w:val="24"/>
          <w:rtl w:val="0"/>
        </w:rPr>
        <w:t xml:space="preserve"> is shown the graphical representation of the relations between the activities and sub-processes. </w:t>
      </w:r>
      <w:bookmarkStart w:colFirst="0" w:colLast="0" w:name="1t3h5sf" w:id="6"/>
      <w:bookmarkEnd w:id="6"/>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2s8eyo1" w:id="9"/>
      <w:bookmarkEnd w:id="9"/>
      <w:bookmarkStart w:colFirst="0" w:colLast="0" w:name="4d34og8" w:id="8"/>
      <w:bookmarkEnd w:id="8"/>
      <w:r w:rsidDel="00000000" w:rsidR="00000000" w:rsidRPr="00000000">
        <w:rPr>
          <w:rFonts w:ascii="Calibri" w:cs="Calibri" w:eastAsia="Calibri" w:hAnsi="Calibri"/>
          <w:b w:val="0"/>
          <w:i w:val="1"/>
          <w:color w:val="44546a"/>
          <w:sz w:val="18"/>
          <w:szCs w:val="18"/>
          <w:rtl w:val="0"/>
        </w:rPr>
        <w:t xml:space="preserve">Table 2 Graphical representation of relations</w:t>
      </w:r>
      <w:r w:rsidDel="00000000" w:rsidR="00000000" w:rsidRPr="00000000">
        <w:rPr>
          <w:rtl w:val="0"/>
        </w:rPr>
      </w:r>
    </w:p>
    <w:tbl>
      <w:tblPr>
        <w:tblStyle w:val="Table2"/>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1416"/>
        <w:gridCol w:w="1418"/>
        <w:gridCol w:w="4536"/>
        <w:tblGridChange w:id="0">
          <w:tblGrid>
            <w:gridCol w:w="2264"/>
            <w:gridCol w:w="1416"/>
            <w:gridCol w:w="1418"/>
            <w:gridCol w:w="4536"/>
          </w:tblGrid>
        </w:tblGridChange>
      </w:tblGrid>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Condition</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739140" cy="259080"/>
                  <wp:effectExtent b="0" l="0" r="0" t="0"/>
                  <wp:docPr descr="D:\ITU_edu\2sem\Critical Systems Project\DCR\pictures\Condition.PNG" id="27" name="image63.png"/>
                  <a:graphic>
                    <a:graphicData uri="http://schemas.openxmlformats.org/drawingml/2006/picture">
                      <pic:pic>
                        <pic:nvPicPr>
                          <pic:cNvPr descr="D:\ITU_edu\2sem\Critical Systems Project\DCR\pictures\Condition.PNG" id="0" name="image63.png"/>
                          <pic:cNvPicPr preferRelativeResize="0"/>
                        </pic:nvPicPr>
                        <pic:blipFill>
                          <a:blip r:embed="rId17"/>
                          <a:srcRect b="0" l="0" r="0" t="0"/>
                          <a:stretch>
                            <a:fillRect/>
                          </a:stretch>
                        </pic:blipFill>
                        <pic:spPr>
                          <a:xfrm>
                            <a:off x="0" y="0"/>
                            <a:ext cx="739140" cy="2590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766773" cy="321550"/>
                  <wp:effectExtent b="0" l="0" r="0" t="0"/>
                  <wp:docPr id="28" name="image64.png"/>
                  <a:graphic>
                    <a:graphicData uri="http://schemas.openxmlformats.org/drawingml/2006/picture">
                      <pic:pic>
                        <pic:nvPicPr>
                          <pic:cNvPr id="0" name="image64.png"/>
                          <pic:cNvPicPr preferRelativeResize="0"/>
                        </pic:nvPicPr>
                        <pic:blipFill>
                          <a:blip r:embed="rId18"/>
                          <a:srcRect b="0" l="0" r="0" t="0"/>
                          <a:stretch>
                            <a:fillRect/>
                          </a:stretch>
                        </pic:blipFill>
                        <pic:spPr>
                          <a:xfrm>
                            <a:off x="0" y="0"/>
                            <a:ext cx="766773" cy="3215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03860" cy="167640"/>
                  <wp:effectExtent b="0" l="0" r="0" t="0"/>
                  <wp:docPr id="30" name="image66.png"/>
                  <a:graphic>
                    <a:graphicData uri="http://schemas.openxmlformats.org/drawingml/2006/picture">
                      <pic:pic>
                        <pic:nvPicPr>
                          <pic:cNvPr id="0" name="image66.png"/>
                          <pic:cNvPicPr preferRelativeResize="0"/>
                        </pic:nvPicPr>
                        <pic:blipFill>
                          <a:blip r:embed="rId19"/>
                          <a:srcRect b="0" l="0" r="0" t="0"/>
                          <a:stretch>
                            <a:fillRect/>
                          </a:stretch>
                        </pic:blipFill>
                        <pic:spPr>
                          <a:xfrm>
                            <a:off x="0" y="0"/>
                            <a:ext cx="403860" cy="1676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21489" cy="197972"/>
                  <wp:effectExtent b="0" l="0" r="0" t="0"/>
                  <wp:docPr id="31" name="image67.png"/>
                  <a:graphic>
                    <a:graphicData uri="http://schemas.openxmlformats.org/drawingml/2006/picture">
                      <pic:pic>
                        <pic:nvPicPr>
                          <pic:cNvPr id="0" name="image67.png"/>
                          <pic:cNvPicPr preferRelativeResize="0"/>
                        </pic:nvPicPr>
                        <pic:blipFill>
                          <a:blip r:embed="rId20"/>
                          <a:srcRect b="0" l="0" r="0" t="0"/>
                          <a:stretch>
                            <a:fillRect/>
                          </a:stretch>
                        </pic:blipFill>
                        <pic:spPr>
                          <a:xfrm>
                            <a:off x="0" y="0"/>
                            <a:ext cx="421489" cy="19797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condition between two activities ensures that the second activity cannot be executed unless the first is excluded or has been executed at least once.”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Response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67635" cy="306224"/>
                  <wp:effectExtent b="0" l="0" r="0" t="0"/>
                  <wp:docPr descr="D:\ITU_edu\2sem\Critical Systems Project\DCR\pictures\Response.PNG" id="32" name="image68.png"/>
                  <a:graphic>
                    <a:graphicData uri="http://schemas.openxmlformats.org/drawingml/2006/picture">
                      <pic:pic>
                        <pic:nvPicPr>
                          <pic:cNvPr descr="D:\ITU_edu\2sem\Critical Systems Project\DCR\pictures\Response.PNG" id="0" name="image68.png"/>
                          <pic:cNvPicPr preferRelativeResize="0"/>
                        </pic:nvPicPr>
                        <pic:blipFill>
                          <a:blip r:embed="rId21"/>
                          <a:srcRect b="0" l="0" r="0" t="0"/>
                          <a:stretch>
                            <a:fillRect/>
                          </a:stretch>
                        </pic:blipFill>
                        <pic:spPr>
                          <a:xfrm>
                            <a:off x="0" y="0"/>
                            <a:ext cx="867635" cy="3062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877502" cy="345427"/>
                  <wp:effectExtent b="0" l="0" r="0" t="0"/>
                  <wp:docPr id="33" name="image69.png"/>
                  <a:graphic>
                    <a:graphicData uri="http://schemas.openxmlformats.org/drawingml/2006/picture">
                      <pic:pic>
                        <pic:nvPicPr>
                          <pic:cNvPr id="0" name="image69.png"/>
                          <pic:cNvPicPr preferRelativeResize="0"/>
                        </pic:nvPicPr>
                        <pic:blipFill>
                          <a:blip r:embed="rId22"/>
                          <a:srcRect b="0" l="0" r="0" t="0"/>
                          <a:stretch>
                            <a:fillRect/>
                          </a:stretch>
                        </pic:blipFill>
                        <pic:spPr>
                          <a:xfrm>
                            <a:off x="0" y="0"/>
                            <a:ext cx="877502" cy="34542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26719" cy="205740"/>
                  <wp:effectExtent b="0" l="0" r="0" t="0"/>
                  <wp:docPr id="34" name="image70.png"/>
                  <a:graphic>
                    <a:graphicData uri="http://schemas.openxmlformats.org/drawingml/2006/picture">
                      <pic:pic>
                        <pic:nvPicPr>
                          <pic:cNvPr id="0" name="image70.png"/>
                          <pic:cNvPicPr preferRelativeResize="0"/>
                        </pic:nvPicPr>
                        <pic:blipFill>
                          <a:blip r:embed="rId23"/>
                          <a:srcRect b="0" l="0" r="0" t="0"/>
                          <a:stretch>
                            <a:fillRect/>
                          </a:stretch>
                        </pic:blipFill>
                        <pic:spPr>
                          <a:xfrm>
                            <a:off x="0" y="0"/>
                            <a:ext cx="426719" cy="2057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71568" cy="278654"/>
                  <wp:effectExtent b="0" l="0" r="0" t="0"/>
                  <wp:docPr id="35" name="image71.png"/>
                  <a:graphic>
                    <a:graphicData uri="http://schemas.openxmlformats.org/drawingml/2006/picture">
                      <pic:pic>
                        <pic:nvPicPr>
                          <pic:cNvPr id="0" name="image71.png"/>
                          <pic:cNvPicPr preferRelativeResize="0"/>
                        </pic:nvPicPr>
                        <pic:blipFill>
                          <a:blip r:embed="rId24"/>
                          <a:srcRect b="0" l="0" r="0" t="0"/>
                          <a:stretch>
                            <a:fillRect/>
                          </a:stretch>
                        </pic:blipFill>
                        <pic:spPr>
                          <a:xfrm>
                            <a:off x="0" y="0"/>
                            <a:ext cx="471568" cy="278654"/>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response, or goal, ensures that once the first activity has been executed the other activity becomes a goal, that must eventually be executed or excluded”.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Include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920" cy="236220"/>
                  <wp:effectExtent b="0" l="0" r="0" t="0"/>
                  <wp:docPr descr="D:\ITU_edu\2sem\Critical Systems Project\DCR\pictures\Includes.PNG" id="36" name="image72.png"/>
                  <a:graphic>
                    <a:graphicData uri="http://schemas.openxmlformats.org/drawingml/2006/picture">
                      <pic:pic>
                        <pic:nvPicPr>
                          <pic:cNvPr descr="D:\ITU_edu\2sem\Critical Systems Project\DCR\pictures\Includes.PNG" id="0" name="image72.png"/>
                          <pic:cNvPicPr preferRelativeResize="0"/>
                        </pic:nvPicPr>
                        <pic:blipFill>
                          <a:blip r:embed="rId25"/>
                          <a:srcRect b="0" l="0" r="0" t="0"/>
                          <a:stretch>
                            <a:fillRect/>
                          </a:stretch>
                        </pic:blipFill>
                        <pic:spPr>
                          <a:xfrm>
                            <a:off x="0" y="0"/>
                            <a:ext cx="883920" cy="2362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03860" cy="182880"/>
                  <wp:effectExtent b="0" l="0" r="0" t="0"/>
                  <wp:docPr descr="D:\ITU_edu\2sem\Critical Systems Project\DCR\pictures\Include_itu.PNG" id="37" name="image73.png"/>
                  <a:graphic>
                    <a:graphicData uri="http://schemas.openxmlformats.org/drawingml/2006/picture">
                      <pic:pic>
                        <pic:nvPicPr>
                          <pic:cNvPr descr="D:\ITU_edu\2sem\Critical Systems Project\DCR\pictures\Include_itu.PNG" id="0" name="image73.png"/>
                          <pic:cNvPicPr preferRelativeResize="0"/>
                        </pic:nvPicPr>
                        <pic:blipFill>
                          <a:blip r:embed="rId26"/>
                          <a:srcRect b="0" l="0" r="0" t="0"/>
                          <a:stretch>
                            <a:fillRect/>
                          </a:stretch>
                        </pic:blipFill>
                        <pic:spPr>
                          <a:xfrm>
                            <a:off x="0" y="0"/>
                            <a:ext cx="403860" cy="18288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include relation includes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Exclude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232" cy="213685"/>
                  <wp:effectExtent b="0" l="0" r="0" t="0"/>
                  <wp:docPr descr="D:\ITU_edu\2sem\Critical Systems Project\DCR\pictures\Exclude.PNG" id="8" name="image27.png"/>
                  <a:graphic>
                    <a:graphicData uri="http://schemas.openxmlformats.org/drawingml/2006/picture">
                      <pic:pic>
                        <pic:nvPicPr>
                          <pic:cNvPr descr="D:\ITU_edu\2sem\Critical Systems Project\DCR\pictures\Exclude.PNG" id="0" name="image27.png"/>
                          <pic:cNvPicPr preferRelativeResize="0"/>
                        </pic:nvPicPr>
                        <pic:blipFill>
                          <a:blip r:embed="rId27"/>
                          <a:srcRect b="0" l="0" r="0" t="0"/>
                          <a:stretch>
                            <a:fillRect/>
                          </a:stretch>
                        </pic:blipFill>
                        <pic:spPr>
                          <a:xfrm>
                            <a:off x="0" y="0"/>
                            <a:ext cx="883232" cy="21368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396240" cy="213360"/>
                  <wp:effectExtent b="0" l="0" r="0" t="0"/>
                  <wp:docPr descr="D:\ITU_edu\2sem\Critical Systems Project\DCR\pictures\Exclude_itu.PNG" id="9" name="image29.png"/>
                  <a:graphic>
                    <a:graphicData uri="http://schemas.openxmlformats.org/drawingml/2006/picture">
                      <pic:pic>
                        <pic:nvPicPr>
                          <pic:cNvPr descr="D:\ITU_edu\2sem\Critical Systems Project\DCR\pictures\Exclude_itu.PNG" id="0" name="image29.png"/>
                          <pic:cNvPicPr preferRelativeResize="0"/>
                        </pic:nvPicPr>
                        <pic:blipFill>
                          <a:blip r:embed="rId28"/>
                          <a:srcRect b="0" l="0" r="0" t="0"/>
                          <a:stretch>
                            <a:fillRect/>
                          </a:stretch>
                        </pic:blipFill>
                        <pic:spPr>
                          <a:xfrm>
                            <a:off x="0" y="0"/>
                            <a:ext cx="396240" cy="21336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exclude relation excludes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Milestone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70315" cy="212093"/>
                  <wp:effectExtent b="0" l="0" r="0" t="0"/>
                  <wp:docPr descr="D:\ITU_edu\2sem\Critical Systems Project\DCR\pictures\Milestone.PNG" id="10" name="image31.png"/>
                  <a:graphic>
                    <a:graphicData uri="http://schemas.openxmlformats.org/drawingml/2006/picture">
                      <pic:pic>
                        <pic:nvPicPr>
                          <pic:cNvPr descr="D:\ITU_edu\2sem\Critical Systems Project\DCR\pictures\Milestone.PNG" id="0" name="image31.png"/>
                          <pic:cNvPicPr preferRelativeResize="0"/>
                        </pic:nvPicPr>
                        <pic:blipFill>
                          <a:blip r:embed="rId29"/>
                          <a:srcRect b="0" l="0" r="0" t="0"/>
                          <a:stretch>
                            <a:fillRect/>
                          </a:stretch>
                        </pic:blipFill>
                        <pic:spPr>
                          <a:xfrm>
                            <a:off x="0" y="0"/>
                            <a:ext cx="870315" cy="212093"/>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19100" cy="152400"/>
                  <wp:effectExtent b="0" l="0" r="0" t="0"/>
                  <wp:docPr descr="D:\ITU_edu\2sem\Critical Systems Project\DCR\pictures\Milestone_itu.PNG" id="11" name="image34.png"/>
                  <a:graphic>
                    <a:graphicData uri="http://schemas.openxmlformats.org/drawingml/2006/picture">
                      <pic:pic>
                        <pic:nvPicPr>
                          <pic:cNvPr descr="D:\ITU_edu\2sem\Critical Systems Project\DCR\pictures\Milestone_itu.PNG" id="0" name="image34.png"/>
                          <pic:cNvPicPr preferRelativeResize="0"/>
                        </pic:nvPicPr>
                        <pic:blipFill>
                          <a:blip r:embed="rId30"/>
                          <a:srcRect b="0" l="0" r="0" t="0"/>
                          <a:stretch>
                            <a:fillRect/>
                          </a:stretch>
                        </pic:blipFill>
                        <pic:spPr>
                          <a:xfrm>
                            <a:off x="0" y="0"/>
                            <a:ext cx="419100" cy="1524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--&lt;&gt;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milestone relations block the second activity if the first is currently a goal (response) and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Spawn</w:t>
            </w:r>
            <w:r w:rsidDel="00000000" w:rsidR="00000000" w:rsidRPr="00000000">
              <w:rPr>
                <w:rtl w:val="0"/>
              </w:rPr>
            </w:r>
          </w:p>
        </w:tc>
      </w:tr>
      <w:tr>
        <w:trPr>
          <w:trHeight w:val="980" w:hRule="atLeast"/>
        </w:trPr>
        <w:tc>
          <w:tcPr/>
          <w:p w:rsidR="00000000" w:rsidDel="00000000" w:rsidP="00000000" w:rsidRDefault="00000000" w:rsidRPr="00000000">
            <w:pPr>
              <w:contextualSpacing w:val="0"/>
              <w:jc w:val="both"/>
            </w:pPr>
            <w:r w:rsidDel="00000000" w:rsidR="00000000" w:rsidRPr="00000000">
              <w:drawing>
                <wp:inline distB="0" distT="0" distL="0" distR="0">
                  <wp:extent cx="893206" cy="231001"/>
                  <wp:effectExtent b="0" l="0" r="0" t="0"/>
                  <wp:docPr descr="D:\ITU_edu\2sem\Critical Systems Project\DCR\pictures\Spawn.PNG" id="12" name="image36.png"/>
                  <a:graphic>
                    <a:graphicData uri="http://schemas.openxmlformats.org/drawingml/2006/picture">
                      <pic:pic>
                        <pic:nvPicPr>
                          <pic:cNvPr descr="D:\ITU_edu\2sem\Critical Systems Project\DCR\pictures\Spawn.PNG" id="0" name="image36.png"/>
                          <pic:cNvPicPr preferRelativeResize="0"/>
                        </pic:nvPicPr>
                        <pic:blipFill>
                          <a:blip r:embed="rId31"/>
                          <a:srcRect b="0" l="0" r="0" t="0"/>
                          <a:stretch>
                            <a:fillRect/>
                          </a:stretch>
                        </pic:blipFill>
                        <pic:spPr>
                          <a:xfrm>
                            <a:off x="0" y="0"/>
                            <a:ext cx="893206" cy="231001"/>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746760" cy="541020"/>
                  <wp:effectExtent b="0" l="0" r="0" t="0"/>
                  <wp:docPr descr="D:\ITU_edu\2sem\Critical Systems Project\DCR\pictures\Spawn_itu.PNG" id="13" name="image38.png"/>
                  <a:graphic>
                    <a:graphicData uri="http://schemas.openxmlformats.org/drawingml/2006/picture">
                      <pic:pic>
                        <pic:nvPicPr>
                          <pic:cNvPr descr="D:\ITU_edu\2sem\Critical Systems Project\DCR\pictures\Spawn_itu.PNG" id="0" name="image38.png"/>
                          <pic:cNvPicPr preferRelativeResize="0"/>
                        </pic:nvPicPr>
                        <pic:blipFill>
                          <a:blip r:embed="rId32"/>
                          <a:srcRect b="0" l="0" r="0" t="0"/>
                          <a:stretch>
                            <a:fillRect/>
                          </a:stretch>
                        </pic:blipFill>
                        <pic:spPr>
                          <a:xfrm>
                            <a:off x="0" y="0"/>
                            <a:ext cx="746760" cy="5410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spawn relation spawns a new sub-process” (4)</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17dp8vu" w:id="10"/>
      <w:bookmarkEnd w:id="10"/>
      <w:r w:rsidDel="00000000" w:rsidR="00000000" w:rsidRPr="00000000">
        <w:rPr>
          <w:rtl w:val="0"/>
        </w:rPr>
        <w:t xml:space="preserve">Description of the case process</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this section, we will model how GDPR requirements are expected to be applied in our case “Modeling the GDPR requirements for data protection within Rejsekort A/S”, Figure 1.</w:t>
      </w:r>
    </w:p>
    <w:p w:rsidR="00000000" w:rsidDel="00000000" w:rsidP="00000000" w:rsidRDefault="00000000" w:rsidRPr="00000000">
      <w:pPr>
        <w:spacing w:after="0" w:lineRule="auto"/>
        <w:ind w:firstLine="360"/>
        <w:contextualSpacing w:val="0"/>
        <w:jc w:val="both"/>
      </w:pPr>
      <w:r w:rsidDel="00000000" w:rsidR="00000000" w:rsidRPr="00000000">
        <w:rPr>
          <w:rtl w:val="0"/>
        </w:rPr>
      </w:r>
    </w:p>
    <w:p w:rsidR="00000000" w:rsidDel="00000000" w:rsidP="00000000" w:rsidRDefault="00000000" w:rsidRPr="00000000">
      <w:pPr>
        <w:keepNext w:val="1"/>
        <w:spacing w:after="0" w:lineRule="auto"/>
        <w:ind w:firstLine="360"/>
        <w:contextualSpacing w:val="0"/>
        <w:jc w:val="both"/>
      </w:pPr>
      <w:r w:rsidDel="00000000" w:rsidR="00000000" w:rsidRPr="00000000">
        <w:drawing>
          <wp:inline distB="0" distT="0" distL="0" distR="0">
            <wp:extent cx="7570730" cy="5624674"/>
            <wp:effectExtent b="973028" l="-973028" r="-973028" t="973028"/>
            <wp:docPr id="14"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rot="5400000">
                      <a:off x="0" y="0"/>
                      <a:ext cx="7570730" cy="562467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6in1rg" w:id="12"/>
      <w:bookmarkEnd w:id="12"/>
      <w:bookmarkStart w:colFirst="0" w:colLast="0" w:name="3rdcrjn" w:id="11"/>
      <w:bookmarkEnd w:id="11"/>
      <w:r w:rsidDel="00000000" w:rsidR="00000000" w:rsidRPr="00000000">
        <w:rPr>
          <w:rFonts w:ascii="Calibri" w:cs="Calibri" w:eastAsia="Calibri" w:hAnsi="Calibri"/>
          <w:b w:val="0"/>
          <w:i w:val="1"/>
          <w:color w:val="44546a"/>
          <w:sz w:val="18"/>
          <w:szCs w:val="18"/>
          <w:rtl w:val="0"/>
        </w:rPr>
        <w:t xml:space="preserve">Figure 1 DCR of the process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59" w:lineRule="auto"/>
        <w:ind w:left="0"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w:t>
      </w:r>
      <w:r w:rsidDel="00000000" w:rsidR="00000000" w:rsidRPr="00000000">
        <w:rPr>
          <w:rFonts w:ascii="Times New Roman" w:cs="Times New Roman" w:eastAsia="Times New Roman" w:hAnsi="Times New Roman"/>
          <w:b w:val="0"/>
          <w:color w:val="2b2b2b"/>
          <w:sz w:val="24"/>
          <w:szCs w:val="24"/>
          <w:highlight w:val="white"/>
          <w:rtl w:val="0"/>
        </w:rPr>
        <w:t xml:space="preserve">"Processor means a natural or legal person, public authority, agency or any other body which processes personal data on behalf of the controller.</w:t>
      </w:r>
      <w:r w:rsidDel="00000000" w:rsidR="00000000" w:rsidRPr="00000000">
        <w:rPr>
          <w:rFonts w:ascii="Times New Roman" w:cs="Times New Roman" w:eastAsia="Times New Roman" w:hAnsi="Times New Roman"/>
          <w:b w:val="0"/>
          <w:color w:val="000000"/>
          <w:sz w:val="24"/>
          <w:szCs w:val="24"/>
          <w:rtl w:val="0"/>
        </w:rPr>
        <w:t xml:space="preserve">” (7) </w:t>
      </w:r>
    </w:p>
    <w:p w:rsidR="00000000" w:rsidDel="00000000" w:rsidP="00000000" w:rsidRDefault="00000000" w:rsidRPr="00000000">
      <w:pPr>
        <w:spacing w:after="160" w:before="0" w:line="259" w:lineRule="auto"/>
        <w:ind w:left="0"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our case the controller is Rejsekort A/S. Rejsekort A/S is also a processor in some of the processing cases, for example when a customer requests blocking of the travel card, when the personal data should be removed from the system and etc. But in (6) Rejsekort A/S doesn’t specify the processors. A careful look in the documentation shows that there are other companies included in the data processing. One of them is Nets A/S, in which system the customer payments are executed.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in the system of Nets A/S which receives the data from Rejsekort A/S to finish the operation of paying.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508760"/>
            <wp:effectExtent b="0" l="0" r="0" t="0"/>
            <wp:docPr id="15" name="image41.png"/>
            <a:graphic>
              <a:graphicData uri="http://schemas.openxmlformats.org/drawingml/2006/picture">
                <pic:pic>
                  <pic:nvPicPr>
                    <pic:cNvPr id="0" name="image41.png"/>
                    <pic:cNvPicPr preferRelativeResize="0"/>
                  </pic:nvPicPr>
                  <pic:blipFill>
                    <a:blip r:embed="rId34"/>
                    <a:srcRect b="0" l="0" r="0" t="0"/>
                    <a:stretch>
                      <a:fillRect/>
                    </a:stretch>
                  </pic:blipFill>
                  <pic:spPr>
                    <a:xfrm>
                      <a:off x="0" y="0"/>
                      <a:ext cx="5760720" cy="150876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5nkun2" w:id="14"/>
      <w:bookmarkEnd w:id="14"/>
      <w:bookmarkStart w:colFirst="0" w:colLast="0" w:name="lnxbz9" w:id="13"/>
      <w:bookmarkEnd w:id="13"/>
      <w:r w:rsidDel="00000000" w:rsidR="00000000" w:rsidRPr="00000000">
        <w:rPr>
          <w:rFonts w:ascii="Calibri" w:cs="Calibri" w:eastAsia="Calibri" w:hAnsi="Calibri"/>
          <w:b w:val="0"/>
          <w:i w:val="1"/>
          <w:color w:val="44546a"/>
          <w:sz w:val="18"/>
          <w:szCs w:val="18"/>
          <w:rtl w:val="0"/>
        </w:rPr>
        <w:t xml:space="preserve">Figure 2 DCR model of giving the consent for main purposes</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1ksv4uv" w:id="16"/>
      <w:bookmarkEnd w:id="16"/>
      <w:bookmarkStart w:colFirst="0" w:colLast="0" w:name="44sinio" w:id="15"/>
      <w:bookmarkEnd w:id="15"/>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following activities are illustrated – “Give consent for main purposes”, “Block main purposes”, “Register” and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system of Rejsekort A/S, after which Rejsekort, as a controller, can begin processing with the given personal data. “Block main purposes” and “Withdraw consent for main purposes” are related to withdrawing a consent that will be discussed later in this section.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“Mandatory” encapsulates the main purposes mentioned above.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In the beginning neither “Register”, nor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with “Withdraw consent for main purposes”. The latter has the same relation with “Block main purposes”. “Block main purposes” excludes itself when the contest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Another area related to the rights of the data subjects extended in GDPR is the right to get support from the controller to exercises his/her rights. The Directive 95/46/EC doesn’t obligate the controllers to give effect to the rights of the data subjects. With the new change, the recommendations of the Directive to help the data subject becomes an obligation, which the controller should comply with. This is reflected in our model and can be seen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controller should take into account all the new rights given to the data subject and implement appropriate measures to reflect their expectations. This could include training of the employees to respond as fast as possible to data subjects’ requests. (7)</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tl w:val="0"/>
        </w:rPr>
      </w:r>
    </w:p>
    <w:p w:rsidR="00000000" w:rsidDel="00000000" w:rsidP="00000000" w:rsidRDefault="00000000" w:rsidRPr="00000000">
      <w:pPr>
        <w:keepNext w:val="1"/>
        <w:ind w:left="708" w:firstLine="708"/>
        <w:contextualSpacing w:val="0"/>
        <w:jc w:val="both"/>
      </w:pPr>
      <w:r w:rsidDel="00000000" w:rsidR="00000000" w:rsidRPr="00000000">
        <w:drawing>
          <wp:inline distB="0" distT="0" distL="0" distR="0">
            <wp:extent cx="3457480" cy="712798"/>
            <wp:effectExtent b="0" l="0" r="0" t="0"/>
            <wp:docPr id="16"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3457480" cy="71279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z337ya" w:id="18"/>
      <w:bookmarkEnd w:id="18"/>
      <w:bookmarkStart w:colFirst="0" w:colLast="0" w:name="2jxsxqh" w:id="17"/>
      <w:bookmarkEnd w:id="17"/>
      <w:r w:rsidDel="00000000" w:rsidR="00000000" w:rsidRPr="00000000">
        <w:rPr>
          <w:rFonts w:ascii="Calibri" w:cs="Calibri" w:eastAsia="Calibri" w:hAnsi="Calibri"/>
          <w:b w:val="0"/>
          <w:i w:val="1"/>
          <w:color w:val="44546a"/>
          <w:sz w:val="18"/>
          <w:szCs w:val="18"/>
          <w:rtl w:val="0"/>
        </w:rPr>
        <w:t xml:space="preserve">Figure 3 DCR model of getting assistance from the controller</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j2qqm3" w:id="20"/>
      <w:bookmarkEnd w:id="20"/>
      <w:bookmarkStart w:colFirst="0" w:colLast="0" w:name="1y810tw" w:id="19"/>
      <w:bookmarkEnd w:id="19"/>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Article 13 of (6) requires the controller inform how long the personal data will be kept. Rejsekort A/S already complies with this rule and in (6) it discloses that keeps this information for five years after the termination of the customer relationship. This is modeled and illustrated in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521539" cy="1937558"/>
            <wp:effectExtent b="0" l="0" r="0" t="0"/>
            <wp:docPr id="17" name="image43.png"/>
            <a:graphic>
              <a:graphicData uri="http://schemas.openxmlformats.org/drawingml/2006/picture">
                <pic:pic>
                  <pic:nvPicPr>
                    <pic:cNvPr id="0" name="image43.png"/>
                    <pic:cNvPicPr preferRelativeResize="0"/>
                  </pic:nvPicPr>
                  <pic:blipFill>
                    <a:blip r:embed="rId36"/>
                    <a:srcRect b="0" l="0" r="0" t="0"/>
                    <a:stretch>
                      <a:fillRect/>
                    </a:stretch>
                  </pic:blipFill>
                  <pic:spPr>
                    <a:xfrm>
                      <a:off x="0" y="0"/>
                      <a:ext cx="5521539" cy="193755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xcytpi" w:id="22"/>
      <w:bookmarkEnd w:id="22"/>
      <w:bookmarkStart w:colFirst="0" w:colLast="0" w:name="4i7ojhp" w:id="21"/>
      <w:bookmarkEnd w:id="21"/>
      <w:r w:rsidDel="00000000" w:rsidR="00000000" w:rsidRPr="00000000">
        <w:rPr>
          <w:rFonts w:ascii="Calibri" w:cs="Calibri" w:eastAsia="Calibri" w:hAnsi="Calibri"/>
          <w:b w:val="0"/>
          <w:i w:val="1"/>
          <w:color w:val="44546a"/>
          <w:sz w:val="18"/>
          <w:szCs w:val="18"/>
          <w:rtl w:val="0"/>
        </w:rPr>
        <w:t xml:space="preserve">Figure 4 DCR model of termination of relationship</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1ci93xb" w:id="24"/>
      <w:bookmarkEnd w:id="24"/>
      <w:bookmarkStart w:colFirst="0" w:colLast="0" w:name="3whwml4" w:id="23"/>
      <w:bookmarkEnd w:id="23"/>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in the group, as it is written before.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not later, as we expect. So as the model above also behaves, the personal data can’t be deleted before 5 years has passed after the termination of the relation.</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Here we will show the blocking process, described in (6).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left="708" w:firstLine="708"/>
        <w:contextualSpacing w:val="0"/>
        <w:jc w:val="both"/>
      </w:pPr>
      <w:bookmarkStart w:colFirst="0" w:colLast="0" w:name="_2bn6wsx" w:id="26"/>
      <w:bookmarkEnd w:id="26"/>
      <w:r w:rsidDel="00000000" w:rsidR="00000000" w:rsidRPr="00000000">
        <w:drawing>
          <wp:inline distB="0" distT="0" distL="0" distR="0">
            <wp:extent cx="3982581" cy="933645"/>
            <wp:effectExtent b="0" l="0" r="0" t="0"/>
            <wp:docPr id="1"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3982581" cy="933645"/>
                    </a:xfrm>
                    <a:prstGeom prst="rect"/>
                    <a:ln/>
                  </pic:spPr>
                </pic:pic>
              </a:graphicData>
            </a:graphic>
          </wp:inline>
        </w:drawing>
      </w:r>
      <w:bookmarkStart w:colFirst="0" w:colLast="0" w:name="qsh70q" w:id="25"/>
      <w:bookmarkEnd w:id="25"/>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pxezwc" w:id="28"/>
      <w:bookmarkEnd w:id="28"/>
      <w:bookmarkStart w:colFirst="0" w:colLast="0" w:name="3as4poj" w:id="27"/>
      <w:bookmarkEnd w:id="27"/>
      <w:r w:rsidDel="00000000" w:rsidR="00000000" w:rsidRPr="00000000">
        <w:rPr>
          <w:rFonts w:ascii="Calibri" w:cs="Calibri" w:eastAsia="Calibri" w:hAnsi="Calibri"/>
          <w:b w:val="0"/>
          <w:i w:val="1"/>
          <w:color w:val="44546a"/>
          <w:sz w:val="18"/>
          <w:szCs w:val="18"/>
          <w:rtl w:val="0"/>
        </w:rPr>
        <w:t xml:space="preserve">Figure 5 DCR model of blocking request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5</w:t>
      </w:r>
      <w:r w:rsidDel="00000000" w:rsidR="00000000" w:rsidRPr="00000000">
        <w:rPr>
          <w:rFonts w:ascii="Times New Roman" w:cs="Times New Roman" w:eastAsia="Times New Roman" w:hAnsi="Times New Roman"/>
          <w:sz w:val="24"/>
          <w:szCs w:val="24"/>
          <w:rtl w:val="0"/>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jc w:val="both"/>
      </w:pPr>
      <w:bookmarkStart w:colFirst="0" w:colLast="0" w:name="_49x2ik5" w:id="29"/>
      <w:bookmarkEnd w:id="29"/>
      <w:r w:rsidDel="00000000" w:rsidR="00000000" w:rsidRPr="00000000">
        <w:rPr>
          <w:rFonts w:ascii="Times New Roman" w:cs="Times New Roman" w:eastAsia="Times New Roman" w:hAnsi="Times New Roman"/>
          <w:sz w:val="24"/>
          <w:szCs w:val="24"/>
          <w:rtl w:val="0"/>
        </w:rPr>
        <w:t xml:space="preserve">Figure 6 represents 3 different activities that all has a relation with “Register”. ”Get machine readable format” a</w:t>
      </w:r>
      <w:r w:rsidDel="00000000" w:rsidR="00000000" w:rsidRPr="00000000">
        <w:rPr>
          <w:rFonts w:ascii="Times New Roman" w:cs="Times New Roman" w:eastAsia="Times New Roman" w:hAnsi="Times New Roman"/>
          <w:sz w:val="24"/>
          <w:szCs w:val="24"/>
          <w:rtl w:val="0"/>
        </w:rPr>
        <w:t xml:space="preserve">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"Controllers must make the data available in a structured, commonly used, machine-readable and interoperable format that allows the individual to transfer the data to another controller." [12]. </w:t>
      </w:r>
      <w:r w:rsidDel="00000000" w:rsidR="00000000" w:rsidRPr="00000000">
        <w:rPr>
          <w:rFonts w:ascii="Times New Roman" w:cs="Times New Roman" w:eastAsia="Times New Roman" w:hAnsi="Times New Roman"/>
          <w:color w:val="000000"/>
          <w:sz w:val="24"/>
          <w:szCs w:val="24"/>
          <w:highlight w:val="yellow"/>
          <w:rtl w:val="0"/>
        </w:rPr>
        <w:t xml:space="preserve"> This makes it easier to the user to have more control over the processed data. The new law could lead to some extra burden in the companies because of the additional expenses to implement a new system, dealing with the requirement. [7, Article 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There is also “The right to be forgotten” sometimes called “right to erasure” is the right for the data subject to have his or her data erased and no longer processed under certain circumstances, which include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is no longer necessary to serve the user in relation to the purposes for which the data was collected.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withdraws his or hers consent.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was unlawfully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has given his or hers consent as a child, without being fully aware of the consequences.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If a data subject has requested to exercise his or hers right to erasure, and it was evaluated as a legitimate request, the company has to contact all third parties </w:t>
      </w:r>
      <w:r w:rsidDel="00000000" w:rsidR="00000000" w:rsidRPr="00000000">
        <w:rPr>
          <w:rFonts w:ascii="Times New Roman" w:cs="Times New Roman" w:eastAsia="Times New Roman" w:hAnsi="Times New Roman"/>
          <w:color w:val="000000"/>
          <w:sz w:val="24"/>
          <w:szCs w:val="24"/>
          <w:highlight w:val="yellow"/>
          <w:rtl w:val="0"/>
        </w:rPr>
        <w:t xml:space="preserve">that have gotten the data subjects’ data by the company, and have to delete the data without undue delay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request could also be rejected if the deletion of the data would diminish the freedom of expression and information of a third party, if the data is processed for public health purposes </w:t>
      </w:r>
      <w:r w:rsidDel="00000000" w:rsidR="00000000" w:rsidRPr="00000000">
        <w:rPr>
          <w:rFonts w:ascii="Times New Roman" w:cs="Times New Roman" w:eastAsia="Times New Roman" w:hAnsi="Times New Roman"/>
          <w:color w:val="000000"/>
          <w:sz w:val="24"/>
          <w:szCs w:val="24"/>
          <w:highlight w:val="yellow"/>
          <w:rtl w:val="0"/>
        </w:rPr>
        <w:t xml:space="preserve">or</w:t>
      </w:r>
      <w:r w:rsidDel="00000000" w:rsidR="00000000" w:rsidRPr="00000000">
        <w:rPr>
          <w:rFonts w:ascii="Times New Roman" w:cs="Times New Roman" w:eastAsia="Times New Roman" w:hAnsi="Times New Roman"/>
          <w:sz w:val="24"/>
          <w:szCs w:val="24"/>
          <w:rtl w:val="0"/>
        </w:rPr>
        <w:t xml:space="preserve"> the public interest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And last we have “Request information modification” and “Modify information”. Every user have the right to change the information the company has on him or her, it could be done in order to rectify the information or for any other reason the user sees fit. “Request for information modification” is a condition to “Modify information”,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that means that the company will only modify information of its users upon request.</w:t>
      </w:r>
    </w:p>
    <w:p w:rsidR="00000000" w:rsidDel="00000000" w:rsidP="00000000" w:rsidRDefault="00000000" w:rsidRPr="00000000">
      <w:pPr>
        <w:keepNext w:val="1"/>
        <w:contextualSpacing w:val="0"/>
        <w:jc w:val="both"/>
      </w:pPr>
      <w:r w:rsidDel="00000000" w:rsidR="00000000" w:rsidRPr="00000000">
        <w:drawing>
          <wp:inline distB="114300" distT="114300" distL="114300" distR="114300">
            <wp:extent cx="5731200" cy="2463800"/>
            <wp:effectExtent b="0" l="0" r="0" t="0"/>
            <wp:docPr descr="dcr2.png" id="2" name="image13.png"/>
            <a:graphic>
              <a:graphicData uri="http://schemas.openxmlformats.org/drawingml/2006/picture">
                <pic:pic>
                  <pic:nvPicPr>
                    <pic:cNvPr descr="dcr2.png" id="0" name="image13.png"/>
                    <pic:cNvPicPr preferRelativeResize="0"/>
                  </pic:nvPicPr>
                  <pic:blipFill>
                    <a:blip r:embed="rId3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o7alnk" w:id="31"/>
      <w:bookmarkEnd w:id="31"/>
      <w:bookmarkStart w:colFirst="0" w:colLast="0" w:name="147n2zr" w:id="30"/>
      <w:bookmarkEnd w:id="30"/>
      <w:r w:rsidDel="00000000" w:rsidR="00000000" w:rsidRPr="00000000">
        <w:rPr>
          <w:rFonts w:ascii="Calibri" w:cs="Calibri" w:eastAsia="Calibri" w:hAnsi="Calibri"/>
          <w:b w:val="0"/>
          <w:i w:val="1"/>
          <w:color w:val="44546a"/>
          <w:sz w:val="18"/>
          <w:szCs w:val="18"/>
          <w:rtl w:val="0"/>
        </w:rPr>
        <w:t xml:space="preserve">Figure 6 DCR model of data poratbilty, information modification and the right to be forgotten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w:t>
      </w:r>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next figure we have modeled the process of giving and withdrawing the consent for opinion research institutes to process the user's personal data. Rejsekort sends users data to opinion research institutes, the data includes the name, the address and the email.It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but if given will help improve the overall service.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model this part of the process, we have used the same “switch” as in figure 2. In order to execute “Send data to opinion research institutes” the consent has to be given. When the consent is withdrawn it is no longer possible to execute that activity.</w:t>
      </w:r>
    </w:p>
    <w:p w:rsidR="00000000" w:rsidDel="00000000" w:rsidP="00000000" w:rsidRDefault="00000000" w:rsidRPr="00000000">
      <w:pPr>
        <w:contextualSpacing w:val="0"/>
        <w:jc w:val="both"/>
      </w:pPr>
      <w:r w:rsidDel="00000000" w:rsidR="00000000" w:rsidRPr="00000000">
        <w:drawing>
          <wp:inline distB="114300" distT="114300" distL="114300" distR="114300">
            <wp:extent cx="6200458" cy="1733550"/>
            <wp:effectExtent b="0" l="0" r="0" t="0"/>
            <wp:docPr descr="dcr4.png" id="3" name="image15.png"/>
            <a:graphic>
              <a:graphicData uri="http://schemas.openxmlformats.org/drawingml/2006/picture">
                <pic:pic>
                  <pic:nvPicPr>
                    <pic:cNvPr descr="dcr4.png" id="0" name="image15.png"/>
                    <pic:cNvPicPr preferRelativeResize="0"/>
                  </pic:nvPicPr>
                  <pic:blipFill>
                    <a:blip r:embed="rId39"/>
                    <a:srcRect b="0" l="0" r="0" t="0"/>
                    <a:stretch>
                      <a:fillRect/>
                    </a:stretch>
                  </pic:blipFill>
                  <pic:spPr>
                    <a:xfrm>
                      <a:off x="0" y="0"/>
                      <a:ext cx="6200458" cy="1733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ihv636" w:id="33"/>
      <w:bookmarkEnd w:id="33"/>
      <w:bookmarkStart w:colFirst="0" w:colLast="0" w:name="23ckvvd" w:id="32"/>
      <w:bookmarkEnd w:id="32"/>
      <w:r w:rsidDel="00000000" w:rsidR="00000000" w:rsidRPr="00000000">
        <w:rPr>
          <w:rFonts w:ascii="Calibri" w:cs="Calibri" w:eastAsia="Calibri" w:hAnsi="Calibri"/>
          <w:b w:val="0"/>
          <w:i w:val="1"/>
          <w:color w:val="44546a"/>
          <w:sz w:val="18"/>
          <w:szCs w:val="18"/>
          <w:rtl w:val="0"/>
        </w:rPr>
        <w:t xml:space="preserve">Figure 7 DCR model of giving and withdrawing consent for opinion-research institues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the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that we have one activity called “Block opinion-research institutes”, which we have not talked about earlier. This activity is basically a switch.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controller to notify the data subjects as well.</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color w:val="000000"/>
          <w:sz w:val="24"/>
          <w:szCs w:val="24"/>
          <w:highlight w:val="yellow"/>
          <w:rtl w:val="0"/>
        </w:rPr>
        <w:t xml:space="preserve">TODO!!! Add the graph for the data breach with some explanation</w:t>
      </w: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32hioqz" w:id="34"/>
      <w:bookmarkEnd w:id="34"/>
      <w:r w:rsidDel="00000000" w:rsidR="00000000" w:rsidRPr="00000000">
        <w:rPr>
          <w:rtl w:val="0"/>
        </w:rPr>
        <w:t xml:space="preserve">Reflection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constrain between the events arises, it is enough to define it in the graph without explicitly rearranging the flow in the diagram.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We can see also that using a DCR graph to model our system will be smaller in size comparing if we would use a flowchart. In our example, the user can withdraw the consent for processing his or hers data at any time. In order to model that with a flow chart, we have to add an “arrow” from the withdraw activity to all the other activity, which will if we have enough activities render the chart unread</w:t>
      </w:r>
      <w:r w:rsidDel="00000000" w:rsidR="00000000" w:rsidRPr="00000000">
        <w:rPr>
          <w:rtl w:val="0"/>
        </w:rPr>
        <w:t xml:space="preserve">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a DCR graph there is no need to put a loop, if some actions would be executed in a cyclic order. The approach here in DCR is to put the appropriate constrains in a way that they allow cyclic execution. The graph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above shows that if the consent for mandatory is not given, the activities in the group “Mandatory” are blocked. This is the initial state of the graph. When the consent is given, the events in the group become allowed - the graph is shown in </w:t>
      </w:r>
      <w:r w:rsidDel="00000000" w:rsidR="00000000" w:rsidRPr="00000000">
        <w:rPr>
          <w:rtl w:val="0"/>
        </w:rPr>
        <w:t xml:space="preserve">Figure 8.</w:t>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325075" cy="1442208"/>
            <wp:effectExtent b="0" l="0" r="0" t="0"/>
            <wp:docPr id="4"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325075" cy="144220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41mghml" w:id="36"/>
      <w:bookmarkEnd w:id="36"/>
      <w:bookmarkStart w:colFirst="0" w:colLast="0" w:name="1hmsyys" w:id="35"/>
      <w:bookmarkEnd w:id="35"/>
      <w:r w:rsidDel="00000000" w:rsidR="00000000" w:rsidRPr="00000000">
        <w:rPr>
          <w:rFonts w:ascii="Calibri" w:cs="Calibri" w:eastAsia="Calibri" w:hAnsi="Calibri"/>
          <w:b w:val="0"/>
          <w:i w:val="1"/>
          <w:color w:val="44546a"/>
          <w:sz w:val="18"/>
          <w:szCs w:val="18"/>
          <w:rtl w:val="0"/>
        </w:rPr>
        <w:t xml:space="preserve">Figure 8 DCR model of giving consent for main purposes. The activities in group Mandatory are available</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2grqrue" w:id="38"/>
      <w:bookmarkEnd w:id="38"/>
      <w:bookmarkStart w:colFirst="0" w:colLast="0" w:name="vx1227" w:id="37"/>
      <w:bookmarkEnd w:id="37"/>
      <w:r w:rsidDel="00000000" w:rsidR="00000000" w:rsidRPr="00000000">
        <w:rPr>
          <w:rFonts w:ascii="Times New Roman" w:cs="Times New Roman" w:eastAsia="Times New Roman" w:hAnsi="Times New Roman"/>
          <w:sz w:val="24"/>
          <w:szCs w:val="24"/>
          <w:rtl w:val="0"/>
        </w:rPr>
        <w:t xml:space="preserve">And now if we withdraw our consent, the activities in the group would be blocked and the graph would look like this:</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270406" cy="1435535"/>
            <wp:effectExtent b="0" l="0" r="0" t="0"/>
            <wp:docPr id="5"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5270406" cy="14355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v1yuxt" w:id="40"/>
      <w:bookmarkEnd w:id="40"/>
      <w:bookmarkStart w:colFirst="0" w:colLast="0" w:name="3fwokq0" w:id="39"/>
      <w:bookmarkEnd w:id="39"/>
      <w:r w:rsidDel="00000000" w:rsidR="00000000" w:rsidRPr="00000000">
        <w:rPr>
          <w:rFonts w:ascii="Calibri" w:cs="Calibri" w:eastAsia="Calibri" w:hAnsi="Calibri"/>
          <w:b w:val="0"/>
          <w:i w:val="1"/>
          <w:color w:val="44546a"/>
          <w:sz w:val="18"/>
          <w:szCs w:val="18"/>
          <w:rtl w:val="0"/>
        </w:rPr>
        <w:t xml:space="preserve">Figure 9 DCR model of giving consent for main purposes. The activities in group Mandatory are blocked</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4f1mdlm" w:id="42"/>
      <w:bookmarkEnd w:id="42"/>
      <w:bookmarkStart w:colFirst="0" w:colLast="0" w:name="2u6wntf" w:id="41"/>
      <w:bookmarkEnd w:id="41"/>
      <w:r w:rsidDel="00000000" w:rsidR="00000000" w:rsidRPr="00000000">
        <w:rPr>
          <w:rFonts w:ascii="Times New Roman" w:cs="Times New Roman" w:eastAsia="Times New Roman" w:hAnsi="Times New Roman"/>
          <w:sz w:val="24"/>
          <w:szCs w:val="24"/>
          <w:rtl w:val="0"/>
        </w:rPr>
        <w:t xml:space="preserve">In figure </w:t>
      </w:r>
      <w:r w:rsidDel="00000000" w:rsidR="00000000" w:rsidRPr="00000000">
        <w:rPr>
          <w:rtl w:val="0"/>
        </w:rPr>
        <w:t xml:space="preserve">Figure 9 DCR model of giving consent for main purposes. The activities in group Mandatory are blocked</w:t>
      </w:r>
      <w:r w:rsidDel="00000000" w:rsidR="00000000" w:rsidRPr="00000000">
        <w:rPr>
          <w:rFonts w:ascii="Times New Roman" w:cs="Times New Roman" w:eastAsia="Times New Roman" w:hAnsi="Times New Roman"/>
          <w:sz w:val="24"/>
          <w:szCs w:val="24"/>
          <w:rtl w:val="0"/>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is to add constraints. </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19c6y18" w:id="43"/>
      <w:bookmarkEnd w:id="43"/>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color w:val="000000"/>
          <w:sz w:val="24"/>
          <w:szCs w:val="24"/>
          <w:highlight w:val="lightGray"/>
          <w:rtl w:val="0"/>
        </w:rPr>
        <w:t xml:space="preserve">encountered a problem</w:t>
      </w:r>
      <w:r w:rsidDel="00000000" w:rsidR="00000000" w:rsidRPr="00000000">
        <w:rPr>
          <w:rFonts w:ascii="Times New Roman" w:cs="Times New Roman" w:eastAsia="Times New Roman" w:hAnsi="Times New Roman"/>
          <w:sz w:val="24"/>
          <w:szCs w:val="24"/>
          <w:rtl w:val="0"/>
        </w:rPr>
        <w:t xml:space="preserve">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rsidDel="00000000" w:rsidR="00000000" w:rsidRPr="00000000">
        <w:rPr>
          <w:rtl w:val="0"/>
        </w:rPr>
        <w:t xml:space="preserve">Figure 10</w:t>
      </w:r>
      <w:r w:rsidDel="00000000" w:rsidR="00000000" w:rsidRPr="00000000">
        <w:rPr>
          <w:rFonts w:ascii="Times New Roman" w:cs="Times New Roman" w:eastAsia="Times New Roman" w:hAnsi="Times New Roman"/>
          <w:sz w:val="24"/>
          <w:szCs w:val="24"/>
          <w:rtl w:val="0"/>
        </w:rPr>
        <w:t xml:space="preserve"> shows the sub-process item “Data breach” with two spawned sub-processes. </w:t>
      </w:r>
    </w:p>
    <w:p w:rsidR="00000000" w:rsidDel="00000000" w:rsidP="00000000" w:rsidRDefault="00000000" w:rsidRPr="00000000">
      <w:pPr>
        <w:keepNext w:val="1"/>
        <w:contextualSpacing w:val="0"/>
        <w:jc w:val="both"/>
      </w:pPr>
      <w:r w:rsidDel="00000000" w:rsidR="00000000" w:rsidRPr="00000000">
        <w:drawing>
          <wp:inline distB="0" distT="0" distL="0" distR="0">
            <wp:extent cx="5760720" cy="2727325"/>
            <wp:effectExtent b="0" l="0" r="0" t="0"/>
            <wp:docPr id="6"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5760720" cy="27273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8h4qwu" w:id="45"/>
      <w:bookmarkEnd w:id="45"/>
      <w:bookmarkStart w:colFirst="0" w:colLast="0" w:name="3tbugp1" w:id="44"/>
      <w:bookmarkEnd w:id="44"/>
      <w:r w:rsidDel="00000000" w:rsidR="00000000" w:rsidRPr="00000000">
        <w:rPr>
          <w:rFonts w:ascii="Calibri" w:cs="Calibri" w:eastAsia="Calibri" w:hAnsi="Calibri"/>
          <w:b w:val="0"/>
          <w:i w:val="1"/>
          <w:color w:val="44546a"/>
          <w:sz w:val="18"/>
          <w:szCs w:val="18"/>
          <w:rtl w:val="0"/>
        </w:rPr>
        <w:t xml:space="preserve">Figure 10 DCR model of Data breach. Two sub-process are spawned</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An additional helper event is added to fix this error. The new graph is shown in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 The event added is “StartNotification” that is put before the activities “Asses the risk” and “Notify Authority”. “StartNotification” has </w:t>
      </w:r>
      <w:r w:rsidDel="00000000" w:rsidR="00000000" w:rsidRPr="00000000">
        <w:rPr>
          <w:rFonts w:ascii="Times New Roman" w:cs="Times New Roman" w:eastAsia="Times New Roman" w:hAnsi="Times New Roman"/>
          <w:i w:val="1"/>
          <w:sz w:val="24"/>
          <w:szCs w:val="24"/>
          <w:rtl w:val="0"/>
        </w:rPr>
        <w:t xml:space="preserve">exclude</w:t>
      </w:r>
      <w:r w:rsidDel="00000000" w:rsidR="00000000" w:rsidRPr="00000000">
        <w:rPr>
          <w:rFonts w:ascii="Times New Roman" w:cs="Times New Roman" w:eastAsia="Times New Roman" w:hAnsi="Times New Roman"/>
          <w:sz w:val="24"/>
          <w:szCs w:val="24"/>
          <w:rtl w:val="0"/>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relation between these two events. </w:t>
      </w:r>
    </w:p>
    <w:p w:rsidR="00000000" w:rsidDel="00000000" w:rsidP="00000000" w:rsidRDefault="00000000" w:rsidRPr="00000000">
      <w:pPr>
        <w:ind w:firstLine="720"/>
        <w:contextualSpacing w:val="0"/>
        <w:jc w:val="both"/>
      </w:pPr>
      <w:bookmarkStart w:colFirst="0" w:colLast="0" w:name="_nmf14n" w:id="46"/>
      <w:bookmarkEnd w:id="46"/>
      <w:r w:rsidDel="00000000" w:rsidR="00000000" w:rsidRPr="00000000">
        <w:rPr>
          <w:rFonts w:ascii="Times New Roman" w:cs="Times New Roman" w:eastAsia="Times New Roman" w:hAnsi="Times New Roman"/>
          <w:sz w:val="24"/>
          <w:szCs w:val="24"/>
          <w:rtl w:val="0"/>
        </w:rPr>
        <w:t xml:space="preserve">To fix this error we recommend not to enforce again response for the sub-processes which are already spawned. If this happens, we will be able to connect directly “Data breach” and “Notify authority” with no need of medium helper activity.</w:t>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736090"/>
            <wp:effectExtent b="0" l="0" r="0" t="0"/>
            <wp:docPr id="7" name="image26.png"/>
            <a:graphic>
              <a:graphicData uri="http://schemas.openxmlformats.org/drawingml/2006/picture">
                <pic:pic>
                  <pic:nvPicPr>
                    <pic:cNvPr id="0" name="image26.png"/>
                    <pic:cNvPicPr preferRelativeResize="0"/>
                  </pic:nvPicPr>
                  <pic:blipFill>
                    <a:blip r:embed="rId43"/>
                    <a:srcRect b="0" l="0" r="0" t="0"/>
                    <a:stretch>
                      <a:fillRect/>
                    </a:stretch>
                  </pic:blipFill>
                  <pic:spPr>
                    <a:xfrm>
                      <a:off x="0" y="0"/>
                      <a:ext cx="5760720" cy="173609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mrcu09" w:id="48"/>
      <w:bookmarkEnd w:id="48"/>
      <w:bookmarkStart w:colFirst="0" w:colLast="0" w:name="37m2jsg" w:id="47"/>
      <w:bookmarkEnd w:id="47"/>
      <w:r w:rsidDel="00000000" w:rsidR="00000000" w:rsidRPr="00000000">
        <w:rPr>
          <w:rFonts w:ascii="Calibri" w:cs="Calibri" w:eastAsia="Calibri" w:hAnsi="Calibri"/>
          <w:b w:val="0"/>
          <w:i w:val="1"/>
          <w:color w:val="44546a"/>
          <w:sz w:val="18"/>
          <w:szCs w:val="18"/>
          <w:rtl w:val="0"/>
        </w:rPr>
        <w:t xml:space="preserve">Figure 11 DCR model of the entity Data breach. Two sub-processes are spawned with StartNotification added in the figure</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rPr/>
      </w:pPr>
      <w:bookmarkStart w:colFirst="0" w:colLast="0" w:name="_46r0co2" w:id="49"/>
      <w:bookmarkEnd w:id="49"/>
      <w:r w:rsidDel="00000000" w:rsidR="00000000" w:rsidRPr="00000000">
        <w:rPr>
          <w:rtl w:val="0"/>
        </w:rPr>
        <w:t xml:space="preserve">Conclusion</w:t>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Times New Roman" w:cs="Times New Roman" w:eastAsia="Times New Roman" w:hAnsi="Times New Roman"/>
          <w:color w:val="222222"/>
          <w:sz w:val="24"/>
          <w:szCs w:val="24"/>
          <w:rtl w:val="0"/>
        </w:rPr>
        <w:t xml:space="preserve">T. Hildebrandt, and R. R. Mukkamala. “Distributed Dynamic Condition Response Structures”, IT University of Copenhagen, year </w:t>
      </w:r>
      <w:r w:rsidDel="00000000" w:rsidR="00000000" w:rsidRPr="00000000">
        <w:rPr>
          <w:rFonts w:ascii="Times New Roman" w:cs="Times New Roman" w:eastAsia="Times New Roman" w:hAnsi="Times New Roman"/>
          <w:color w:val="222222"/>
          <w:sz w:val="24"/>
          <w:szCs w:val="24"/>
          <w:highlight w:val="yellow"/>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T. Hildebrandt, and R. R. Mukkamala. „Declarative Event-Based Workflow as Distributed Dynamic Condition Response Graphs”, IT University of Copenhagen, year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G. D. Giacomo, M. Dumas, F. M. Maggi and M. Montali. "Declarative Process Modeling in BPMN", Sapienza Universita di Roma, Italy, University of Tartu, Estonia, Free University of Bozen-Bolzano, Italy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http://wiki.dcrgraphs.net/, [Accessed: 11-Dec-2016]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In the nick of time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Rejsekort A/S, PROTECTION OF PERSONAL DATA – REJSEKORT A/S, Søborg,  2014</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tab/>
        <w:t xml:space="preserve">2016</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http://www.whitecase.com/publications/article/chapter-1-introduction-unlocking-eu-general-data-protection-regulation, [Accessed: 12-Dec-2016]   </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J. Prescher, C. D. Ciccio, and J. Mendling, "From Declarative Processes to Imperative Models", Vienna University of Economics and Business, Vienna, Austria, year</w:t>
      </w:r>
    </w:p>
    <w:p w:rsidR="00000000" w:rsidDel="00000000" w:rsidP="00000000" w:rsidRDefault="00000000" w:rsidRPr="00000000">
      <w:pPr>
        <w:numPr>
          <w:ilvl w:val="0"/>
          <w:numId w:val="2"/>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222222"/>
          <w:rtl w:val="0"/>
        </w:rPr>
        <w:t xml:space="preserve">Pesic, M., Schonenberg, M.H., Sidorova, N., van der Aalst, W.M.P.: Constraint-based workflow models: Change made easy. In: OTM Conferences (1). pp. 77–94 (2007)</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hyperlink r:id="rId44">
        <w:r w:rsidDel="00000000" w:rsidR="00000000" w:rsidRPr="00000000">
          <w:rPr>
            <w:color w:val="1155cc"/>
            <w:u w:val="single"/>
            <w:rtl w:val="0"/>
          </w:rPr>
          <w:t xml:space="preserve">http://www.out-law.com/en/articles/2016/may/gdpr-potential-fines-for-data-security-breaches-more-severe-for-data-controllers-than-processors-says-expert/</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p w:rsidR="00000000" w:rsidDel="00000000" w:rsidP="00000000" w:rsidRDefault="00000000" w:rsidRPr="00000000">
      <w:pPr>
        <w:numPr>
          <w:ilvl w:val="0"/>
          <w:numId w:val="2"/>
        </w:numPr>
        <w:spacing w:after="0" w:before="0" w:lineRule="auto"/>
        <w:ind w:left="720" w:hanging="360"/>
        <w:contextualSpacing w:val="1"/>
        <w:jc w:val="both"/>
        <w:rPr>
          <w:rFonts w:ascii="Cambria" w:cs="Cambria" w:eastAsia="Cambria" w:hAnsi="Cambria"/>
          <w:color w:val="222222"/>
        </w:rPr>
      </w:pPr>
      <w:hyperlink r:id="rId45">
        <w:r w:rsidDel="00000000" w:rsidR="00000000" w:rsidRPr="00000000">
          <w:rPr>
            <w:color w:val="1155cc"/>
            <w:u w:val="single"/>
            <w:rtl w:val="0"/>
          </w:rPr>
          <w:t xml:space="preserve">http://eur-lex.europa.eu/legal-content/EN/TXT/PDF/?uri=OJ:L:2016:119:FULL&amp;from=NL</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Times New Roman" w:cs="Times New Roman" w:eastAsia="Times New Roman" w:hAnsi="Times New Roman"/>
      <w:b w:val="0"/>
      <w:color w:val="000000"/>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20" Type="http://schemas.openxmlformats.org/officeDocument/2006/relationships/image" Target="media/image67.png"/><Relationship Id="rId42" Type="http://schemas.openxmlformats.org/officeDocument/2006/relationships/image" Target="media/image23.png"/><Relationship Id="rId41" Type="http://schemas.openxmlformats.org/officeDocument/2006/relationships/image" Target="media/image21.png"/><Relationship Id="rId22" Type="http://schemas.openxmlformats.org/officeDocument/2006/relationships/image" Target="media/image69.png"/><Relationship Id="rId44" Type="http://schemas.openxmlformats.org/officeDocument/2006/relationships/hyperlink" Target="http://www.out-law.com/en/articles/2016/may/gdpr-potential-fines-for-data-security-breaches-more-severe-for-data-controllers-than-processors-says-expert/" TargetMode="External"/><Relationship Id="rId21" Type="http://schemas.openxmlformats.org/officeDocument/2006/relationships/image" Target="media/image68.png"/><Relationship Id="rId43" Type="http://schemas.openxmlformats.org/officeDocument/2006/relationships/image" Target="media/image26.png"/><Relationship Id="rId24" Type="http://schemas.openxmlformats.org/officeDocument/2006/relationships/image" Target="media/image71.png"/><Relationship Id="rId23" Type="http://schemas.openxmlformats.org/officeDocument/2006/relationships/image" Target="media/image70.png"/><Relationship Id="rId45" Type="http://schemas.openxmlformats.org/officeDocument/2006/relationships/hyperlink" Target="http://eur-lex.europa.eu/legal-content/EN/TXT/PDF/?uri=OJ:L:2016:119:FULL&amp;from=N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5.png"/><Relationship Id="rId26" Type="http://schemas.openxmlformats.org/officeDocument/2006/relationships/image" Target="media/image73.png"/><Relationship Id="rId25" Type="http://schemas.openxmlformats.org/officeDocument/2006/relationships/image" Target="media/image72.png"/><Relationship Id="rId28" Type="http://schemas.openxmlformats.org/officeDocument/2006/relationships/image" Target="media/image29.png"/><Relationship Id="rId27" Type="http://schemas.openxmlformats.org/officeDocument/2006/relationships/image" Target="media/image27.png"/><Relationship Id="rId5" Type="http://schemas.openxmlformats.org/officeDocument/2006/relationships/hyperlink" Target="https://en.wikipedia.org/wiki/User_profile" TargetMode="External"/><Relationship Id="rId6" Type="http://schemas.openxmlformats.org/officeDocument/2006/relationships/hyperlink" Target="https://en.wikipedia.org/wiki/Data_analysis" TargetMode="External"/><Relationship Id="rId29" Type="http://schemas.openxmlformats.org/officeDocument/2006/relationships/image" Target="media/image31.png"/><Relationship Id="rId7" Type="http://schemas.openxmlformats.org/officeDocument/2006/relationships/image" Target="media/image44.png"/><Relationship Id="rId8" Type="http://schemas.openxmlformats.org/officeDocument/2006/relationships/image" Target="media/image48.png"/><Relationship Id="rId31" Type="http://schemas.openxmlformats.org/officeDocument/2006/relationships/image" Target="media/image36.png"/><Relationship Id="rId30" Type="http://schemas.openxmlformats.org/officeDocument/2006/relationships/image" Target="media/image34.png"/><Relationship Id="rId11" Type="http://schemas.openxmlformats.org/officeDocument/2006/relationships/image" Target="media/image51.png"/><Relationship Id="rId33" Type="http://schemas.openxmlformats.org/officeDocument/2006/relationships/image" Target="media/image40.png"/><Relationship Id="rId10" Type="http://schemas.openxmlformats.org/officeDocument/2006/relationships/image" Target="media/image53.png"/><Relationship Id="rId32" Type="http://schemas.openxmlformats.org/officeDocument/2006/relationships/image" Target="media/image38.png"/><Relationship Id="rId13" Type="http://schemas.openxmlformats.org/officeDocument/2006/relationships/image" Target="media/image56.png"/><Relationship Id="rId35" Type="http://schemas.openxmlformats.org/officeDocument/2006/relationships/image" Target="media/image42.png"/><Relationship Id="rId12" Type="http://schemas.openxmlformats.org/officeDocument/2006/relationships/image" Target="media/image58.png"/><Relationship Id="rId34" Type="http://schemas.openxmlformats.org/officeDocument/2006/relationships/image" Target="media/image41.png"/><Relationship Id="rId15" Type="http://schemas.openxmlformats.org/officeDocument/2006/relationships/image" Target="media/image61.png"/><Relationship Id="rId37" Type="http://schemas.openxmlformats.org/officeDocument/2006/relationships/image" Target="media/image12.png"/><Relationship Id="rId14" Type="http://schemas.openxmlformats.org/officeDocument/2006/relationships/image" Target="media/image62.png"/><Relationship Id="rId36" Type="http://schemas.openxmlformats.org/officeDocument/2006/relationships/image" Target="media/image43.png"/><Relationship Id="rId17" Type="http://schemas.openxmlformats.org/officeDocument/2006/relationships/image" Target="media/image63.png"/><Relationship Id="rId39" Type="http://schemas.openxmlformats.org/officeDocument/2006/relationships/image" Target="media/image15.png"/><Relationship Id="rId16" Type="http://schemas.openxmlformats.org/officeDocument/2006/relationships/image" Target="media/image65.png"/><Relationship Id="rId38" Type="http://schemas.openxmlformats.org/officeDocument/2006/relationships/image" Target="media/image13.png"/><Relationship Id="rId19" Type="http://schemas.openxmlformats.org/officeDocument/2006/relationships/image" Target="media/image66.png"/><Relationship Id="rId18" Type="http://schemas.openxmlformats.org/officeDocument/2006/relationships/image" Target="media/image64.png"/></Relationships>
</file>