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aps/>
          <w:color w:val="666666"/>
          <w:sz w:val="20"/>
          <w:szCs w:val="20"/>
        </w:rPr>
        <w:t xml:space="preserve">Methodology Deep Dive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CPMP: Cyclic Peptide Permeability Prediction with the Molecular Attention Transformer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Jiang, Chen &amp; Du (2025), Frontiers in Bioinformatics — a step-by-step walkthrough of what the paper does and why, mapped against the CycPeptMPDB permeability-prediction landscape</w:t>
      </w:r>
    </w:p>
    <w:p>
      <w:pPr>
        <w:pStyle w:val="Heading1"/>
        <w:spacing w:after="160" w:before="320"/>
      </w:pPr>
      <w:r>
        <w:t xml:space="preserve">1. What Problem This Paper Is Solving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CPMP predicts how well a cyclic peptide crosses a cell membrane, expressed as a log-scaled permeability value (LogPexp), directly from a SMILES string. The authors position it against two other leading tools: Multi_CycGT, which collapses the problem into a rough permeable / not-permeable binary, and CycPeptMP, which needs the commercial software MOE to generate its input features. CPMP is built as a regression model (continuous output) running on fully open-source tooling (RDKit + PyTorch), so it can slot into an automated screening pipeline without a paid dependency.</w:t>
      </w:r>
    </w:p>
    <w:p>
      <w:pPr>
        <w:pStyle w:val="Heading1"/>
        <w:spacing w:after="160" w:before="320"/>
      </w:pPr>
      <w:r>
        <w:t xml:space="preserve">2. Step 1 — Dataset Preparation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structures and permeability labels come from CycPeptMPDB. One filter and one split-by-assay-type decision happen before any modeling: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Exclusion filter: any peptide with LogPexp &lt; −10.0 is dropped. These values sit at the assay's detection floor — keeping them would let the model “learn” from measurements that aren't really distinguishable from zero.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data is split into four independent datasets by the assay that generated it — PAMPA (6,701 peptides), Caco-2 (1,310), RRCK (185), MDCK (64) — because each assay measures a physically different barrier (an artificial lipid membrane for PAMPA vs. living kidney/colon cell monolayers for the others), and the four are not assumed to be numerically interchangeable.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PAMPA and Caco-2 (the two large sets) get a conventional 8:1:1 train / validation / test split. RRCK and MDCK (the two small sets) get only a 7:3 train / test split — there isn't enough data in either to also carve out a validation set.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Why this matters: rather than pooling everything into one bucket and hoping a model generalizes across assay types, the authors treat data scarcity in RRCK/MDCK as a problem to be solved architecturally (Step 5) instead of by pretending the four assays are equivalent.</w:t>
      </w:r>
    </w:p>
    <w:p>
      <w:pPr>
        <w:pStyle w:val="Heading1"/>
        <w:spacing w:after="160" w:before="320"/>
      </w:pPr>
      <w:r>
        <w:t xml:space="preserve">3. Step 2 — Turning a SMILES String Into Model Input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raw SMILES string is a 1D sequence of characters. MAT, the architecture CPMP is built on, needs three matrices per molecule before it can do anything.</w:t>
      </w:r>
    </w:p>
    <w:p>
      <w:pPr>
        <w:pStyle w:val="Heading2"/>
        <w:spacing w:after="120" w:before="240"/>
      </w:pPr>
      <w:r>
        <w:t xml:space="preserve">3.1 Atom feature matrix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atom is encoded as a feature vector (atom type, valence, formal charge, aromaticity, etc. — the standard RDKit atom-featurization set). Stacking these gives an (N atoms × F features) matrix — the same starting point every graph neural network for molecules uses.</w:t>
      </w:r>
    </w:p>
    <w:p>
      <w:pPr>
        <w:pStyle w:val="Heading2"/>
        <w:spacing w:after="120" w:before="240"/>
      </w:pPr>
      <w:r>
        <w:t xml:space="preserve">3.2 Adjacency matrix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 (N × N) binary matrix built from the molecule's chemical bonds: entry (i, j) is 1 if atoms i and j are bonded, 0 otherwise. This encodes which atoms are directly connected — the 2D topology of the peptide, ring closures included.</w:t>
      </w:r>
    </w:p>
    <w:p>
      <w:pPr>
        <w:pStyle w:val="Heading2"/>
        <w:spacing w:after="120" w:before="240"/>
      </w:pPr>
      <w:r>
        <w:t xml:space="preserve">3.3 Distance matrix — the important one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what distinguishes MAT from a plain graph neural network. The SMILES is first converted into a single optimized 3D conformation using RDKit's built-in force fields (see Step 9). The (N × N) distance matrix then stores the actual Euclidean distance between every pair of atoms in that 3D structure.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reasoning: bond connectivity alone tells you two atoms are, say, three bonds apart along the chain — but in a cyclic, folded peptide those same two atoms can sit right next to each other in 3D space because the ring brings them close. Passive membrane permeability is driven by 3D phenomena: intramolecular hydrogen bonding and how compactly the molecule folds to hide its polar groups (the open→closed→open transition the paper cites from Linker et al. 2023 and Dougherty et al. 2019). A model that only sees bond-graph topology cannot represent that folding — the distance matrix is how 3D shape enters the model at all.</w:t>
      </w:r>
    </w:p>
    <w:p>
      <w:pPr>
        <w:pStyle w:val="Heading1"/>
        <w:spacing w:after="160" w:before="320"/>
      </w:pPr>
      <w:r>
        <w:t xml:space="preserve">4. Step 3 — The Model: Molecular Attention Transformer (MAT)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MAT (Maziarka et al., 2020) is a Transformer whose self-attention is deliberately steered by chemistry rather than left to learn attention patterns purely from scratch. The core equation the paper reproduces: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 =  ( λₐ · ρ(QᵢKᵢᵀ/√dk)  +  λᵈ · g(D)  +  λᵍ · A )  Vᵢ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attention score between every pair of atoms is a weighted blend of three separate signals, not one: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Standard self-attention (ρ(QKᵀ/√dk)): the ordinary Transformer term — how relevant atom j's learned features are to atom i, via the usual query/key/value computation.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Distance signal (g(D)): a function of the 3D distance matrix from Step 2.3 — atoms that are physically close in the folded 3D structure get pulled toward each other's attention regardless of how far apart they are along the chemical chain.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Adjacency signal (A): the raw bond graph from Step 2.2 — directly bonded atoms get a dedicated attention boost, so local chemical structure isn't drowned out by the other two terms.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λₐ, λᵈ and λᵍ are scalar weights summing to 1 that control how much each signal contributes; the paper finds their values by grid search rather than learning them end-to-end. Stacking several Molecule Multi-Head Self-Attention layers, followed by position-wise feed-forward layers, a global pooling layer (collapsing all per-atom representations into one whole-molecule vector), and a final fully-connected layer, produces one scalar output: predicted LogPexp.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One more detail the ablation study probes: a “dummy node” — a virtual node with no real chemical meaning, added purely so the model has a dedicated slot to accumulate whole-molecule information during pooling, instead of being forced to average over real atom nodes only.</w:t>
      </w:r>
    </w:p>
    <w:p>
      <w:pPr>
        <w:pStyle w:val="Heading1"/>
        <w:spacing w:after="160" w:before="320"/>
      </w:pPr>
      <w:r>
        <w:t xml:space="preserve">5. Step 4 — Training Protocol: Two Strategies for Big vs. Small Data</w:t>
      </w:r>
    </w:p>
    <w:p>
      <w:pPr>
        <w:pStyle w:val="Heading2"/>
        <w:spacing w:after="120" w:before="240"/>
      </w:pPr>
      <w:r>
        <w:t xml:space="preserve">5.1 PAMPA and Caco-2 (large datasets): train from scratch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Standard supervised learning: train on the training split, tune hyperparameters against the validation split, report final numbers on the held-out test split. Loss is plain MSE between predicted and true LogPexp.</w:t>
      </w:r>
    </w:p>
    <w:p>
      <w:pPr>
        <w:pStyle w:val="Heading2"/>
        <w:spacing w:after="120" w:before="240"/>
      </w:pPr>
      <w:r>
        <w:t xml:space="preserve">5.2 RRCK and MDCK (small datasets): pretrain, then fine-tune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With only 185 and 64 peptides respectively, training a Transformer from scratch risks underfitting or unstable optimization. The fix: train a model on Caco-2 first (the larger, related dataset), then fine-tune those pretrained weights on the small RRCK or MDCK training set before evaluating on its test set.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transfer step is justified empirically, not just by convenience — the paper checks (Supplementary Fig. S9) that RRCK and MDCK peptides occupy a similar chemical space to Caco-2 peptides before relying on the transfer. The payoff is the largest effect size in the whole paper: RRCK R² rises from 0.470 (no pretraining) to 0.623 (with pretraining), and MDCK from 0.412 to 0.727. The general, transferable lesson: when a target dataset is small but a related larger dataset exists, pretrain on the large one first.</w:t>
      </w:r>
    </w:p>
    <w:p>
      <w:pPr>
        <w:pStyle w:val="Heading1"/>
        <w:spacing w:after="160" w:before="320"/>
      </w:pPr>
      <w:r>
        <w:t xml:space="preserve">6. Step 5 — Baseline Models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Baselines are given reasonable input representations, not deliberately weak ones — this is what makes the comparison meaningful: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Random Forest Regressor (RFR) and Support Vector Regression (SVR): both use 1024-bit Morgan fingerprints (RDKit) — classic circular-substructure fingerprints, no 3D information. Hyperparameters (RFR tree depth; SVR's RBF-kernel C and epsilon) are tuned by grid search, not left at library defaults.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MGNN (Molecular Graph Neural Network, Tsubaki et al. 2019): a graph neural network baseline in regression mode, with its own grid search over hidden-layer dimension, batch size, and learning rate.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Methodological payoff: since RFR/SVR use fingerprints (no graph, no 3D) and MGNN uses a graph (2D, no 3D), the performance gap between MGNN and CPMP specifically isolates the contribution of 3D distance information — which the ablation study in Step 8 then confirms directly.</w:t>
      </w:r>
    </w:p>
    <w:p>
      <w:pPr>
        <w:pStyle w:val="Heading1"/>
        <w:spacing w:after="160" w:before="320"/>
      </w:pPr>
      <w:r>
        <w:t xml:space="preserve">7. Step 6 — Evaluation Metrics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Three standard regression metrics, each averaged over three repeated runs to smooth out run-to-run variance from random initialization: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MSE (Mean Squared Error) — penalizes large errors disproportionately.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MAE (Mean Absolute Error) — average error magnitude in the same units as LogPexp, easier to read directly.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R² (coefficient of determination) — variance explained; the headline number (0.67 PAMPA, 0.75 Caco-2, 0.62 RRCK, 0.73 MDCK).</w:t>
      </w:r>
    </w:p>
    <w:p>
      <w:pPr>
        <w:pStyle w:val="Heading1"/>
        <w:spacing w:after="160" w:before="320"/>
      </w:pPr>
      <w:r>
        <w:t xml:space="preserve">8. Step 7 — Y-Randomization: Checking the Result Isn't a Fluke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control most peptide-ML papers skip, and worth borrowing for your own work. Procedure: take the real training labels, randomly permute them so each peptide is paired with a permeability value belonging to a different peptide, then retrain the identical model on this scrambled dataset. Repeat 20 times with different permutations.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Logic: if the model were exploiting some artifact of the data (memorized split statistics, an information leak) rather than genuinely learning structure–permeability relationships, it could still score deceptively well on scrambled labels. A large gap between real-label and scrambled-label performance is evidence the reported R² reflects real learned chemistry. CPMP's real-data R² (~0.67 PAMPA, ~0.75 Caco-2) collapses to ~0.10 and ~0.09 on scrambled labels — essentially noise level, the expected and reassuring outcome.</w:t>
      </w:r>
    </w:p>
    <w:p>
      <w:pPr>
        <w:pStyle w:val="Heading1"/>
        <w:spacing w:after="160" w:before="320"/>
      </w:pPr>
      <w:r>
        <w:t xml:space="preserve">9. Step 8 — Ablation Study: Which Input Actually Matters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three structural inputs from Step 2 are each removed in turn and the model retrained, to measure their individual contribution to R²: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removed</w:t>
            </w:r>
          </w:p>
        </w:tc>
        <w:tc>
          <w:tcPr>
            <w:tcW w:type="dxa" w:w="27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PAMPA R²</w:t>
            </w:r>
          </w:p>
        </w:tc>
        <w:tc>
          <w:tcPr>
            <w:tcW w:type="dxa" w:w="27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Caco-2 R²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 (nothing removed)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0.671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0.746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Distance matrix removed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0.554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Dummy node removed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0.628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0.629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Adjacency matrix removed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0.642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0.700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Ranking of impact: distance matrix (largest drop) &gt; dummy node &gt; adjacency matrix (smallest drop, but still measurable). This directly confirms the Step 2.3 reasoning — 3D shape information is the single most important input CPMP has access to, more so than either the 2D bond graph or the pooling mechanism.</w:t>
      </w:r>
    </w:p>
    <w:p>
      <w:pPr>
        <w:pStyle w:val="Heading1"/>
        <w:spacing w:after="160" w:before="320"/>
      </w:pPr>
      <w:r>
        <w:t xml:space="preserve">10. Step 9 — How the 3D Conformation Is Actually Generated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Getting a true 3D structure (e.g. via molecular dynamics, letting the peptide physically relax into its membrane-permeating “closed” conformation) is the more physically correct approach, but is computationally far too expensive to run on ~10,000 peptides. CPMP instead uses RDKit's two built-in, fast force fields to generate a single optimized conformer per molecule: UFF (Universal Force Field) and MMFF (Merck Molecular Force Field), each tested with and without non-bonded interactions considered (“-NB” suffix vs. “+NB”).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Result: UFF-NB was marginally best for PAMPA (R² = 0.673) and MMFF-NB was marginally best for Caco-2 (R² = 0.751), but the paper is explicit that these differences (≈ 0.004–0.009 in MSE/MAE) are small relative to the run-to-run variance already observed — i.e., force-field choice is a minor knob here, not a critical one. Practical takeaway: you don't need expensive MD simulation to get most of the benefit of 3D information; a cheap, deterministic force-field-optimized conformer captures enough shape signal for the model to use.</w:t>
      </w:r>
    </w:p>
    <w:p>
      <w:pPr>
        <w:pStyle w:val="Heading1"/>
        <w:spacing w:after="160" w:before="320"/>
      </w:pPr>
      <w:r>
        <w:t xml:space="preserve">11.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15"/>
        <w:gridCol w:w="1615"/>
        <w:gridCol w:w="1615"/>
        <w:gridCol w:w="1615"/>
      </w:tblGrid>
      <w:t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1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PAMPA R²</w:t>
            </w:r>
          </w:p>
        </w:tc>
        <w:tc>
          <w:tcPr>
            <w:tcW w:type="dxa" w:w="161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Caco-2 R²</w:t>
            </w:r>
          </w:p>
        </w:tc>
        <w:tc>
          <w:tcPr>
            <w:tcW w:type="dxa" w:w="161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RRCK R²</w:t>
            </w:r>
          </w:p>
        </w:tc>
        <w:tc>
          <w:tcPr>
            <w:tcW w:type="dxa" w:w="161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MDCK R²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RFR (Morgan FP)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0.388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0.643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SVR (Morgan FP)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0.390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0.694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MGNN (2D graph)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0.546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0.702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CPMP, no pretrain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0.671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0.746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0.470</w:t>
            </w:r>
          </w:p>
        </w:tc>
        <w:tc>
          <w:tcPr>
            <w:tcW w:type="dxa" w:w="161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0.412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CPMP, pretrained on Caco-2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0.623</w:t>
            </w:r>
          </w:p>
        </w:tc>
        <w:tc>
          <w:tcPr>
            <w:tcW w:type="dxa" w:w="16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0.727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t xml:space="preserve">12. Limitations the Authors Acknowledge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Accuracy drops for very large (&gt;1,100 Da for PAMPA, &gt;1,400 Da for Caco-2) and very small (≤700 Da) peptides — the training data thins out at the extremes of molecular weight.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Accuracy drops sharply for highly polar molecules (TPSA &gt; 350 Å² for PAMPA, R² falls to 0.148 in that bin) and is uneven across LogP bins — worth checking against your own data rather than assuming monotonic behavior.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RRCK and MDCK remain small and imbalanced even after transfer learning, so generalizability there is weaker than PAMPA/Caco-2 despite the pretraining boost.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Transformer training/inference cost is nontrivial at scale; the authors flag parallel computation as unsolved future work for scaling to larger screening libraries.</w:t>
      </w:r>
    </w:p>
    <w:p>
      <w:pPr>
        <w:pStyle w:val="Heading1"/>
        <w:spacing w:after="160" w:before="320"/>
      </w:pPr>
      <w:r>
        <w:t xml:space="preserve">13. What This Means for Your Own Pipeline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Mapped against your DMPNN/Chemprop v2 permeability predictor, four things from this paper are directly actionable: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3D distance information is worth adding. Chemprop's DMPNN is a bond-graph message-passing network — essentially the 2D-only regime CPMP's ablation shows losing ~12–17 R² points against. You already do rotational augmentation on 3D conformers, which is a related idea; the CPMP result is a strong argument for also feeding a distance matrix or 3D-derived descriptors (you already compute EPSA and 3DPSA in your CycPeptMPDB export) directly into the readout, not just using 3D for augmentation.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Y-randomization is cheap insurance. Given the duplicate-peptide / cross-source leakage risk flagged earlier in your CycPeptMPDB CSV, a 10–20-run label-scrambling control would be a fast, convincing way to demonstrate your scaffold split is actually leak-free — worth adding to your validation suite regardless of final architecture.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Pretrain-then-fine-tune is your answer for RRCK/MDCK-scale data. If you extend beyond PAMPA into the much smaller Caco-2/RRCK/MDCK CycPeptMPDB subsets, don't train those from scratch — pretrain on PAMPA (or Caco-2) first, exactly as CPMP does, after confirming the chemical spaces overlap.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Force-field choice is a low-priority knob. If you're generating conformers for feature input, RDKit's fast UFF/MMFF is empirically adequate — don't over-invest compute in higher-fidelity conformer generation before other pipeline choices (data leakage, feature fusion) are settled.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2026-07-30T19:01:58.639Z</dcterms:created>
  <dcterms:modified xsi:type="dcterms:W3CDTF">2026-07-30T19:01:58.694Z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