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161f0a3a27594333" /><Relationship Type="http://schemas.openxmlformats.org/package/2006/relationships/metadata/core-properties" Target="/docProps/core.xml" Id="Reb43edae24e445f8" /><Relationship Type="http://schemas.openxmlformats.org/officeDocument/2006/relationships/extended-properties" Target="/docProps/app.xml" Id="R3718c2c7b4f84b47" /><Relationship Type="http://schemas.openxmlformats.org/officeDocument/2006/relationships/custom-properties" Target="/docProps/custom.xml" Id="R68d728b4a88544b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6" w14:textId="00100007">
      <w:pPr>
        <w:pStyle w:val="Title"/>
      </w:pPr>
      <w:r>
        <w:rPr/>
        <w:t xml:space="preserve">Quarterly operations and risk review</w:t>
      </w:r>
    </w:p>
    <w:p w14:paraId="00100008" w14:textId="00100009">
      <w:pPr>
        <w:pStyle w:val="Subtitle"/>
      </w:pPr>
      <w:r>
        <w:rPr/>
        <w:t xml:space="preserve">Third quarter 2026</w:t>
      </w:r>
    </w:p>
    <w:p w14:paraId="0010000A" w14:textId="0010000B">
      <w:pPr>
        <w:pStyle w:val="Normal"/>
      </w:pPr>
      <w:r>
        <w:rPr/>
        <w:t xml:space="preserve">Example Operations is a fictional service business. This project-authored report contains invented organizations, operating data and decisions for the File Viewer demonstration. It describes no real company, customer or financial result.</w:t>
      </w:r>
    </w:p>
    <w:p w14:paraId="0010000C" w14:textId="0010000D">
      <w:pPr>
        <w:pStyle w:val="Normal"/>
      </w:pPr>
      <w:r>
        <w:rPr/>
        <w:t xml:space="preserve">The quarter closed above plan. Delivery reliability improved and the renewal pipeline remained healthy, but specialist capacity and supplier concentration require attention. The recommended response is four targeted hires, a staged renewal plan and a weekly capacity review.</w:t>
      </w:r>
    </w:p>
    <w:p w14:paraId="0010000E" w14:textId="0010000F">
      <w:pPr>
        <w:pStyle w:val="Heading2"/>
        <w:keepNext/>
      </w:pPr>
      <w:r>
        <w:rPr/>
        <w:t xml:space="preserve">Quarter at a glance</w:t>
      </w:r>
    </w:p>
    <w:tbl>
      <w:tblPr>
        <w:tblW w:w="9936" w:type="dxa"/>
        <w:tblBorders>
          <w:top w:val="single" w:color="D9D9D9" w:sz="4"/>
          <w:left w:val="single" w:color="D9D9D9" w:sz="4"/>
          <w:bottom w:val="single" w:color="D9D9D9" w:sz="4"/>
          <w:right w:val="single" w:color="D9D9D9" w:sz="4"/>
          <w:insideH w:val="single" w:color="D9D9D9" w:sz="4"/>
          <w:insideV w:val="single" w:color="D9D9D9" w:sz="4"/>
        </w:tblBorders>
        <w:tblLayout w:type="fixed"/>
        <w:tblCellMar>
          <w:top w:w="100" w:type="dxa"/>
          <w:left w:w="100" w:type="dxa"/>
          <w:bottom w:w="100" w:type="dxa"/>
          <w:right w:w="100" w:type="dxa"/>
        </w:tblCellMar>
      </w:tblPr>
      <w:tblGrid>
        <w:gridCol w:w="3888"/>
        <w:gridCol w:w="2016"/>
        <w:gridCol w:w="2016"/>
        <w:gridCol w:w="2016"/>
      </w:tblGrid>
      <w:tr>
        <w:trPr>
          <w:tblHeader/>
        </w:trPr>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10" w14:textId="00100011">
            <w:pPr>
              <w:jc w:val="left"/>
            </w:pPr>
            <w:r>
              <w:rPr>
                <w:rFonts w:ascii="Arial" w:hAnsi="Arial" w:eastAsia="Arial"/>
                <w:b/>
                <w:color w:val="000000"/>
                <w:sz w:val="20"/>
              </w:rPr>
              <w:t xml:space="preserve">Measure</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12" w14:textId="00100013">
            <w:pPr>
              <w:jc w:val="center"/>
            </w:pPr>
            <w:r>
              <w:rPr>
                <w:rFonts w:ascii="Arial" w:hAnsi="Arial" w:eastAsia="Arial"/>
                <w:b/>
                <w:color w:val="000000"/>
                <w:sz w:val="20"/>
              </w:rPr>
              <w:t xml:space="preserve">Q3 actual</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14" w14:textId="00100015">
            <w:pPr>
              <w:jc w:val="center"/>
            </w:pPr>
            <w:r>
              <w:rPr>
                <w:rFonts w:ascii="Arial" w:hAnsi="Arial" w:eastAsia="Arial"/>
                <w:b/>
                <w:color w:val="000000"/>
                <w:sz w:val="20"/>
              </w:rPr>
              <w:t xml:space="preserve">Q3 plan</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16" w14:textId="00100017">
            <w:pPr>
              <w:jc w:val="center"/>
            </w:pPr>
            <w:r>
              <w:rPr>
                <w:rFonts w:ascii="Arial" w:hAnsi="Arial" w:eastAsia="Arial"/>
                <w:b/>
                <w:color w:val="000000"/>
                <w:sz w:val="20"/>
              </w:rPr>
              <w:t xml:space="preserve">Q2 actual</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18" w14:textId="00100019">
            <w:pPr>
              <w:jc w:val="left"/>
            </w:pPr>
            <w:r>
              <w:rPr>
                <w:rFonts w:ascii="Arial" w:hAnsi="Arial" w:eastAsia="Arial"/>
                <w:b w:val="false"/>
                <w:color w:val="000000"/>
                <w:sz w:val="21"/>
              </w:rPr>
              <w:t xml:space="preserve">Revenue in USD millions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1A" w14:textId="0010001B">
            <w:pPr>
              <w:jc w:val="center"/>
            </w:pPr>
            <w:r>
              <w:rPr>
                <w:rFonts w:ascii="Arial" w:hAnsi="Arial" w:eastAsia="Arial"/>
                <w:b w:val="false"/>
                <w:color w:val="000000"/>
                <w:sz w:val="21"/>
              </w:rPr>
              <w:t xml:space="preserve">4.82</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1C" w14:textId="0010001D">
            <w:pPr>
              <w:jc w:val="center"/>
            </w:pPr>
            <w:r>
              <w:rPr>
                <w:rFonts w:ascii="Arial" w:hAnsi="Arial" w:eastAsia="Arial"/>
                <w:b w:val="false"/>
                <w:color w:val="000000"/>
                <w:sz w:val="21"/>
              </w:rPr>
              <w:t xml:space="preserve">4.65</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1E" w14:textId="0010001F">
            <w:pPr>
              <w:jc w:val="center"/>
            </w:pPr>
            <w:r>
              <w:rPr>
                <w:rFonts w:ascii="Arial" w:hAnsi="Arial" w:eastAsia="Arial"/>
                <w:b w:val="false"/>
                <w:color w:val="000000"/>
                <w:sz w:val="21"/>
              </w:rPr>
              <w:t xml:space="preserve">4.29</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20" w14:textId="00100021">
            <w:pPr>
              <w:jc w:val="left"/>
            </w:pPr>
            <w:r>
              <w:rPr>
                <w:rFonts w:ascii="Arial" w:hAnsi="Arial" w:eastAsia="Arial"/>
                <w:b w:val="false"/>
                <w:color w:val="000000"/>
                <w:sz w:val="21"/>
              </w:rPr>
              <w:t xml:space="preserve">Gross margin</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22" w14:textId="00100023">
            <w:pPr>
              <w:jc w:val="center"/>
            </w:pPr>
            <w:r>
              <w:rPr>
                <w:rFonts w:ascii="Arial" w:hAnsi="Arial" w:eastAsia="Arial"/>
                <w:b w:val="false"/>
                <w:color w:val="000000"/>
                <w:sz w:val="21"/>
              </w:rPr>
              <w:t xml:space="preserve">38.6%</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24" w14:textId="00100025">
            <w:pPr>
              <w:jc w:val="center"/>
            </w:pPr>
            <w:r>
              <w:rPr>
                <w:rFonts w:ascii="Arial" w:hAnsi="Arial" w:eastAsia="Arial"/>
                <w:b w:val="false"/>
                <w:color w:val="000000"/>
                <w:sz w:val="21"/>
              </w:rPr>
              <w:t xml:space="preserve">37.5%</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26" w14:textId="00100027">
            <w:pPr>
              <w:jc w:val="center"/>
            </w:pPr>
            <w:r>
              <w:rPr>
                <w:rFonts w:ascii="Arial" w:hAnsi="Arial" w:eastAsia="Arial"/>
                <w:b w:val="false"/>
                <w:color w:val="000000"/>
                <w:sz w:val="21"/>
              </w:rPr>
              <w:t xml:space="preserve">36.8%</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28" w14:textId="00100029">
            <w:pPr>
              <w:jc w:val="left"/>
            </w:pPr>
            <w:r>
              <w:rPr>
                <w:rFonts w:ascii="Arial" w:hAnsi="Arial" w:eastAsia="Arial"/>
                <w:b w:val="false"/>
                <w:color w:val="000000"/>
                <w:sz w:val="21"/>
              </w:rPr>
              <w:t xml:space="preserve">On time delivery</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2A" w14:textId="0010002B">
            <w:pPr>
              <w:jc w:val="center"/>
            </w:pPr>
            <w:r>
              <w:rPr>
                <w:rFonts w:ascii="Arial" w:hAnsi="Arial" w:eastAsia="Arial"/>
                <w:b w:val="false"/>
                <w:color w:val="000000"/>
                <w:sz w:val="21"/>
              </w:rPr>
              <w:t xml:space="preserve">95.8%</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2C" w14:textId="0010002D">
            <w:pPr>
              <w:jc w:val="center"/>
            </w:pPr>
            <w:r>
              <w:rPr>
                <w:rFonts w:ascii="Arial" w:hAnsi="Arial" w:eastAsia="Arial"/>
                <w:b w:val="false"/>
                <w:color w:val="000000"/>
                <w:sz w:val="21"/>
              </w:rPr>
              <w:t xml:space="preserve">95.0%</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2E" w14:textId="0010002F">
            <w:pPr>
              <w:jc w:val="center"/>
            </w:pPr>
            <w:r>
              <w:rPr>
                <w:rFonts w:ascii="Arial" w:hAnsi="Arial" w:eastAsia="Arial"/>
                <w:b w:val="false"/>
                <w:color w:val="000000"/>
                <w:sz w:val="21"/>
              </w:rPr>
              <w:t xml:space="preserve">93.7%</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30" w14:textId="00100031">
            <w:pPr>
              <w:jc w:val="left"/>
            </w:pPr>
            <w:r>
              <w:rPr>
                <w:rFonts w:ascii="Arial" w:hAnsi="Arial" w:eastAsia="Arial"/>
                <w:b w:val="false"/>
                <w:color w:val="000000"/>
                <w:sz w:val="21"/>
              </w:rPr>
              <w:t xml:space="preserve">Active customers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32" w14:textId="00100033">
            <w:pPr>
              <w:jc w:val="center"/>
            </w:pPr>
            <w:r>
              <w:rPr>
                <w:rFonts w:ascii="Arial" w:hAnsi="Arial" w:eastAsia="Arial"/>
                <w:b w:val="false"/>
                <w:color w:val="000000"/>
                <w:sz w:val="21"/>
              </w:rPr>
              <w:t xml:space="preserve">42</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34" w14:textId="00100035">
            <w:pPr>
              <w:jc w:val="center"/>
            </w:pPr>
            <w:r>
              <w:rPr>
                <w:rFonts w:ascii="Arial" w:hAnsi="Arial" w:eastAsia="Arial"/>
                <w:b w:val="false"/>
                <w:color w:val="000000"/>
                <w:sz w:val="21"/>
              </w:rPr>
              <w:t xml:space="preserve">40</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36" w14:textId="00100037">
            <w:pPr>
              <w:jc w:val="center"/>
            </w:pPr>
            <w:r>
              <w:rPr>
                <w:rFonts w:ascii="Arial" w:hAnsi="Arial" w:eastAsia="Arial"/>
                <w:b w:val="false"/>
                <w:color w:val="000000"/>
                <w:sz w:val="21"/>
              </w:rPr>
              <w:t xml:space="preserve">37</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38" w14:textId="00100039">
            <w:pPr>
              <w:jc w:val="left"/>
            </w:pPr>
            <w:r>
              <w:rPr>
                <w:rFonts w:ascii="Arial" w:hAnsi="Arial" w:eastAsia="Arial"/>
                <w:b w:val="false"/>
                <w:color w:val="000000"/>
                <w:sz w:val="21"/>
              </w:rPr>
              <w:t xml:space="preserve">Net promoter score</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3A" w14:textId="0010003B">
            <w:pPr>
              <w:jc w:val="center"/>
            </w:pPr>
            <w:r>
              <w:rPr>
                <w:rFonts w:ascii="Arial" w:hAnsi="Arial" w:eastAsia="Arial"/>
                <w:b w:val="false"/>
                <w:color w:val="000000"/>
                <w:sz w:val="21"/>
              </w:rPr>
              <w:t xml:space="preserve">46</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3C" w14:textId="0010003D">
            <w:pPr>
              <w:jc w:val="center"/>
            </w:pPr>
            <w:r>
              <w:rPr>
                <w:rFonts w:ascii="Arial" w:hAnsi="Arial" w:eastAsia="Arial"/>
                <w:b w:val="false"/>
                <w:color w:val="000000"/>
                <w:sz w:val="21"/>
              </w:rPr>
              <w:t xml:space="preserve">45</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3E" w14:textId="0010003F">
            <w:pPr>
              <w:jc w:val="center"/>
            </w:pPr>
            <w:r>
              <w:rPr>
                <w:rFonts w:ascii="Arial" w:hAnsi="Arial" w:eastAsia="Arial"/>
                <w:b w:val="false"/>
                <w:color w:val="000000"/>
                <w:sz w:val="21"/>
              </w:rPr>
              <w:t xml:space="preserve">43</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40" w14:textId="00100041">
            <w:pPr>
              <w:jc w:val="left"/>
            </w:pPr>
            <w:r>
              <w:rPr>
                <w:rFonts w:ascii="Arial" w:hAnsi="Arial" w:eastAsia="Arial"/>
                <w:b w:val="false"/>
                <w:color w:val="000000"/>
                <w:sz w:val="21"/>
              </w:rPr>
              <w:t xml:space="preserve">Average full time equivalent staff</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42" w14:textId="00100043">
            <w:pPr>
              <w:jc w:val="center"/>
            </w:pPr>
            <w:r>
              <w:rPr>
                <w:rFonts w:ascii="Arial" w:hAnsi="Arial" w:eastAsia="Arial"/>
                <w:b w:val="false"/>
                <w:color w:val="000000"/>
                <w:sz w:val="21"/>
              </w:rPr>
              <w:t xml:space="preserve">168</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44" w14:textId="00100045">
            <w:pPr>
              <w:jc w:val="center"/>
            </w:pPr>
            <w:r>
              <w:rPr>
                <w:rFonts w:ascii="Arial" w:hAnsi="Arial" w:eastAsia="Arial"/>
                <w:b w:val="false"/>
                <w:color w:val="000000"/>
                <w:sz w:val="21"/>
              </w:rPr>
              <w:t xml:space="preserve">170</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46" w14:textId="00100047">
            <w:pPr>
              <w:jc w:val="center"/>
            </w:pPr>
            <w:r>
              <w:rPr>
                <w:rFonts w:ascii="Arial" w:hAnsi="Arial" w:eastAsia="Arial"/>
                <w:b w:val="false"/>
                <w:color w:val="000000"/>
                <w:sz w:val="21"/>
              </w:rPr>
              <w:t xml:space="preserve">156</w:t>
            </w:r>
          </w:p>
        </w:tc>
      </w:tr>
    </w:tbl>
    <w:p w14:paraId="00100048" w14:textId="00100049">
      <w:pPr>
        <w:pStyle w:val="Caption"/>
      </w:pPr>
      <w:r>
        <w:rPr/>
        <w:t xml:space="preserve">Reporting period 1 July to 30 September 2026. Currency is USD. Every value is fictional.</w:t>
      </w:r>
    </w:p>
    <w:p w14:paraId="0010004A" w14:textId="0010004B">
      <w:pPr>
        <w:pStyle w:val="Normal"/>
        <w:spacing w:before="200"/>
      </w:pPr>
      <w:r>
        <w:rPr/>
        <w:t xml:space="preserve">Prepared for the demonstration management team by File Viewer contributors. The review covers service delivery, customer quality and operating risk for one quarter. Its proposed actions and planning assumptions are illustrative.</w:t>
      </w:r>
    </w:p>
    <w:p w14:paraId="0010004C" w14:textId="0010004D">
      <w:pPr>
        <w:pStyle w:val="Heading1"/>
        <w:keepNext/>
        <w:pageBreakBefore/>
      </w:pPr>
      <w:r>
        <w:rPr/>
        <w:t xml:space="preserve">Contents</w:t>
      </w:r>
      <w:bookmarkStart w:name="contents" w:id="1"/>
      <w:bookmarkEnd w:id="1"/>
    </w:p>
    <w:p w14:paraId="0010004E" w14:textId="0010004F">
      <w:pPr>
        <w:pStyle w:val="Normal"/>
      </w:pPr>
      <w:r>
        <w:rPr/>
        <w:t xml:space="preserve">The review moves from the quarter result to the actions needed for the next ninety days. Use the linked sections to move between the operating evidence, the decisions requested and the definitions used in each comparison.</w:t>
      </w:r>
    </w:p>
    <w:p w14:paraId="00100050" w14:textId="00100051">
      <w:pPr>
        <w:pStyle w:val="TOC1"/>
      </w:pPr>
      <w:r>
        <w:rPr/>
        <w:t xml:space="preserve"/>
      </w:r>
      <w:hyperlink w:anchor="executive">
        <w:r>
          <w:rPr>
            <w:rFonts w:ascii="Arial" w:hAnsi="Arial"/>
            <w:color w:val="174F68"/>
            <w:sz w:val="23"/>
            <w:u w:val="none"/>
          </w:rPr>
          <w:t xml:space="preserve">03   Executive review</w:t>
        </w:r>
      </w:hyperlink>
    </w:p>
    <w:p w14:paraId="00100052" w14:textId="00100053">
      <w:pPr>
        <w:pStyle w:val="TOC1"/>
      </w:pPr>
      <w:r>
        <w:rPr/>
        <w:t xml:space="preserve"/>
      </w:r>
      <w:hyperlink w:anchor="delivery">
        <w:r>
          <w:rPr>
            <w:rFonts w:ascii="Arial" w:hAnsi="Arial"/>
            <w:color w:val="174F68"/>
            <w:sz w:val="23"/>
            <w:u w:val="none"/>
          </w:rPr>
          <w:t xml:space="preserve">04   Delivery performance</w:t>
        </w:r>
      </w:hyperlink>
    </w:p>
    <w:p w14:paraId="00100054" w14:textId="00100055">
      <w:pPr>
        <w:pStyle w:val="TOC1"/>
      </w:pPr>
      <w:r>
        <w:rPr/>
        <w:t xml:space="preserve"/>
      </w:r>
      <w:hyperlink w:anchor="customers">
        <w:r>
          <w:rPr>
            <w:rFonts w:ascii="Arial" w:hAnsi="Arial"/>
            <w:color w:val="174F68"/>
            <w:sz w:val="23"/>
            <w:u w:val="none"/>
          </w:rPr>
          <w:t xml:space="preserve">05   Customers and quality</w:t>
        </w:r>
      </w:hyperlink>
    </w:p>
    <w:p w14:paraId="00100056" w14:textId="00100057">
      <w:pPr>
        <w:pStyle w:val="TOC1"/>
      </w:pPr>
      <w:r>
        <w:rPr/>
        <w:t xml:space="preserve"/>
      </w:r>
      <w:hyperlink w:anchor="risks">
        <w:r>
          <w:rPr>
            <w:rFonts w:ascii="Arial" w:hAnsi="Arial"/>
            <w:color w:val="174F68"/>
            <w:sz w:val="23"/>
            <w:u w:val="none"/>
          </w:rPr>
          <w:t xml:space="preserve">06   Risks and controls</w:t>
        </w:r>
      </w:hyperlink>
    </w:p>
    <w:p w14:paraId="00100058" w14:textId="00100059">
      <w:pPr>
        <w:pStyle w:val="TOC1"/>
      </w:pPr>
      <w:r>
        <w:rPr/>
        <w:t xml:space="preserve"/>
      </w:r>
      <w:hyperlink w:anchor="actions">
        <w:r>
          <w:rPr>
            <w:rFonts w:ascii="Arial" w:hAnsi="Arial"/>
            <w:color w:val="174F68"/>
            <w:sz w:val="23"/>
            <w:u w:val="none"/>
          </w:rPr>
          <w:t xml:space="preserve">07   Next ninety days</w:t>
        </w:r>
      </w:hyperlink>
    </w:p>
    <w:p w14:paraId="0010005A" w14:textId="0010005B">
      <w:pPr>
        <w:pStyle w:val="TOC1"/>
      </w:pPr>
      <w:r>
        <w:rPr/>
        <w:t xml:space="preserve"/>
      </w:r>
      <w:hyperlink w:anchor="scenarios">
        <w:r>
          <w:rPr>
            <w:rFonts w:ascii="Arial" w:hAnsi="Arial"/>
            <w:color w:val="174F68"/>
            <w:sz w:val="23"/>
            <w:u w:val="none"/>
          </w:rPr>
          <w:t xml:space="preserve">08   Planning scenarios</w:t>
        </w:r>
      </w:hyperlink>
    </w:p>
    <w:p w14:paraId="0010005C" w14:textId="0010005D">
      <w:pPr>
        <w:pStyle w:val="TOC1"/>
      </w:pPr>
      <w:r>
        <w:rPr/>
        <w:t xml:space="preserve"/>
      </w:r>
      <w:hyperlink w:anchor="definitions">
        <w:r>
          <w:rPr>
            <w:rFonts w:ascii="Arial" w:hAnsi="Arial"/>
            <w:color w:val="174F68"/>
            <w:sz w:val="23"/>
            <w:u w:val="none"/>
          </w:rPr>
          <w:t xml:space="preserve">09   Metric definitions</w:t>
        </w:r>
      </w:hyperlink>
    </w:p>
    <w:p w14:paraId="0010005E" w14:textId="0010005F">
      <w:pPr>
        <w:pStyle w:val="Heading2"/>
        <w:keepNext/>
      </w:pPr>
      <w:r>
        <w:rPr/>
        <w:t xml:space="preserve">How to read this report</w:t>
      </w:r>
    </w:p>
    <w:p w14:paraId="00100060" w14:textId="00100061">
      <w:pPr>
        <w:pStyle w:val="Normal"/>
      </w:pPr>
      <w:r>
        <w:rPr/>
        <w:t xml:space="preserve">Actual and plan refer to the same quarter and accounting boundary. Percentages describe the stated population; a change in percentage points is not a relative growth rate. Operational measures use completed work, while the backlog describes approved work not yet delivered.</w:t>
      </w:r>
    </w:p>
    <w:p w14:paraId="00100062" w14:textId="00100063">
      <w:pPr>
        <w:pStyle w:val="Normal"/>
      </w:pPr>
      <w:r>
        <w:rPr/>
        <w:t xml:space="preserve">Read the quarter scorecard together with the narrative. A favorable revenue result can coexist with a capacity constraint or a weakening renewal position. The next ninety days section identifies the evidence needed before each proposed action is considered complete.</w:t>
      </w:r>
    </w:p>
    <w:p w14:paraId="00100064" w14:textId="00100065">
      <w:pPr>
        <w:pStyle w:val="Heading2"/>
        <w:keepNext/>
      </w:pPr>
      <w:r>
        <w:rPr/>
        <w:t xml:space="preserve">Scenario boundary</w:t>
      </w:r>
    </w:p>
    <w:p w14:paraId="00100066" w14:textId="00100067">
      <w:pPr>
        <w:pStyle w:val="Normal"/>
      </w:pPr>
      <w:r>
        <w:rPr/>
        <w:t xml:space="preserve">The fictional organization provides customer onboarding, managed delivery and platform enablement services. It operates one reporting currency and a shared delivery team. No acquisitions, restructuring charges or foreign exchange movements are included in the comparison.</w:t>
      </w:r>
    </w:p>
    <w:p w14:paraId="00100068" w14:textId="00100069">
      <w:pPr>
        <w:pStyle w:val="Heading1"/>
        <w:keepNext/>
        <w:pageBreakBefore/>
      </w:pPr>
      <w:r>
        <w:rPr/>
        <w:t xml:space="preserve">Executive review</w:t>
      </w:r>
      <w:bookmarkStart w:name="executive" w:id="2"/>
      <w:bookmarkEnd w:id="2"/>
    </w:p>
    <w:p w14:paraId="0010006A" w14:textId="0010006B">
      <w:pPr>
        <w:pStyle w:val="Normal"/>
      </w:pPr>
      <w:r>
        <w:rPr/>
        <w:t xml:space="preserve">Revenue reached USD 4.82 million, USD 0.17 million above the quarterly plan and 12.4 percent above the prior quarter after rounding. The improvement came from a steadier delivery schedule and the completion of work that had remained in the opening backlog. It did not depend on a single new customer or a one time accounting adjustment.</w:t>
      </w:r>
    </w:p>
    <w:p w14:paraId="0010006C" w14:textId="0010006D">
      <w:pPr>
        <w:pStyle w:val="Normal"/>
      </w:pPr>
      <w:r>
        <w:rPr/>
        <w:t xml:space="preserve">Gross margin rose to 38.6 percent as fewer projects required unplanned rework. This gain should be treated as an operating improvement that still needs to hold through the renewal cycle. A higher share of specialist work also lifted the average price per completed engagement, which limits how much of the margin change can be attributed to process efficiency alone.</w:t>
      </w:r>
    </w:p>
    <w:p w14:paraId="0010006E" w14:textId="0010006F">
      <w:pPr>
        <w:pStyle w:val="Normal"/>
      </w:pPr>
      <w:r>
        <w:rPr/>
        <w:t xml:space="preserve">The main constraint has shifted from the availability of general delivery capacity to the availability of experienced specialists. Four planned hires would reduce that constraint, but recruitment should follow confirmed demand. Team leads should protect time for training and handover so that the existing team does not absorb all of the onboarding cost.</w:t>
      </w:r>
    </w:p>
    <w:p w14:paraId="00100070" w14:textId="00100071">
      <w:pPr>
        <w:pStyle w:val="Heading2"/>
        <w:keepNext/>
      </w:pPr>
      <w:r>
        <w:rPr/>
        <w:t xml:space="preserve">Decisions requested</w:t>
      </w:r>
    </w:p>
    <w:tbl>
      <w:tblPr>
        <w:tblW w:w="9936" w:type="dxa"/>
        <w:tblBorders>
          <w:top w:val="single" w:color="D9D9D9" w:sz="4"/>
          <w:left w:val="single" w:color="D9D9D9" w:sz="4"/>
          <w:bottom w:val="single" w:color="D9D9D9" w:sz="4"/>
          <w:right w:val="single" w:color="D9D9D9" w:sz="4"/>
          <w:insideH w:val="single" w:color="D9D9D9" w:sz="4"/>
          <w:insideV w:val="single" w:color="D9D9D9" w:sz="4"/>
        </w:tblBorders>
        <w:tblLayout w:type="fixed"/>
        <w:tblCellMar>
          <w:top w:w="100" w:type="dxa"/>
          <w:left w:w="100" w:type="dxa"/>
          <w:bottom w:w="100" w:type="dxa"/>
          <w:right w:w="100" w:type="dxa"/>
        </w:tblCellMar>
      </w:tblPr>
      <w:tblGrid>
        <w:gridCol w:w="2304"/>
        <w:gridCol w:w="4464"/>
        <w:gridCol w:w="3168"/>
      </w:tblGrid>
      <w:tr>
        <w:trPr>
          <w:tblHeader/>
        </w:trPr>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72" w14:textId="00100073">
            <w:pPr>
              <w:jc w:val="left"/>
            </w:pPr>
            <w:r>
              <w:rPr>
                <w:rFonts w:ascii="Arial" w:hAnsi="Arial" w:eastAsia="Arial"/>
                <w:b/>
                <w:color w:val="000000"/>
                <w:sz w:val="20"/>
              </w:rPr>
              <w:t xml:space="preserve">Decision</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74" w14:textId="00100075">
            <w:pPr>
              <w:jc w:val="left"/>
            </w:pPr>
            <w:r>
              <w:rPr>
                <w:rFonts w:ascii="Arial" w:hAnsi="Arial" w:eastAsia="Arial"/>
                <w:b/>
                <w:color w:val="000000"/>
                <w:sz w:val="20"/>
              </w:rPr>
              <w:t xml:space="preserve">Proposed action</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76" w14:textId="00100077">
            <w:pPr>
              <w:jc w:val="left"/>
            </w:pPr>
            <w:r>
              <w:rPr>
                <w:rFonts w:ascii="Arial" w:hAnsi="Arial" w:eastAsia="Arial"/>
                <w:b/>
                <w:color w:val="000000"/>
                <w:sz w:val="20"/>
              </w:rPr>
              <w:t xml:space="preserve">Owner and review date</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78" w14:textId="00100079">
            <w:pPr>
              <w:jc w:val="left"/>
            </w:pPr>
            <w:r>
              <w:rPr>
                <w:rFonts w:ascii="Arial" w:hAnsi="Arial" w:eastAsia="Arial"/>
                <w:b w:val="false"/>
                <w:color w:val="000000"/>
                <w:sz w:val="21"/>
              </w:rPr>
              <w:t xml:space="preserve">Specialist capacity</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7A" w14:textId="0010007B">
            <w:pPr>
              <w:jc w:val="left"/>
            </w:pPr>
            <w:r>
              <w:rPr>
                <w:rFonts w:ascii="Arial" w:hAnsi="Arial" w:eastAsia="Arial"/>
                <w:b w:val="false"/>
                <w:color w:val="000000"/>
                <w:sz w:val="21"/>
              </w:rPr>
              <w:t xml:space="preserve">Approve four hires in two stages tied to signed demand.</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7C" w14:textId="0010007D">
            <w:pPr>
              <w:jc w:val="left"/>
            </w:pPr>
            <w:r>
              <w:rPr>
                <w:rFonts w:ascii="Arial" w:hAnsi="Arial" w:eastAsia="Arial"/>
                <w:b w:val="false"/>
                <w:color w:val="000000"/>
                <w:sz w:val="21"/>
              </w:rPr>
              <w:t xml:space="preserve">Operations lead  15 November 2026</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7E" w14:textId="0010007F">
            <w:pPr>
              <w:jc w:val="left"/>
            </w:pPr>
            <w:r>
              <w:rPr>
                <w:rFonts w:ascii="Arial" w:hAnsi="Arial" w:eastAsia="Arial"/>
                <w:b w:val="false"/>
                <w:color w:val="000000"/>
                <w:sz w:val="21"/>
              </w:rPr>
              <w:t xml:space="preserve">Renewal exposure</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80" w14:textId="00100081">
            <w:pPr>
              <w:jc w:val="left"/>
            </w:pPr>
            <w:r>
              <w:rPr>
                <w:rFonts w:ascii="Arial" w:hAnsi="Arial" w:eastAsia="Arial"/>
                <w:b w:val="false"/>
                <w:color w:val="000000"/>
                <w:sz w:val="21"/>
              </w:rPr>
              <w:t xml:space="preserve">Review the six largest renewals with a named backup owner.</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82" w14:textId="00100083">
            <w:pPr>
              <w:jc w:val="left"/>
            </w:pPr>
            <w:r>
              <w:rPr>
                <w:rFonts w:ascii="Arial" w:hAnsi="Arial" w:eastAsia="Arial"/>
                <w:b w:val="false"/>
                <w:color w:val="000000"/>
                <w:sz w:val="21"/>
              </w:rPr>
              <w:t xml:space="preserve">Customer lead  6 November 2026</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84" w14:textId="00100085">
            <w:pPr>
              <w:jc w:val="left"/>
            </w:pPr>
            <w:r>
              <w:rPr>
                <w:rFonts w:ascii="Arial" w:hAnsi="Arial" w:eastAsia="Arial"/>
                <w:b w:val="false"/>
                <w:color w:val="000000"/>
                <w:sz w:val="21"/>
              </w:rPr>
              <w:t xml:space="preserve">Supplier continuity</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86" w14:textId="00100087">
            <w:pPr>
              <w:jc w:val="left"/>
            </w:pPr>
            <w:r>
              <w:rPr>
                <w:rFonts w:ascii="Arial" w:hAnsi="Arial" w:eastAsia="Arial"/>
                <w:b w:val="false"/>
                <w:color w:val="000000"/>
                <w:sz w:val="21"/>
              </w:rPr>
              <w:t xml:space="preserve">Complete a fallback test for the primary service provider.</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88" w14:textId="00100089">
            <w:pPr>
              <w:jc w:val="left"/>
            </w:pPr>
            <w:r>
              <w:rPr>
                <w:rFonts w:ascii="Arial" w:hAnsi="Arial" w:eastAsia="Arial"/>
                <w:b w:val="false"/>
                <w:color w:val="000000"/>
                <w:sz w:val="21"/>
              </w:rPr>
              <w:t xml:space="preserve">Technology lead  20 November 2026</w:t>
            </w:r>
          </w:p>
        </w:tc>
      </w:tr>
    </w:tbl>
    <w:p w14:paraId="0010008A" w14:textId="0010008B">
      <w:pPr>
        <w:pStyle w:val="Caption"/>
      </w:pPr>
      <w:r>
        <w:rPr/>
        <w:t xml:space="preserve">These are fictional management decisions, included to demonstrate a usable review document.</w:t>
      </w:r>
    </w:p>
    <w:p w14:paraId="0010008C" w14:textId="0010008D">
      <w:pPr>
        <w:pStyle w:val="Heading2"/>
        <w:keepNext/>
      </w:pPr>
      <w:r>
        <w:rPr/>
        <w:t xml:space="preserve">What would change the recommendation</w:t>
      </w:r>
    </w:p>
    <w:p w14:paraId="0010008E" w14:textId="0010008F">
      <w:pPr>
        <w:pStyle w:val="Normal"/>
      </w:pPr>
      <w:r>
        <w:rPr/>
        <w:t xml:space="preserve">The hiring sequence should pause if contracted demand falls below the base case for two consecutive monthly reviews. The supplier test should proceed in every scenario because it addresses continuity rather than growth. Management should review the same measures together and record any exception with an owner and an expiry date.</w:t>
      </w:r>
    </w:p>
    <w:p w14:paraId="00100090" w14:textId="00100091">
      <w:pPr>
        <w:pStyle w:val="Heading1"/>
        <w:keepNext/>
        <w:pageBreakBefore/>
      </w:pPr>
      <w:r>
        <w:rPr/>
        <w:t xml:space="preserve">Delivery performance</w:t>
      </w:r>
      <w:bookmarkStart w:name="delivery" w:id="3"/>
      <w:bookmarkEnd w:id="3"/>
    </w:p>
    <w:p w14:paraId="00100092" w14:textId="00100093">
      <w:pPr>
        <w:pStyle w:val="Normal"/>
      </w:pPr>
      <w:r>
        <w:rPr/>
        <w:t xml:space="preserve">The team completed 326 service engagements and ended the quarter with 87 approved engagements in backlog. Customer onboarding improved its on time result, while managed delivery accounted for most of the remaining late work. The two row header groups related measures without changing the unit of any column.</w:t>
      </w:r>
    </w:p>
    <w:tbl>
      <w:tblPr>
        <w:tblW w:w="9936" w:type="dxa"/>
        <w:tblBorders>
          <w:top w:val="single" w:color="D9D9D9" w:sz="4"/>
          <w:left w:val="single" w:color="D9D9D9" w:sz="4"/>
          <w:bottom w:val="single" w:color="D9D9D9" w:sz="4"/>
          <w:right w:val="single" w:color="D9D9D9" w:sz="4"/>
          <w:insideH w:val="single" w:color="D9D9D9" w:sz="4"/>
          <w:insideV w:val="single" w:color="D9D9D9" w:sz="4"/>
        </w:tblBorders>
        <w:tblLayout w:type="fixed"/>
        <w:tblCellMar>
          <w:top w:w="100" w:type="dxa"/>
          <w:left w:w="100" w:type="dxa"/>
          <w:bottom w:w="100" w:type="dxa"/>
          <w:right w:w="100" w:type="dxa"/>
        </w:tblCellMar>
      </w:tblPr>
      <w:tblGrid>
        <w:gridCol w:w="2376"/>
        <w:gridCol w:w="1238"/>
        <w:gridCol w:w="1123"/>
        <w:gridCol w:w="1440"/>
        <w:gridCol w:w="1152"/>
        <w:gridCol w:w="1037"/>
        <w:gridCol w:w="1570"/>
      </w:tblGrid>
      <w:tr>
        <w:trPr>
          <w:tblHeader/>
        </w:trPr>
        <w:tc>
          <w:tcPr>
            <w:vMerge w:val="restart"/>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94" w14:textId="00100095">
            <w:pPr>
              <w:jc w:val="left"/>
            </w:pPr>
            <w:r>
              <w:rPr>
                <w:rFonts w:ascii="Arial" w:hAnsi="Arial" w:eastAsia="Arial"/>
                <w:b/>
                <w:color w:val="000000"/>
                <w:sz w:val="20"/>
              </w:rPr>
              <w:t xml:space="preserve">Workstream</w:t>
            </w:r>
          </w:p>
        </w:tc>
        <w:tc>
          <w:tcPr>
            <w:tcW w:w="2361" w:type="dxa"/>
            <w:gridSpan w:val="2"/>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96" w14:textId="00100097">
            <w:pPr>
              <w:jc w:val="center"/>
            </w:pPr>
            <w:r>
              <w:rPr>
                <w:rFonts w:ascii="Arial" w:hAnsi="Arial" w:eastAsia="Arial"/>
                <w:b/>
                <w:color w:val="000000"/>
                <w:sz w:val="20"/>
              </w:rPr>
              <w:t xml:space="preserve">Volume</w:t>
            </w:r>
          </w:p>
        </w:tc>
        <w:tc>
          <w:tcPr>
            <w:tcW w:w="2592" w:type="dxa"/>
            <w:gridSpan w:val="2"/>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9A" w14:textId="0010009B">
            <w:pPr>
              <w:jc w:val="center"/>
            </w:pPr>
            <w:r>
              <w:rPr>
                <w:rFonts w:ascii="Arial" w:hAnsi="Arial" w:eastAsia="Arial"/>
                <w:b/>
                <w:color w:val="000000"/>
                <w:sz w:val="20"/>
              </w:rPr>
              <w:t xml:space="preserve">Service</w:t>
            </w:r>
          </w:p>
        </w:tc>
        <w:tc>
          <w:tcPr>
            <w:tcW w:w="2607" w:type="dxa"/>
            <w:gridSpan w:val="2"/>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9E" w14:textId="0010009F">
            <w:pPr>
              <w:jc w:val="center"/>
            </w:pPr>
            <w:r>
              <w:rPr>
                <w:rFonts w:ascii="Arial" w:hAnsi="Arial" w:eastAsia="Arial"/>
                <w:b/>
                <w:color w:val="000000"/>
                <w:sz w:val="20"/>
              </w:rPr>
              <w:t xml:space="preserve">Capacity</w:t>
            </w:r>
          </w:p>
        </w:tc>
      </w:tr>
      <w:tr>
        <w:trPr>
          <w:tblHeader/>
        </w:trPr>
        <w:tc>
          <w:tcPr>
            <w:vMerge/>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A2" w14:textId="001000A3">
            <w:pPr>
              <w:jc w:val="left"/>
              <w:rPr>
                <w:rFonts w:ascii="Arial" w:hAnsi="Arial" w:eastAsia="Arial"/>
                <w:b/>
                <w:color w:val="000000"/>
                <w:sz w:val="20"/>
              </w:rPr>
            </w:pP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A4" w14:textId="001000A5">
            <w:pPr>
              <w:jc w:val="center"/>
            </w:pPr>
            <w:r>
              <w:rPr>
                <w:rFonts w:ascii="Arial" w:hAnsi="Arial" w:eastAsia="Arial"/>
                <w:b/>
                <w:color w:val="000000"/>
                <w:sz w:val="20"/>
              </w:rPr>
              <w:t xml:space="preserve">Closed</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A6" w14:textId="001000A7">
            <w:pPr>
              <w:jc w:val="center"/>
            </w:pPr>
            <w:r>
              <w:rPr>
                <w:rFonts w:ascii="Arial" w:hAnsi="Arial" w:eastAsia="Arial"/>
                <w:b/>
                <w:color w:val="000000"/>
                <w:sz w:val="20"/>
              </w:rPr>
              <w:t xml:space="preserve">Backlog</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A8" w14:textId="001000A9">
            <w:pPr>
              <w:jc w:val="center"/>
            </w:pPr>
            <w:r>
              <w:rPr>
                <w:rFonts w:ascii="Arial" w:hAnsi="Arial" w:eastAsia="Arial"/>
                <w:b/>
                <w:color w:val="000000"/>
                <w:sz w:val="20"/>
              </w:rPr>
              <w:t xml:space="preserve">On time</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AA" w14:textId="001000AB">
            <w:pPr>
              <w:jc w:val="center"/>
            </w:pPr>
            <w:r>
              <w:rPr>
                <w:rFonts w:ascii="Arial" w:hAnsi="Arial" w:eastAsia="Arial"/>
                <w:b/>
                <w:color w:val="000000"/>
                <w:sz w:val="20"/>
              </w:rPr>
              <w:t xml:space="preserve">CSAT of 5</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AC" w14:textId="001000AD">
            <w:pPr>
              <w:jc w:val="center"/>
            </w:pPr>
            <w:r>
              <w:rPr>
                <w:rFonts w:ascii="Arial" w:hAnsi="Arial" w:eastAsia="Arial"/>
                <w:b/>
                <w:color w:val="000000"/>
                <w:sz w:val="20"/>
              </w:rPr>
              <w:t xml:space="preserve">FTE</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AE" w14:textId="001000AF">
            <w:pPr>
              <w:jc w:val="center"/>
            </w:pPr>
            <w:r>
              <w:rPr>
                <w:rFonts w:ascii="Arial" w:hAnsi="Arial" w:eastAsia="Arial"/>
                <w:b/>
                <w:color w:val="000000"/>
                <w:sz w:val="20"/>
              </w:rPr>
              <w:t xml:space="preserve">Utilization</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B0" w14:textId="001000B1">
            <w:pPr>
              <w:jc w:val="left"/>
            </w:pPr>
            <w:r>
              <w:rPr>
                <w:rFonts w:ascii="Arial" w:hAnsi="Arial" w:eastAsia="Arial"/>
                <w:b w:val="false"/>
                <w:color w:val="000000"/>
                <w:sz w:val="21"/>
              </w:rPr>
              <w:t xml:space="preserve">Customer onboarding</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B2" w14:textId="001000B3">
            <w:pPr>
              <w:jc w:val="center"/>
            </w:pPr>
            <w:r>
              <w:rPr>
                <w:rFonts w:ascii="Arial" w:hAnsi="Arial" w:eastAsia="Arial"/>
                <w:b w:val="false"/>
                <w:color w:val="000000"/>
                <w:sz w:val="21"/>
              </w:rPr>
              <w:t xml:space="preserve">118</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B4" w14:textId="001000B5">
            <w:pPr>
              <w:jc w:val="center"/>
            </w:pPr>
            <w:r>
              <w:rPr>
                <w:rFonts w:ascii="Arial" w:hAnsi="Arial" w:eastAsia="Arial"/>
                <w:b w:val="false"/>
                <w:color w:val="000000"/>
                <w:sz w:val="21"/>
              </w:rPr>
              <w:t xml:space="preserve">24</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B6" w14:textId="001000B7">
            <w:pPr>
              <w:jc w:val="center"/>
            </w:pPr>
            <w:r>
              <w:rPr>
                <w:rFonts w:ascii="Arial" w:hAnsi="Arial" w:eastAsia="Arial"/>
                <w:b w:val="false"/>
                <w:color w:val="000000"/>
                <w:sz w:val="21"/>
              </w:rPr>
              <w:t xml:space="preserve">97.5%</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B8" w14:textId="001000B9">
            <w:pPr>
              <w:jc w:val="center"/>
            </w:pPr>
            <w:r>
              <w:rPr>
                <w:rFonts w:ascii="Arial" w:hAnsi="Arial" w:eastAsia="Arial"/>
                <w:b w:val="false"/>
                <w:color w:val="000000"/>
                <w:sz w:val="21"/>
              </w:rPr>
              <w:t xml:space="preserve">4.6</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BA" w14:textId="001000BB">
            <w:pPr>
              <w:jc w:val="center"/>
            </w:pPr>
            <w:r>
              <w:rPr>
                <w:rFonts w:ascii="Arial" w:hAnsi="Arial" w:eastAsia="Arial"/>
                <w:b w:val="false"/>
                <w:color w:val="000000"/>
                <w:sz w:val="21"/>
              </w:rPr>
              <w:t xml:space="preserve">45</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BC" w14:textId="001000BD">
            <w:pPr>
              <w:jc w:val="center"/>
            </w:pPr>
            <w:r>
              <w:rPr>
                <w:rFonts w:ascii="Arial" w:hAnsi="Arial" w:eastAsia="Arial"/>
                <w:b w:val="false"/>
                <w:color w:val="000000"/>
                <w:sz w:val="21"/>
              </w:rPr>
              <w:t xml:space="preserve">81%</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BE" w14:textId="001000BF">
            <w:pPr>
              <w:jc w:val="left"/>
            </w:pPr>
            <w:r>
              <w:rPr>
                <w:rFonts w:ascii="Arial" w:hAnsi="Arial" w:eastAsia="Arial"/>
                <w:b w:val="false"/>
                <w:color w:val="000000"/>
                <w:sz w:val="21"/>
              </w:rPr>
              <w:t xml:space="preserve">Managed delivery</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C0" w14:textId="001000C1">
            <w:pPr>
              <w:jc w:val="center"/>
            </w:pPr>
            <w:r>
              <w:rPr>
                <w:rFonts w:ascii="Arial" w:hAnsi="Arial" w:eastAsia="Arial"/>
                <w:b w:val="false"/>
                <w:color w:val="000000"/>
                <w:sz w:val="21"/>
              </w:rPr>
              <w:t xml:space="preserve">146</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C2" w14:textId="001000C3">
            <w:pPr>
              <w:jc w:val="center"/>
            </w:pPr>
            <w:r>
              <w:rPr>
                <w:rFonts w:ascii="Arial" w:hAnsi="Arial" w:eastAsia="Arial"/>
                <w:b w:val="false"/>
                <w:color w:val="000000"/>
                <w:sz w:val="21"/>
              </w:rPr>
              <w:t xml:space="preserve">46</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C4" w14:textId="001000C5">
            <w:pPr>
              <w:jc w:val="center"/>
            </w:pPr>
            <w:r>
              <w:rPr>
                <w:rFonts w:ascii="Arial" w:hAnsi="Arial" w:eastAsia="Arial"/>
                <w:b w:val="false"/>
                <w:color w:val="000000"/>
                <w:sz w:val="21"/>
              </w:rPr>
              <w:t xml:space="preserve">94.0%</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C6" w14:textId="001000C7">
            <w:pPr>
              <w:jc w:val="center"/>
            </w:pPr>
            <w:r>
              <w:rPr>
                <w:rFonts w:ascii="Arial" w:hAnsi="Arial" w:eastAsia="Arial"/>
                <w:b w:val="false"/>
                <w:color w:val="000000"/>
                <w:sz w:val="21"/>
              </w:rPr>
              <w:t xml:space="preserve">4.4</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C8" w14:textId="001000C9">
            <w:pPr>
              <w:jc w:val="center"/>
            </w:pPr>
            <w:r>
              <w:rPr>
                <w:rFonts w:ascii="Arial" w:hAnsi="Arial" w:eastAsia="Arial"/>
                <w:b w:val="false"/>
                <w:color w:val="000000"/>
                <w:sz w:val="21"/>
              </w:rPr>
              <w:t xml:space="preserve">87</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CA" w14:textId="001000CB">
            <w:pPr>
              <w:jc w:val="center"/>
            </w:pPr>
            <w:r>
              <w:rPr>
                <w:rFonts w:ascii="Arial" w:hAnsi="Arial" w:eastAsia="Arial"/>
                <w:b w:val="false"/>
                <w:color w:val="000000"/>
                <w:sz w:val="21"/>
              </w:rPr>
              <w:t xml:space="preserve">85%</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CC" w14:textId="001000CD">
            <w:pPr>
              <w:jc w:val="left"/>
            </w:pPr>
            <w:r>
              <w:rPr>
                <w:rFonts w:ascii="Arial" w:hAnsi="Arial" w:eastAsia="Arial"/>
                <w:b w:val="false"/>
                <w:color w:val="000000"/>
                <w:sz w:val="21"/>
              </w:rPr>
              <w:t xml:space="preserve">Platform enablement</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CE" w14:textId="001000CF">
            <w:pPr>
              <w:jc w:val="center"/>
            </w:pPr>
            <w:r>
              <w:rPr>
                <w:rFonts w:ascii="Arial" w:hAnsi="Arial" w:eastAsia="Arial"/>
                <w:b w:val="false"/>
                <w:color w:val="000000"/>
                <w:sz w:val="21"/>
              </w:rPr>
              <w:t xml:space="preserve">62</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D0" w14:textId="001000D1">
            <w:pPr>
              <w:jc w:val="center"/>
            </w:pPr>
            <w:r>
              <w:rPr>
                <w:rFonts w:ascii="Arial" w:hAnsi="Arial" w:eastAsia="Arial"/>
                <w:b w:val="false"/>
                <w:color w:val="000000"/>
                <w:sz w:val="21"/>
              </w:rPr>
              <w:t xml:space="preserve">17</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D2" w14:textId="001000D3">
            <w:pPr>
              <w:jc w:val="center"/>
            </w:pPr>
            <w:r>
              <w:rPr>
                <w:rFonts w:ascii="Arial" w:hAnsi="Arial" w:eastAsia="Arial"/>
                <w:b w:val="false"/>
                <w:color w:val="000000"/>
                <w:sz w:val="21"/>
              </w:rPr>
              <w:t xml:space="preserve">96.8%</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D4" w14:textId="001000D5">
            <w:pPr>
              <w:jc w:val="center"/>
            </w:pPr>
            <w:r>
              <w:rPr>
                <w:rFonts w:ascii="Arial" w:hAnsi="Arial" w:eastAsia="Arial"/>
                <w:b w:val="false"/>
                <w:color w:val="000000"/>
                <w:sz w:val="21"/>
              </w:rPr>
              <w:t xml:space="preserve">4.5</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D6" w14:textId="001000D7">
            <w:pPr>
              <w:jc w:val="center"/>
            </w:pPr>
            <w:r>
              <w:rPr>
                <w:rFonts w:ascii="Arial" w:hAnsi="Arial" w:eastAsia="Arial"/>
                <w:b w:val="false"/>
                <w:color w:val="000000"/>
                <w:sz w:val="21"/>
              </w:rPr>
              <w:t xml:space="preserve">36</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D8" w14:textId="001000D9">
            <w:pPr>
              <w:jc w:val="center"/>
            </w:pPr>
            <w:r>
              <w:rPr>
                <w:rFonts w:ascii="Arial" w:hAnsi="Arial" w:eastAsia="Arial"/>
                <w:b w:val="false"/>
                <w:color w:val="000000"/>
                <w:sz w:val="21"/>
              </w:rPr>
              <w:t xml:space="preserve">82%</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DA" w14:textId="001000DB">
            <w:pPr>
              <w:jc w:val="left"/>
            </w:pPr>
            <w:r>
              <w:rPr>
                <w:rFonts w:ascii="Arial" w:hAnsi="Arial" w:eastAsia="Arial"/>
                <w:b w:val="false"/>
                <w:color w:val="000000"/>
                <w:sz w:val="21"/>
              </w:rPr>
              <w:t xml:space="preserve">Quarter total</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DC" w14:textId="001000DD">
            <w:pPr>
              <w:jc w:val="center"/>
            </w:pPr>
            <w:r>
              <w:rPr>
                <w:rFonts w:ascii="Arial" w:hAnsi="Arial" w:eastAsia="Arial"/>
                <w:b w:val="false"/>
                <w:color w:val="000000"/>
                <w:sz w:val="21"/>
              </w:rPr>
              <w:t xml:space="preserve">326</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DE" w14:textId="001000DF">
            <w:pPr>
              <w:jc w:val="center"/>
            </w:pPr>
            <w:r>
              <w:rPr>
                <w:rFonts w:ascii="Arial" w:hAnsi="Arial" w:eastAsia="Arial"/>
                <w:b w:val="false"/>
                <w:color w:val="000000"/>
                <w:sz w:val="21"/>
              </w:rPr>
              <w:t xml:space="preserve">87</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E0" w14:textId="001000E1">
            <w:pPr>
              <w:jc w:val="center"/>
            </w:pPr>
            <w:r>
              <w:rPr>
                <w:rFonts w:ascii="Arial" w:hAnsi="Arial" w:eastAsia="Arial"/>
                <w:b w:val="false"/>
                <w:color w:val="000000"/>
                <w:sz w:val="21"/>
              </w:rPr>
              <w:t xml:space="preserve">95.8%</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E2" w14:textId="001000E3">
            <w:pPr>
              <w:jc w:val="center"/>
            </w:pPr>
            <w:r>
              <w:rPr>
                <w:rFonts w:ascii="Arial" w:hAnsi="Arial" w:eastAsia="Arial"/>
                <w:b w:val="false"/>
                <w:color w:val="000000"/>
                <w:sz w:val="21"/>
              </w:rPr>
              <w:t xml:space="preserve">4.5</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E4" w14:textId="001000E5">
            <w:pPr>
              <w:jc w:val="center"/>
            </w:pPr>
            <w:r>
              <w:rPr>
                <w:rFonts w:ascii="Arial" w:hAnsi="Arial" w:eastAsia="Arial"/>
                <w:b w:val="false"/>
                <w:color w:val="000000"/>
                <w:sz w:val="21"/>
              </w:rPr>
              <w:t xml:space="preserve">168</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0E6" w14:textId="001000E7">
            <w:pPr>
              <w:jc w:val="center"/>
            </w:pPr>
            <w:r>
              <w:rPr>
                <w:rFonts w:ascii="Arial" w:hAnsi="Arial" w:eastAsia="Arial"/>
                <w:b w:val="false"/>
                <w:color w:val="000000"/>
                <w:sz w:val="21"/>
              </w:rPr>
              <w:t xml:space="preserve">83%</w:t>
            </w:r>
          </w:p>
        </w:tc>
      </w:tr>
    </w:tbl>
    <w:p w14:paraId="001000E8" w14:textId="001000E9">
      <w:pPr>
        <w:pStyle w:val="Caption"/>
      </w:pPr>
      <w:r>
        <w:rPr/>
        <w:t xml:space="preserve">Table 1 Delivery scorecard. Totals are weighted where appropriate; displayed values are rounded.</w:t>
      </w:r>
    </w:p>
    <w:p w14:paraId="001000EA" w14:textId="001000EB">
      <w:pPr>
        <w:pStyle w:val="Normal"/>
        <w:spacing w:before="80" w:after="160"/>
      </w:pPr>
      <w:r>
        <w:rPr/>
        <w:t xml:space="preserve"/>
      </w:r>
      <w:r>
        <w:drawing>
          <wp:inline distT="0" distB="0" distL="0" distR="0">
            <wp:extent cx="6309360" cy="1971675"/>
            <wp:effectExtent l="0" t="0" r="0" b="0"/>
            <wp:docPr id="1" name="Fictional monthly revenue and plan in USD millions for July August and September 2026" descr="Fictional monthly revenue and plan in USD millions for July August and September 2026"/>
            <wp:cNvGraphicFramePr>
              <a:graphicFrameLocks noChangeAspect="1"/>
            </wp:cNvGraphicFramePr>
            <a:graphic>
              <a:graphicData uri="http://schemas.openxmlformats.org/drawingml/2006/picture">
                <pic:pic>
                  <pic:nvPicPr>
                    <pic:cNvPr id="1" name="Fictional monthly revenue and plan in USD millions for July August and September 2026"/>
                    <pic:cNvPicPr/>
                  </pic:nvPicPr>
                  <pic:blipFill>
                    <a:blip r:embed="R5047de65f0374e95" cstate="print"/>
                    <a:stretch>
                      <a:fillRect/>
                    </a:stretch>
                  </pic:blipFill>
                  <pic:spPr>
                    <a:xfrm>
                      <a:off x="0" y="0"/>
                      <a:ext cx="6309360" cy="1971675"/>
                    </a:xfrm>
                    <a:prstGeom prst="rect">
                      <a:avLst/>
                    </a:prstGeom>
                  </pic:spPr>
                </pic:pic>
              </a:graphicData>
            </a:graphic>
          </wp:inline>
        </w:drawing>
      </w:r>
    </w:p>
    <w:p w14:paraId="001000EC" w14:textId="001000ED">
      <w:pPr>
        <w:pStyle w:val="Caption"/>
      </w:pPr>
      <w:r>
        <w:rPr/>
        <w:t xml:space="preserve">Figure 1 Monthly revenue and plan. Actual 1.52 plus 1.57 plus 1.73 equals the quarterly total of USD 4.82 million.</w:t>
      </w:r>
    </w:p>
    <w:p w14:paraId="001000EE" w14:textId="001000EF">
      <w:pPr>
        <w:pStyle w:val="Normal"/>
      </w:pPr>
      <w:r>
        <w:rPr/>
        <w:t xml:space="preserve">September was the strongest month, but the quarter did not end with an unusual spike in completed engagements. The operating review should therefore track both invoicing and completion dates to avoid interpreting billing timing as a change in customer demand.</w:t>
      </w:r>
    </w:p>
    <w:p w14:paraId="001000F0" w14:textId="001000F1">
      <w:pPr>
        <w:pStyle w:val="Heading1"/>
        <w:keepNext/>
        <w:pageBreakBefore/>
      </w:pPr>
      <w:r>
        <w:rPr/>
        <w:t xml:space="preserve">Customers and quality</w:t>
      </w:r>
      <w:bookmarkStart w:name="customers" w:id="4"/>
      <w:bookmarkEnd w:id="4"/>
    </w:p>
    <w:p w14:paraId="001000F2" w14:textId="001000F3">
      <w:pPr>
        <w:pStyle w:val="Normal"/>
      </w:pPr>
      <w:r>
        <w:rPr/>
        <w:t xml:space="preserve">Active customers increased from 37 to 42 across the three service lines. No customer represented more than one tenth of revenue. Six large renewals fall in the next quarter, making handover quality a retention priority.</w:t>
      </w:r>
    </w:p>
    <w:p w14:paraId="001000F4" w14:textId="001000F5">
      <w:pPr>
        <w:pStyle w:val="Normal"/>
        <w:spacing w:before="80" w:after="160"/>
      </w:pPr>
      <w:r>
        <w:rPr/>
        <w:t xml:space="preserve"/>
      </w:r>
      <w:r>
        <w:drawing>
          <wp:anchor distT="0" distB="0" distL="114300" distR="114300" simplePos="0" relativeHeight="1" behindDoc="0" locked="0" layoutInCell="1" allowOverlap="1">
            <wp:simplePos x="0" y="0"/>
            <wp:positionH relativeFrom="margin">
              <wp:align>right</wp:align>
            </wp:positionH>
            <wp:positionV relativeFrom="paragraph">
              <wp:posOffset>0</wp:posOffset>
            </wp:positionV>
            <wp:extent cx="2011680" cy="2212848"/>
            <wp:effectExtent l="0" t="0" r="0" b="0"/>
            <wp:wrapSquare wrapText="bothSides"/>
            <wp:docPr id="2" name="The fictional service cycle from intake through capacity check delivery and review" descr="The fictional service cycle from intake through capacity check delivery and review"/>
            <wp:cNvGraphicFramePr>
              <a:graphicFrameLocks noChangeAspect="1"/>
            </wp:cNvGraphicFramePr>
            <a:graphic>
              <a:graphicData uri="http://schemas.openxmlformats.org/drawingml/2006/picture">
                <pic:pic>
                  <pic:nvPicPr>
                    <pic:cNvPr id="2" name="The fictional service cycle from intake through capacity check delivery and review"/>
                    <pic:cNvPicPr/>
                  </pic:nvPicPr>
                  <pic:blipFill>
                    <a:blip r:embed="R63619884b9754a3d" cstate="print"/>
                    <a:stretch>
                      <a:fillRect/>
                    </a:stretch>
                  </pic:blipFill>
                  <pic:spPr>
                    <a:xfrm>
                      <a:off x="0" y="0"/>
                      <a:ext cx="2011680" cy="2212848"/>
                    </a:xfrm>
                    <a:prstGeom prst="rect">
                      <a:avLst/>
                    </a:prstGeom>
                  </pic:spPr>
                </pic:pic>
              </a:graphicData>
            </a:graphic>
          </wp:anchor>
        </w:drawing>
      </w:r>
    </w:p>
    <w:p w14:paraId="001000F6" w14:textId="001000F7">
      <w:pPr>
        <w:pStyle w:val="Heading2"/>
        <w:keepNext/>
      </w:pPr>
      <w:r>
        <w:rPr/>
        <w:t xml:space="preserve">A consistent service cycle</w:t>
      </w:r>
    </w:p>
    <w:p w14:paraId="001000F8" w14:textId="001000F9">
      <w:pPr>
        <w:pStyle w:val="Normal"/>
      </w:pPr>
      <w:r>
        <w:rPr/>
        <w:t xml:space="preserve">Agree the outcome and owner before checking specialist availability. Promise a date only after that check. At delivery, record acceptance and assign any remaining work.</w:t>
      </w:r>
    </w:p>
    <w:p w14:paraId="001000FA" w14:textId="001000FB">
      <w:pPr>
        <w:pStyle w:val="Normal"/>
      </w:pPr>
      <w:r>
        <w:rPr/>
        <w:t xml:space="preserve">Review customer concerns as specific process changes. Carry those lessons into the next capacity review while they can still change a delivery decision.</w:t>
      </w:r>
    </w:p>
    <w:p w14:paraId="001000FC" w14:textId="001000FD">
      <w:pPr>
        <w:pStyle w:val="Heading2"/>
        <w:keepNext/>
      </w:pPr>
      <w:r>
        <w:rPr/>
        <w:t xml:space="preserve">Quality signals</w:t>
      </w:r>
    </w:p>
    <w:tbl>
      <w:tblPr>
        <w:tblW w:w="9936" w:type="dxa"/>
        <w:tblBorders>
          <w:top w:val="single" w:color="D9D9D9" w:sz="4"/>
          <w:left w:val="single" w:color="D9D9D9" w:sz="4"/>
          <w:bottom w:val="single" w:color="D9D9D9" w:sz="4"/>
          <w:right w:val="single" w:color="D9D9D9" w:sz="4"/>
          <w:insideH w:val="single" w:color="D9D9D9" w:sz="4"/>
          <w:insideV w:val="single" w:color="D9D9D9" w:sz="4"/>
        </w:tblBorders>
        <w:tblLayout w:type="fixed"/>
        <w:tblCellMar>
          <w:top w:w="100" w:type="dxa"/>
          <w:left w:w="100" w:type="dxa"/>
          <w:bottom w:w="100" w:type="dxa"/>
          <w:right w:w="100" w:type="dxa"/>
        </w:tblCellMar>
      </w:tblPr>
      <w:tblGrid>
        <w:gridCol w:w="2952"/>
        <w:gridCol w:w="1440"/>
        <w:gridCol w:w="1440"/>
        <w:gridCol w:w="4104"/>
      </w:tblGrid>
      <w:tr>
        <w:trPr>
          <w:tblHeader/>
        </w:trPr>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0FE" w14:textId="001000FF">
            <w:pPr>
              <w:jc w:val="left"/>
            </w:pPr>
            <w:r>
              <w:rPr>
                <w:rFonts w:ascii="Arial" w:hAnsi="Arial" w:eastAsia="Arial"/>
                <w:b/>
                <w:color w:val="000000"/>
                <w:sz w:val="20"/>
              </w:rPr>
              <w:t xml:space="preserve">Measure</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00" w14:textId="00100101">
            <w:pPr>
              <w:jc w:val="center"/>
            </w:pPr>
            <w:r>
              <w:rPr>
                <w:rFonts w:ascii="Arial" w:hAnsi="Arial" w:eastAsia="Arial"/>
                <w:b/>
                <w:color w:val="000000"/>
                <w:sz w:val="20"/>
              </w:rPr>
              <w:t xml:space="preserve">Q2</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02" w14:textId="00100103">
            <w:pPr>
              <w:jc w:val="center"/>
            </w:pPr>
            <w:r>
              <w:rPr>
                <w:rFonts w:ascii="Arial" w:hAnsi="Arial" w:eastAsia="Arial"/>
                <w:b/>
                <w:color w:val="000000"/>
                <w:sz w:val="20"/>
              </w:rPr>
              <w:t xml:space="preserve">Q3</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04" w14:textId="00100105">
            <w:pPr>
              <w:jc w:val="left"/>
            </w:pPr>
            <w:r>
              <w:rPr>
                <w:rFonts w:ascii="Arial" w:hAnsi="Arial" w:eastAsia="Arial"/>
                <w:b/>
                <w:color w:val="000000"/>
                <w:sz w:val="20"/>
              </w:rPr>
              <w:t xml:space="preserve">Interpretation</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06" w14:textId="00100107">
            <w:pPr>
              <w:jc w:val="left"/>
            </w:pPr>
            <w:r>
              <w:rPr>
                <w:rFonts w:ascii="Arial" w:hAnsi="Arial" w:eastAsia="Arial"/>
                <w:b w:val="false"/>
                <w:color w:val="000000"/>
                <w:sz w:val="21"/>
              </w:rPr>
              <w:t xml:space="preserve">Confirmed service incidents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08" w14:textId="00100109">
            <w:pPr>
              <w:jc w:val="center"/>
            </w:pPr>
            <w:r>
              <w:rPr>
                <w:rFonts w:ascii="Arial" w:hAnsi="Arial" w:eastAsia="Arial"/>
                <w:b w:val="false"/>
                <w:color w:val="000000"/>
                <w:sz w:val="21"/>
              </w:rPr>
              <w:t xml:space="preserve">21</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0A" w14:textId="0010010B">
            <w:pPr>
              <w:jc w:val="center"/>
            </w:pPr>
            <w:r>
              <w:rPr>
                <w:rFonts w:ascii="Arial" w:hAnsi="Arial" w:eastAsia="Arial"/>
                <w:b w:val="false"/>
                <w:color w:val="000000"/>
                <w:sz w:val="21"/>
              </w:rPr>
              <w:t xml:space="preserve">17</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0C" w14:textId="0010010D">
            <w:pPr>
              <w:jc w:val="left"/>
            </w:pPr>
            <w:r>
              <w:rPr>
                <w:rFonts w:ascii="Arial" w:hAnsi="Arial" w:eastAsia="Arial"/>
                <w:b w:val="false"/>
                <w:color w:val="000000"/>
                <w:sz w:val="21"/>
              </w:rPr>
              <w:t xml:space="preserve">Fewer repeat issues after handover checks.</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0E" w14:textId="0010010F">
            <w:pPr>
              <w:jc w:val="left"/>
            </w:pPr>
            <w:r>
              <w:rPr>
                <w:rFonts w:ascii="Arial" w:hAnsi="Arial" w:eastAsia="Arial"/>
                <w:b w:val="false"/>
                <w:color w:val="000000"/>
                <w:sz w:val="21"/>
              </w:rPr>
              <w:t xml:space="preserve">Median issue response time</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10" w14:textId="00100111">
            <w:pPr>
              <w:jc w:val="center"/>
            </w:pPr>
            <w:r>
              <w:rPr>
                <w:rFonts w:ascii="Arial" w:hAnsi="Arial" w:eastAsia="Arial"/>
                <w:b w:val="false"/>
                <w:color w:val="000000"/>
                <w:sz w:val="21"/>
              </w:rPr>
              <w:t xml:space="preserve">5.2 hours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12" w14:textId="00100113">
            <w:pPr>
              <w:jc w:val="center"/>
            </w:pPr>
            <w:r>
              <w:rPr>
                <w:rFonts w:ascii="Arial" w:hAnsi="Arial" w:eastAsia="Arial"/>
                <w:b w:val="false"/>
                <w:color w:val="000000"/>
                <w:sz w:val="21"/>
              </w:rPr>
              <w:t xml:space="preserve">4.1 hours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14" w14:textId="00100115">
            <w:pPr>
              <w:jc w:val="left"/>
            </w:pPr>
            <w:r>
              <w:rPr>
                <w:rFonts w:ascii="Arial" w:hAnsi="Arial" w:eastAsia="Arial"/>
                <w:b w:val="false"/>
                <w:color w:val="000000"/>
                <w:sz w:val="21"/>
              </w:rPr>
              <w:t xml:space="preserve">Faster initial ownership of reported issues.</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16" w14:textId="00100117">
            <w:pPr>
              <w:jc w:val="left"/>
            </w:pPr>
            <w:r>
              <w:rPr>
                <w:rFonts w:ascii="Arial" w:hAnsi="Arial" w:eastAsia="Arial"/>
                <w:b w:val="false"/>
                <w:color w:val="000000"/>
                <w:sz w:val="21"/>
              </w:rPr>
              <w:t xml:space="preserve">Customer survey responses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18" w14:textId="00100119">
            <w:pPr>
              <w:jc w:val="center"/>
            </w:pPr>
            <w:r>
              <w:rPr>
                <w:rFonts w:ascii="Arial" w:hAnsi="Arial" w:eastAsia="Arial"/>
                <w:b w:val="false"/>
                <w:color w:val="000000"/>
                <w:sz w:val="21"/>
              </w:rPr>
              <w:t xml:space="preserve">104</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1A" w14:textId="0010011B">
            <w:pPr>
              <w:jc w:val="center"/>
            </w:pPr>
            <w:r>
              <w:rPr>
                <w:rFonts w:ascii="Arial" w:hAnsi="Arial" w:eastAsia="Arial"/>
                <w:b w:val="false"/>
                <w:color w:val="000000"/>
                <w:sz w:val="21"/>
              </w:rPr>
              <w:t xml:space="preserve">126</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1C" w14:textId="0010011D">
            <w:pPr>
              <w:jc w:val="left"/>
            </w:pPr>
            <w:r>
              <w:rPr>
                <w:rFonts w:ascii="Arial" w:hAnsi="Arial" w:eastAsia="Arial"/>
                <w:b w:val="false"/>
                <w:color w:val="000000"/>
                <w:sz w:val="21"/>
              </w:rPr>
              <w:t xml:space="preserve">A wider response base supports the comparison.</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1E" w14:textId="0010011F">
            <w:pPr>
              <w:jc w:val="left"/>
            </w:pPr>
            <w:r>
              <w:rPr>
                <w:rFonts w:ascii="Arial" w:hAnsi="Arial" w:eastAsia="Arial"/>
                <w:b w:val="false"/>
                <w:color w:val="000000"/>
                <w:sz w:val="21"/>
              </w:rPr>
              <w:t xml:space="preserve">Net promoter score</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20" w14:textId="00100121">
            <w:pPr>
              <w:jc w:val="center"/>
            </w:pPr>
            <w:r>
              <w:rPr>
                <w:rFonts w:ascii="Arial" w:hAnsi="Arial" w:eastAsia="Arial"/>
                <w:b w:val="false"/>
                <w:color w:val="000000"/>
                <w:sz w:val="21"/>
              </w:rPr>
              <w:t xml:space="preserve">43</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22" w14:textId="00100123">
            <w:pPr>
              <w:jc w:val="center"/>
            </w:pPr>
            <w:r>
              <w:rPr>
                <w:rFonts w:ascii="Arial" w:hAnsi="Arial" w:eastAsia="Arial"/>
                <w:b w:val="false"/>
                <w:color w:val="000000"/>
                <w:sz w:val="21"/>
              </w:rPr>
              <w:t xml:space="preserve">46</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24" w14:textId="00100125">
            <w:pPr>
              <w:jc w:val="left"/>
            </w:pPr>
            <w:r>
              <w:rPr>
                <w:rFonts w:ascii="Arial" w:hAnsi="Arial" w:eastAsia="Arial"/>
                <w:b w:val="false"/>
                <w:color w:val="000000"/>
                <w:sz w:val="21"/>
              </w:rPr>
              <w:t xml:space="preserve">Positive direction with normal sampling uncertainty.</w:t>
            </w:r>
          </w:p>
        </w:tc>
      </w:tr>
    </w:tbl>
    <w:p w14:paraId="00100126" w14:textId="00100127">
      <w:pPr>
        <w:pStyle w:val="Caption"/>
      </w:pPr>
      <w:r>
        <w:rPr/>
        <w:t xml:space="preserve">Table 2 Fictional reporting population. These values are not industry benchmarks.</w:t>
      </w:r>
    </w:p>
    <w:p w14:paraId="00100128" w14:textId="00100129">
      <w:pPr>
        <w:pStyle w:val="Normal"/>
      </w:pPr>
      <w:r>
        <w:rPr/>
        <w:t xml:space="preserve">Read individual comments alongside the scores. Separate recurring problems from one off preferences, and confirm that the agreed action reached the customer.</w:t>
      </w:r>
    </w:p>
    <w:p w14:paraId="0010012A" w14:textId="0010012B">
      <w:pPr>
        <w:pStyle w:val="Heading1"/>
        <w:keepNext/>
        <w:pageBreakBefore/>
      </w:pPr>
      <w:r>
        <w:rPr/>
        <w:t xml:space="preserve">Risks and controls</w:t>
      </w:r>
      <w:bookmarkStart w:name="risks" w:id="5"/>
      <w:bookmarkEnd w:id="5"/>
    </w:p>
    <w:p w14:paraId="0010012C" w14:textId="0010012D">
      <w:pPr>
        <w:pStyle w:val="Normal"/>
      </w:pPr>
      <w:r>
        <w:rPr/>
        <w:t xml:space="preserve">The risk register focuses on events that could change a decision in the next quarter. Likelihood and impact are assessed on a three level scale. The owner is responsible for the next evidence check, not merely for reporting that a control exists.</w:t>
      </w:r>
    </w:p>
    <w:tbl>
      <w:tblPr>
        <w:tblW w:w="9936" w:type="dxa"/>
        <w:tblBorders>
          <w:top w:val="single" w:color="D9D9D9" w:sz="4"/>
          <w:left w:val="single" w:color="D9D9D9" w:sz="4"/>
          <w:bottom w:val="single" w:color="D9D9D9" w:sz="4"/>
          <w:right w:val="single" w:color="D9D9D9" w:sz="4"/>
          <w:insideH w:val="single" w:color="D9D9D9" w:sz="4"/>
          <w:insideV w:val="single" w:color="D9D9D9" w:sz="4"/>
        </w:tblBorders>
        <w:tblLayout w:type="fixed"/>
        <w:tblCellMar>
          <w:top w:w="100" w:type="dxa"/>
          <w:left w:w="100" w:type="dxa"/>
          <w:bottom w:w="100" w:type="dxa"/>
          <w:right w:w="100" w:type="dxa"/>
        </w:tblCellMar>
      </w:tblPr>
      <w:tblGrid>
        <w:gridCol w:w="1728"/>
        <w:gridCol w:w="1512"/>
        <w:gridCol w:w="1224"/>
        <w:gridCol w:w="2592"/>
        <w:gridCol w:w="2880"/>
      </w:tblGrid>
      <w:tr>
        <w:trPr>
          <w:tblHeader/>
        </w:trPr>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2E" w14:textId="0010012F">
            <w:pPr>
              <w:jc w:val="left"/>
            </w:pPr>
            <w:r>
              <w:rPr>
                <w:rFonts w:ascii="Arial" w:hAnsi="Arial" w:eastAsia="Arial"/>
                <w:b/>
                <w:color w:val="000000"/>
                <w:sz w:val="20"/>
              </w:rPr>
              <w:t xml:space="preserve">Risk</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30" w14:textId="00100131">
            <w:pPr>
              <w:jc w:val="left"/>
            </w:pPr>
            <w:r>
              <w:rPr>
                <w:rFonts w:ascii="Arial" w:hAnsi="Arial" w:eastAsia="Arial"/>
                <w:b/>
                <w:color w:val="000000"/>
                <w:sz w:val="20"/>
              </w:rPr>
              <w:t xml:space="preserve">Likelihood</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32" w14:textId="00100133">
            <w:pPr>
              <w:jc w:val="left"/>
            </w:pPr>
            <w:r>
              <w:rPr>
                <w:rFonts w:ascii="Arial" w:hAnsi="Arial" w:eastAsia="Arial"/>
                <w:b/>
                <w:color w:val="000000"/>
                <w:sz w:val="20"/>
              </w:rPr>
              <w:t xml:space="preserve">Impact</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34" w14:textId="00100135">
            <w:pPr>
              <w:jc w:val="left"/>
            </w:pPr>
            <w:r>
              <w:rPr>
                <w:rFonts w:ascii="Arial" w:hAnsi="Arial" w:eastAsia="Arial"/>
                <w:b/>
                <w:color w:val="000000"/>
                <w:sz w:val="20"/>
              </w:rPr>
              <w:t xml:space="preserve">Current control</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36" w14:textId="00100137">
            <w:pPr>
              <w:jc w:val="left"/>
            </w:pPr>
            <w:r>
              <w:rPr>
                <w:rFonts w:ascii="Arial" w:hAnsi="Arial" w:eastAsia="Arial"/>
                <w:b/>
                <w:color w:val="000000"/>
                <w:sz w:val="20"/>
              </w:rPr>
              <w:t xml:space="preserve">Next evidence and owner</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38" w14:textId="00100139">
            <w:pPr>
              <w:jc w:val="left"/>
            </w:pPr>
            <w:r>
              <w:rPr>
                <w:rFonts w:ascii="Arial" w:hAnsi="Arial" w:eastAsia="Arial"/>
                <w:b w:val="false"/>
                <w:color w:val="000000"/>
                <w:sz w:val="21"/>
              </w:rPr>
              <w:t xml:space="preserve">Specialist capacity</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3A" w14:textId="0010013B">
            <w:pPr>
              <w:jc w:val="left"/>
            </w:pPr>
            <w:r>
              <w:rPr>
                <w:rFonts w:ascii="Arial" w:hAnsi="Arial" w:eastAsia="Arial"/>
                <w:b w:val="false"/>
                <w:color w:val="000000"/>
                <w:sz w:val="21"/>
              </w:rPr>
              <w:t xml:space="preserve">Medium</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3C" w14:textId="0010013D">
            <w:pPr>
              <w:jc w:val="left"/>
            </w:pPr>
            <w:r>
              <w:rPr>
                <w:rFonts w:ascii="Arial" w:hAnsi="Arial" w:eastAsia="Arial"/>
                <w:b w:val="false"/>
                <w:color w:val="000000"/>
                <w:sz w:val="21"/>
              </w:rPr>
              <w:t xml:space="preserve">High</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3E" w14:textId="0010013F">
            <w:pPr>
              <w:jc w:val="left"/>
            </w:pPr>
            <w:r>
              <w:rPr>
                <w:rFonts w:ascii="Arial" w:hAnsi="Arial" w:eastAsia="Arial"/>
                <w:b w:val="false"/>
                <w:color w:val="000000"/>
                <w:sz w:val="21"/>
              </w:rPr>
              <w:t xml:space="preserve">Weekly allocation review and two stage hiring.</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40" w14:textId="00100141">
            <w:pPr>
              <w:jc w:val="left"/>
            </w:pPr>
            <w:r>
              <w:rPr>
                <w:rFonts w:ascii="Arial" w:hAnsi="Arial" w:eastAsia="Arial"/>
                <w:b w:val="false"/>
                <w:color w:val="000000"/>
                <w:sz w:val="21"/>
              </w:rPr>
              <w:t xml:space="preserve">Signed demand and hiring gate  Operations</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42" w14:textId="00100143">
            <w:pPr>
              <w:jc w:val="left"/>
            </w:pPr>
            <w:r>
              <w:rPr>
                <w:rFonts w:ascii="Arial" w:hAnsi="Arial" w:eastAsia="Arial"/>
                <w:b w:val="false"/>
                <w:color w:val="000000"/>
                <w:sz w:val="21"/>
              </w:rPr>
              <w:t xml:space="preserve">Renewal concentration</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44" w14:textId="00100145">
            <w:pPr>
              <w:jc w:val="left"/>
            </w:pPr>
            <w:r>
              <w:rPr>
                <w:rFonts w:ascii="Arial" w:hAnsi="Arial" w:eastAsia="Arial"/>
                <w:b w:val="false"/>
                <w:color w:val="000000"/>
                <w:sz w:val="21"/>
              </w:rPr>
              <w:t xml:space="preserve">Medium</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46" w14:textId="00100147">
            <w:pPr>
              <w:jc w:val="left"/>
            </w:pPr>
            <w:r>
              <w:rPr>
                <w:rFonts w:ascii="Arial" w:hAnsi="Arial" w:eastAsia="Arial"/>
                <w:b w:val="false"/>
                <w:color w:val="000000"/>
                <w:sz w:val="21"/>
              </w:rPr>
              <w:t xml:space="preserve">High</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48" w14:textId="00100149">
            <w:pPr>
              <w:jc w:val="left"/>
            </w:pPr>
            <w:r>
              <w:rPr>
                <w:rFonts w:ascii="Arial" w:hAnsi="Arial" w:eastAsia="Arial"/>
                <w:b w:val="false"/>
                <w:color w:val="000000"/>
                <w:sz w:val="21"/>
              </w:rPr>
              <w:t xml:space="preserve">Named sponsor and backup for six major renewals.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4A" w14:textId="0010014B">
            <w:pPr>
              <w:jc w:val="left"/>
            </w:pPr>
            <w:r>
              <w:rPr>
                <w:rFonts w:ascii="Arial" w:hAnsi="Arial" w:eastAsia="Arial"/>
                <w:b w:val="false"/>
                <w:color w:val="000000"/>
                <w:sz w:val="21"/>
              </w:rPr>
              <w:t xml:space="preserve">Documented renewal plans  Customer team</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4C" w14:textId="0010014D">
            <w:pPr>
              <w:jc w:val="left"/>
            </w:pPr>
            <w:r>
              <w:rPr>
                <w:rFonts w:ascii="Arial" w:hAnsi="Arial" w:eastAsia="Arial"/>
                <w:b w:val="false"/>
                <w:color w:val="000000"/>
                <w:sz w:val="21"/>
              </w:rPr>
              <w:t xml:space="preserve">Supplier interruption</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4E" w14:textId="0010014F">
            <w:pPr>
              <w:jc w:val="left"/>
            </w:pPr>
            <w:r>
              <w:rPr>
                <w:rFonts w:ascii="Arial" w:hAnsi="Arial" w:eastAsia="Arial"/>
                <w:b w:val="false"/>
                <w:color w:val="000000"/>
                <w:sz w:val="21"/>
              </w:rPr>
              <w:t xml:space="preserve">Low</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50" w14:textId="00100151">
            <w:pPr>
              <w:jc w:val="left"/>
            </w:pPr>
            <w:r>
              <w:rPr>
                <w:rFonts w:ascii="Arial" w:hAnsi="Arial" w:eastAsia="Arial"/>
                <w:b w:val="false"/>
                <w:color w:val="000000"/>
                <w:sz w:val="21"/>
              </w:rPr>
              <w:t xml:space="preserve">High</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52" w14:textId="00100153">
            <w:pPr>
              <w:jc w:val="left"/>
            </w:pPr>
            <w:r>
              <w:rPr>
                <w:rFonts w:ascii="Arial" w:hAnsi="Arial" w:eastAsia="Arial"/>
                <w:b w:val="false"/>
                <w:color w:val="000000"/>
                <w:sz w:val="21"/>
              </w:rPr>
              <w:t xml:space="preserve">Secondary route and documented recovery steps.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54" w14:textId="00100155">
            <w:pPr>
              <w:jc w:val="left"/>
            </w:pPr>
            <w:r>
              <w:rPr>
                <w:rFonts w:ascii="Arial" w:hAnsi="Arial" w:eastAsia="Arial"/>
                <w:b w:val="false"/>
                <w:color w:val="000000"/>
                <w:sz w:val="21"/>
              </w:rPr>
              <w:t xml:space="preserve">Observed fallback test  Technology</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56" w14:textId="00100157">
            <w:pPr>
              <w:jc w:val="left"/>
            </w:pPr>
            <w:r>
              <w:rPr>
                <w:rFonts w:ascii="Arial" w:hAnsi="Arial" w:eastAsia="Arial"/>
                <w:b w:val="false"/>
                <w:color w:val="000000"/>
                <w:sz w:val="21"/>
              </w:rPr>
              <w:t xml:space="preserve">Unplanned rework</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58" w14:textId="00100159">
            <w:pPr>
              <w:jc w:val="left"/>
            </w:pPr>
            <w:r>
              <w:rPr>
                <w:rFonts w:ascii="Arial" w:hAnsi="Arial" w:eastAsia="Arial"/>
                <w:b w:val="false"/>
                <w:color w:val="000000"/>
                <w:sz w:val="21"/>
              </w:rPr>
              <w:t xml:space="preserve">Medium</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5A" w14:textId="0010015B">
            <w:pPr>
              <w:jc w:val="left"/>
            </w:pPr>
            <w:r>
              <w:rPr>
                <w:rFonts w:ascii="Arial" w:hAnsi="Arial" w:eastAsia="Arial"/>
                <w:b w:val="false"/>
                <w:color w:val="000000"/>
                <w:sz w:val="21"/>
              </w:rPr>
              <w:t xml:space="preserve">Medium</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5C" w14:textId="0010015D">
            <w:pPr>
              <w:jc w:val="left"/>
            </w:pPr>
            <w:r>
              <w:rPr>
                <w:rFonts w:ascii="Arial" w:hAnsi="Arial" w:eastAsia="Arial"/>
                <w:b w:val="false"/>
                <w:color w:val="000000"/>
                <w:sz w:val="21"/>
              </w:rPr>
              <w:t xml:space="preserve">Acceptance criteria and peer review before handover.</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5E" w14:textId="0010015F">
            <w:pPr>
              <w:jc w:val="left"/>
            </w:pPr>
            <w:r>
              <w:rPr>
                <w:rFonts w:ascii="Arial" w:hAnsi="Arial" w:eastAsia="Arial"/>
                <w:b w:val="false"/>
                <w:color w:val="000000"/>
                <w:sz w:val="21"/>
              </w:rPr>
              <w:t xml:space="preserve">Repeat incident trend  Quality</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60" w14:textId="00100161">
            <w:pPr>
              <w:jc w:val="left"/>
            </w:pPr>
            <w:r>
              <w:rPr>
                <w:rFonts w:ascii="Arial" w:hAnsi="Arial" w:eastAsia="Arial"/>
                <w:b w:val="false"/>
                <w:color w:val="000000"/>
                <w:sz w:val="21"/>
              </w:rPr>
              <w:t xml:space="preserve">Data access errors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62" w14:textId="00100163">
            <w:pPr>
              <w:jc w:val="left"/>
            </w:pPr>
            <w:r>
              <w:rPr>
                <w:rFonts w:ascii="Arial" w:hAnsi="Arial" w:eastAsia="Arial"/>
                <w:b w:val="false"/>
                <w:color w:val="000000"/>
                <w:sz w:val="21"/>
              </w:rPr>
              <w:t xml:space="preserve">Low</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64" w14:textId="00100165">
            <w:pPr>
              <w:jc w:val="left"/>
            </w:pPr>
            <w:r>
              <w:rPr>
                <w:rFonts w:ascii="Arial" w:hAnsi="Arial" w:eastAsia="Arial"/>
                <w:b w:val="false"/>
                <w:color w:val="000000"/>
                <w:sz w:val="21"/>
              </w:rPr>
              <w:t xml:space="preserve">High</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66" w14:textId="00100167">
            <w:pPr>
              <w:jc w:val="left"/>
            </w:pPr>
            <w:r>
              <w:rPr>
                <w:rFonts w:ascii="Arial" w:hAnsi="Arial" w:eastAsia="Arial"/>
                <w:b w:val="false"/>
                <w:color w:val="000000"/>
                <w:sz w:val="21"/>
              </w:rPr>
              <w:t xml:space="preserve">Role review and time limited elevated access.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68" w14:textId="00100169">
            <w:pPr>
              <w:jc w:val="left"/>
            </w:pPr>
            <w:r>
              <w:rPr>
                <w:rFonts w:ascii="Arial" w:hAnsi="Arial" w:eastAsia="Arial"/>
                <w:b w:val="false"/>
                <w:color w:val="000000"/>
                <w:sz w:val="21"/>
              </w:rPr>
              <w:t xml:space="preserve">Completed access sample  Security</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6A" w14:textId="0010016B">
            <w:pPr>
              <w:jc w:val="left"/>
            </w:pPr>
            <w:r>
              <w:rPr>
                <w:rFonts w:ascii="Arial" w:hAnsi="Arial" w:eastAsia="Arial"/>
                <w:b w:val="false"/>
                <w:color w:val="000000"/>
                <w:sz w:val="21"/>
              </w:rPr>
              <w:t xml:space="preserve">Forecast optimism</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6C" w14:textId="0010016D">
            <w:pPr>
              <w:jc w:val="left"/>
            </w:pPr>
            <w:r>
              <w:rPr>
                <w:rFonts w:ascii="Arial" w:hAnsi="Arial" w:eastAsia="Arial"/>
                <w:b w:val="false"/>
                <w:color w:val="000000"/>
                <w:sz w:val="21"/>
              </w:rPr>
              <w:t xml:space="preserve">Medium</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6E" w14:textId="0010016F">
            <w:pPr>
              <w:jc w:val="left"/>
            </w:pPr>
            <w:r>
              <w:rPr>
                <w:rFonts w:ascii="Arial" w:hAnsi="Arial" w:eastAsia="Arial"/>
                <w:b w:val="false"/>
                <w:color w:val="000000"/>
                <w:sz w:val="21"/>
              </w:rPr>
              <w:t xml:space="preserve">Medium</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70" w14:textId="00100171">
            <w:pPr>
              <w:jc w:val="left"/>
            </w:pPr>
            <w:r>
              <w:rPr>
                <w:rFonts w:ascii="Arial" w:hAnsi="Arial" w:eastAsia="Arial"/>
                <w:b w:val="false"/>
                <w:color w:val="000000"/>
                <w:sz w:val="21"/>
              </w:rPr>
              <w:t xml:space="preserve">Separate contracted backlog from unapproved pipeline.</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72" w14:textId="00100173">
            <w:pPr>
              <w:jc w:val="left"/>
            </w:pPr>
            <w:r>
              <w:rPr>
                <w:rFonts w:ascii="Arial" w:hAnsi="Arial" w:eastAsia="Arial"/>
                <w:b w:val="false"/>
                <w:color w:val="000000"/>
                <w:sz w:val="21"/>
              </w:rPr>
              <w:t xml:space="preserve">Monthly reconciliation  Finance</w:t>
            </w:r>
          </w:p>
        </w:tc>
      </w:tr>
    </w:tbl>
    <w:p w14:paraId="00100174" w14:textId="00100175">
      <w:pPr>
        <w:pStyle w:val="Caption"/>
      </w:pPr>
      <w:r>
        <w:rPr/>
        <w:t xml:space="preserve">Table 3 A fictional risk register with proportionate controls and specific evidence checks.</w:t>
      </w:r>
    </w:p>
    <w:p w14:paraId="00100176" w14:textId="00100177">
      <w:pPr>
        <w:pStyle w:val="Heading2"/>
        <w:keepNext/>
      </w:pPr>
      <w:r>
        <w:rPr/>
        <w:t xml:space="preserve">Escalation and review</w:t>
      </w:r>
    </w:p>
    <w:p w14:paraId="00100178" w14:textId="00100179">
      <w:pPr>
        <w:pStyle w:val="Normal"/>
      </w:pPr>
      <w:r>
        <w:rPr/>
        <w:t xml:space="preserve">An owner should escalate when a promised control cannot be demonstrated, when a high impact event occurs, or when the review date passes without evidence. Escalation should name the decision required and the safe operating limit until it is made. A longer register is not the objective; a clear link from risk to action is.</w:t>
      </w:r>
    </w:p>
    <w:p w14:paraId="0010017A" w14:textId="0010017B">
      <w:pPr>
        <w:pStyle w:val="Normal"/>
      </w:pPr>
      <w:r>
        <w:rPr/>
        <w:t xml:space="preserve">The supplier continuity test is the most useful near term check because a written fallback can become outdated without visible symptoms. The test should record the time to resume service, the transactions reconciled and the remaining manual work. Those observations determine the next control improvement.</w:t>
      </w:r>
    </w:p>
    <w:p w14:paraId="0010017C" w14:textId="0010017D">
      <w:pPr>
        <w:pStyle w:val="Heading1"/>
        <w:keepNext/>
        <w:pageBreakBefore/>
      </w:pPr>
      <w:r>
        <w:rPr/>
        <w:t xml:space="preserve">Next ninety days</w:t>
      </w:r>
      <w:bookmarkStart w:name="actions" w:id="6"/>
      <w:bookmarkEnd w:id="6"/>
    </w:p>
    <w:p w14:paraId="0010017E" w14:textId="0010017F">
      <w:pPr>
        <w:pStyle w:val="Normal"/>
      </w:pPr>
      <w:r>
        <w:rPr/>
        <w:t xml:space="preserve">The plan converts the review into a short sequence of decisions and verifiable outcomes. The first month establishes ownership and baseline evidence. The second month tests the proposed controls. The third month checks whether the changes worked before the next quarterly review.</w:t>
      </w:r>
    </w:p>
    <w:tbl>
      <w:tblPr>
        <w:tblW w:w="9936" w:type="dxa"/>
        <w:tblBorders>
          <w:top w:val="single" w:color="D9D9D9" w:sz="4"/>
          <w:left w:val="single" w:color="D9D9D9" w:sz="4"/>
          <w:bottom w:val="single" w:color="D9D9D9" w:sz="4"/>
          <w:right w:val="single" w:color="D9D9D9" w:sz="4"/>
          <w:insideH w:val="single" w:color="D9D9D9" w:sz="4"/>
          <w:insideV w:val="single" w:color="D9D9D9" w:sz="4"/>
        </w:tblBorders>
        <w:tblLayout w:type="fixed"/>
        <w:tblCellMar>
          <w:top w:w="100" w:type="dxa"/>
          <w:left w:w="100" w:type="dxa"/>
          <w:bottom w:w="100" w:type="dxa"/>
          <w:right w:w="100" w:type="dxa"/>
        </w:tblCellMar>
      </w:tblPr>
      <w:tblGrid>
        <w:gridCol w:w="1368"/>
        <w:gridCol w:w="1944"/>
        <w:gridCol w:w="2664"/>
        <w:gridCol w:w="1512"/>
        <w:gridCol w:w="2448"/>
      </w:tblGrid>
      <w:tr>
        <w:trPr>
          <w:tblHeader/>
        </w:trPr>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80" w14:textId="00100181">
            <w:pPr>
              <w:jc w:val="left"/>
            </w:pPr>
            <w:r>
              <w:rPr>
                <w:rFonts w:ascii="Arial" w:hAnsi="Arial" w:eastAsia="Arial"/>
                <w:b/>
                <w:color w:val="000000"/>
                <w:sz w:val="20"/>
              </w:rPr>
              <w:t xml:space="preserve">Period</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82" w14:textId="00100183">
            <w:pPr>
              <w:jc w:val="left"/>
            </w:pPr>
            <w:r>
              <w:rPr>
                <w:rFonts w:ascii="Arial" w:hAnsi="Arial" w:eastAsia="Arial"/>
                <w:b/>
                <w:color w:val="000000"/>
                <w:sz w:val="20"/>
              </w:rPr>
              <w:t xml:space="preserve">Priority</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84" w14:textId="00100185">
            <w:pPr>
              <w:jc w:val="left"/>
            </w:pPr>
            <w:r>
              <w:rPr>
                <w:rFonts w:ascii="Arial" w:hAnsi="Arial" w:eastAsia="Arial"/>
                <w:b/>
                <w:color w:val="000000"/>
                <w:sz w:val="20"/>
              </w:rPr>
              <w:t xml:space="preserve">Deliverable</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86" w14:textId="00100187">
            <w:pPr>
              <w:jc w:val="left"/>
            </w:pPr>
            <w:r>
              <w:rPr>
                <w:rFonts w:ascii="Arial" w:hAnsi="Arial" w:eastAsia="Arial"/>
                <w:b/>
                <w:color w:val="000000"/>
                <w:sz w:val="20"/>
              </w:rPr>
              <w:t xml:space="preserve">Owner</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88" w14:textId="00100189">
            <w:pPr>
              <w:jc w:val="left"/>
            </w:pPr>
            <w:r>
              <w:rPr>
                <w:rFonts w:ascii="Arial" w:hAnsi="Arial" w:eastAsia="Arial"/>
                <w:b/>
                <w:color w:val="000000"/>
                <w:sz w:val="20"/>
              </w:rPr>
              <w:t xml:space="preserve">Completion evidence</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8A" w14:textId="0010018B">
            <w:pPr>
              <w:jc w:val="left"/>
            </w:pPr>
            <w:r>
              <w:rPr>
                <w:rFonts w:ascii="Arial" w:hAnsi="Arial" w:eastAsia="Arial"/>
                <w:b w:val="false"/>
                <w:color w:val="000000"/>
                <w:sz w:val="21"/>
              </w:rPr>
              <w:t xml:space="preserve">Days 1 to 30</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8C" w14:textId="0010018D">
            <w:pPr>
              <w:jc w:val="left"/>
            </w:pPr>
            <w:r>
              <w:rPr>
                <w:rFonts w:ascii="Arial" w:hAnsi="Arial" w:eastAsia="Arial"/>
                <w:b w:val="false"/>
                <w:color w:val="000000"/>
                <w:sz w:val="21"/>
              </w:rPr>
              <w:t xml:space="preserve">Confirm demand and ownership</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8E" w14:textId="0010018F">
            <w:pPr>
              <w:jc w:val="left"/>
            </w:pPr>
            <w:r>
              <w:rPr>
                <w:rFonts w:ascii="Arial" w:hAnsi="Arial" w:eastAsia="Arial"/>
                <w:b w:val="false"/>
                <w:color w:val="000000"/>
                <w:sz w:val="21"/>
              </w:rPr>
              <w:t xml:space="preserve">Signed demand view and renewal plans.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90" w14:textId="00100191">
            <w:pPr>
              <w:jc w:val="left"/>
            </w:pPr>
            <w:r>
              <w:rPr>
                <w:rFonts w:ascii="Arial" w:hAnsi="Arial" w:eastAsia="Arial"/>
                <w:b w:val="false"/>
                <w:color w:val="000000"/>
                <w:sz w:val="21"/>
              </w:rPr>
              <w:t xml:space="preserve">Operations and Customer</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92" w14:textId="00100193">
            <w:pPr>
              <w:jc w:val="left"/>
            </w:pPr>
            <w:r>
              <w:rPr>
                <w:rFonts w:ascii="Arial" w:hAnsi="Arial" w:eastAsia="Arial"/>
                <w:b w:val="false"/>
                <w:color w:val="000000"/>
                <w:sz w:val="21"/>
              </w:rPr>
              <w:t xml:space="preserve">Approved allocation and six plans.</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94" w14:textId="00100195">
            <w:pPr>
              <w:jc w:val="left"/>
            </w:pPr>
            <w:r>
              <w:rPr>
                <w:rFonts w:ascii="Arial" w:hAnsi="Arial" w:eastAsia="Arial"/>
                <w:b w:val="false"/>
                <w:color w:val="000000"/>
                <w:sz w:val="21"/>
              </w:rPr>
              <w:t xml:space="preserve">Days 1 to 30</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96" w14:textId="00100197">
            <w:pPr>
              <w:jc w:val="left"/>
            </w:pPr>
            <w:r>
              <w:rPr>
                <w:rFonts w:ascii="Arial" w:hAnsi="Arial" w:eastAsia="Arial"/>
                <w:b w:val="false"/>
                <w:color w:val="000000"/>
                <w:sz w:val="21"/>
              </w:rPr>
              <w:t xml:space="preserve">Complete access review</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98" w14:textId="00100199">
            <w:pPr>
              <w:jc w:val="left"/>
            </w:pPr>
            <w:r>
              <w:rPr>
                <w:rFonts w:ascii="Arial" w:hAnsi="Arial" w:eastAsia="Arial"/>
                <w:b w:val="false"/>
                <w:color w:val="000000"/>
                <w:sz w:val="21"/>
              </w:rPr>
              <w:t xml:space="preserve">Risk based sample of active access.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9A" w14:textId="0010019B">
            <w:pPr>
              <w:jc w:val="left"/>
            </w:pPr>
            <w:r>
              <w:rPr>
                <w:rFonts w:ascii="Arial" w:hAnsi="Arial" w:eastAsia="Arial"/>
                <w:b w:val="false"/>
                <w:color w:val="000000"/>
                <w:sz w:val="21"/>
              </w:rPr>
              <w:t xml:space="preserve">Security</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9C" w14:textId="0010019D">
            <w:pPr>
              <w:jc w:val="left"/>
            </w:pPr>
            <w:r>
              <w:rPr>
                <w:rFonts w:ascii="Arial" w:hAnsi="Arial" w:eastAsia="Arial"/>
                <w:b w:val="false"/>
                <w:color w:val="000000"/>
                <w:sz w:val="21"/>
              </w:rPr>
              <w:t xml:space="preserve">Exceptions assigned and dated.</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9E" w14:textId="0010019F">
            <w:pPr>
              <w:jc w:val="left"/>
            </w:pPr>
            <w:r>
              <w:rPr>
                <w:rFonts w:ascii="Arial" w:hAnsi="Arial" w:eastAsia="Arial"/>
                <w:b w:val="false"/>
                <w:color w:val="000000"/>
                <w:sz w:val="21"/>
              </w:rPr>
              <w:t xml:space="preserve">Days 31 to 60</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A0" w14:textId="001001A1">
            <w:pPr>
              <w:jc w:val="left"/>
            </w:pPr>
            <w:r>
              <w:rPr>
                <w:rFonts w:ascii="Arial" w:hAnsi="Arial" w:eastAsia="Arial"/>
                <w:b w:val="false"/>
                <w:color w:val="000000"/>
                <w:sz w:val="21"/>
              </w:rPr>
              <w:t xml:space="preserve">Test continuity</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A2" w14:textId="001001A3">
            <w:pPr>
              <w:jc w:val="left"/>
            </w:pPr>
            <w:r>
              <w:rPr>
                <w:rFonts w:ascii="Arial" w:hAnsi="Arial" w:eastAsia="Arial"/>
                <w:b w:val="false"/>
                <w:color w:val="000000"/>
                <w:sz w:val="21"/>
              </w:rPr>
              <w:t xml:space="preserve">Observed supplier fallback exercise.</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A4" w14:textId="001001A5">
            <w:pPr>
              <w:jc w:val="left"/>
            </w:pPr>
            <w:r>
              <w:rPr>
                <w:rFonts w:ascii="Arial" w:hAnsi="Arial" w:eastAsia="Arial"/>
                <w:b w:val="false"/>
                <w:color w:val="000000"/>
                <w:sz w:val="21"/>
              </w:rPr>
              <w:t xml:space="preserve">Technology</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A6" w14:textId="001001A7">
            <w:pPr>
              <w:jc w:val="left"/>
            </w:pPr>
            <w:r>
              <w:rPr>
                <w:rFonts w:ascii="Arial" w:hAnsi="Arial" w:eastAsia="Arial"/>
                <w:b w:val="false"/>
                <w:color w:val="000000"/>
                <w:sz w:val="21"/>
              </w:rPr>
              <w:t xml:space="preserve">Recovery log and reconciliation.</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A8" w14:textId="001001A9">
            <w:pPr>
              <w:jc w:val="left"/>
            </w:pPr>
            <w:r>
              <w:rPr>
                <w:rFonts w:ascii="Arial" w:hAnsi="Arial" w:eastAsia="Arial"/>
                <w:b w:val="false"/>
                <w:color w:val="000000"/>
                <w:sz w:val="21"/>
              </w:rPr>
              <w:t xml:space="preserve">Days 31 to 60</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AA" w14:textId="001001AB">
            <w:pPr>
              <w:jc w:val="left"/>
            </w:pPr>
            <w:r>
              <w:rPr>
                <w:rFonts w:ascii="Arial" w:hAnsi="Arial" w:eastAsia="Arial"/>
                <w:b w:val="false"/>
                <w:color w:val="000000"/>
                <w:sz w:val="21"/>
              </w:rPr>
              <w:t xml:space="preserve">Add targeted capacity</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AC" w14:textId="001001AD">
            <w:pPr>
              <w:jc w:val="left"/>
            </w:pPr>
            <w:r>
              <w:rPr>
                <w:rFonts w:ascii="Arial" w:hAnsi="Arial" w:eastAsia="Arial"/>
                <w:b w:val="false"/>
                <w:color w:val="000000"/>
                <w:sz w:val="21"/>
              </w:rPr>
              <w:t xml:space="preserve">First two specialists and handover plan.</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AE" w14:textId="001001AF">
            <w:pPr>
              <w:jc w:val="left"/>
            </w:pPr>
            <w:r>
              <w:rPr>
                <w:rFonts w:ascii="Arial" w:hAnsi="Arial" w:eastAsia="Arial"/>
                <w:b w:val="false"/>
                <w:color w:val="000000"/>
                <w:sz w:val="21"/>
              </w:rPr>
              <w:t xml:space="preserve">Operations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B0" w14:textId="001001B1">
            <w:pPr>
              <w:jc w:val="left"/>
            </w:pPr>
            <w:r>
              <w:rPr>
                <w:rFonts w:ascii="Arial" w:hAnsi="Arial" w:eastAsia="Arial"/>
                <w:b w:val="false"/>
                <w:color w:val="000000"/>
                <w:sz w:val="21"/>
              </w:rPr>
              <w:t xml:space="preserve">Training and supervised delivery.</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B2" w14:textId="001001B3">
            <w:pPr>
              <w:jc w:val="left"/>
            </w:pPr>
            <w:r>
              <w:rPr>
                <w:rFonts w:ascii="Arial" w:hAnsi="Arial" w:eastAsia="Arial"/>
                <w:b w:val="false"/>
                <w:color w:val="000000"/>
                <w:sz w:val="21"/>
              </w:rPr>
              <w:t xml:space="preserve">Days 61 to 90</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B4" w14:textId="001001B5">
            <w:pPr>
              <w:jc w:val="left"/>
            </w:pPr>
            <w:r>
              <w:rPr>
                <w:rFonts w:ascii="Arial" w:hAnsi="Arial" w:eastAsia="Arial"/>
                <w:b w:val="false"/>
                <w:color w:val="000000"/>
                <w:sz w:val="21"/>
              </w:rPr>
              <w:t xml:space="preserve">Evaluate the change</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B6" w14:textId="001001B7">
            <w:pPr>
              <w:jc w:val="left"/>
            </w:pPr>
            <w:r>
              <w:rPr>
                <w:rFonts w:ascii="Arial" w:hAnsi="Arial" w:eastAsia="Arial"/>
                <w:b w:val="false"/>
                <w:color w:val="000000"/>
                <w:sz w:val="21"/>
              </w:rPr>
              <w:t xml:space="preserve">Compare late work and repeat incidents.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B8" w14:textId="001001B9">
            <w:pPr>
              <w:jc w:val="left"/>
            </w:pPr>
            <w:r>
              <w:rPr>
                <w:rFonts w:ascii="Arial" w:hAnsi="Arial" w:eastAsia="Arial"/>
                <w:b w:val="false"/>
                <w:color w:val="000000"/>
                <w:sz w:val="21"/>
              </w:rPr>
              <w:t xml:space="preserve">Quality</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BA" w14:textId="001001BB">
            <w:pPr>
              <w:jc w:val="left"/>
            </w:pPr>
            <w:r>
              <w:rPr>
                <w:rFonts w:ascii="Arial" w:hAnsi="Arial" w:eastAsia="Arial"/>
                <w:b w:val="false"/>
                <w:color w:val="000000"/>
                <w:sz w:val="21"/>
              </w:rPr>
              <w:t xml:space="preserve">Same definitions and population.</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BC" w14:textId="001001BD">
            <w:pPr>
              <w:jc w:val="left"/>
            </w:pPr>
            <w:r>
              <w:rPr>
                <w:rFonts w:ascii="Arial" w:hAnsi="Arial" w:eastAsia="Arial"/>
                <w:b w:val="false"/>
                <w:color w:val="000000"/>
                <w:sz w:val="21"/>
              </w:rPr>
              <w:t xml:space="preserve">Days 61 to 90</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BE" w14:textId="001001BF">
            <w:pPr>
              <w:jc w:val="left"/>
            </w:pPr>
            <w:r>
              <w:rPr>
                <w:rFonts w:ascii="Arial" w:hAnsi="Arial" w:eastAsia="Arial"/>
                <w:b w:val="false"/>
                <w:color w:val="000000"/>
                <w:sz w:val="21"/>
              </w:rPr>
              <w:t xml:space="preserve">Decide the second hiring stage</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C0" w14:textId="001001C1">
            <w:pPr>
              <w:jc w:val="left"/>
            </w:pPr>
            <w:r>
              <w:rPr>
                <w:rFonts w:ascii="Arial" w:hAnsi="Arial" w:eastAsia="Arial"/>
                <w:b w:val="false"/>
                <w:color w:val="000000"/>
                <w:sz w:val="21"/>
              </w:rPr>
              <w:t xml:space="preserve">Confirm the demand and margin case.</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C2" w14:textId="001001C3">
            <w:pPr>
              <w:jc w:val="left"/>
            </w:pPr>
            <w:r>
              <w:rPr>
                <w:rFonts w:ascii="Arial" w:hAnsi="Arial" w:eastAsia="Arial"/>
                <w:b w:val="false"/>
                <w:color w:val="000000"/>
                <w:sz w:val="21"/>
              </w:rPr>
              <w:t xml:space="preserve">Management</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C4" w14:textId="001001C5">
            <w:pPr>
              <w:jc w:val="left"/>
            </w:pPr>
            <w:r>
              <w:rPr>
                <w:rFonts w:ascii="Arial" w:hAnsi="Arial" w:eastAsia="Arial"/>
                <w:b w:val="false"/>
                <w:color w:val="000000"/>
                <w:sz w:val="21"/>
              </w:rPr>
              <w:t xml:space="preserve">Recorded decision and assumptions.</w:t>
            </w:r>
          </w:p>
        </w:tc>
      </w:tr>
    </w:tbl>
    <w:p w14:paraId="001001C6" w14:textId="001001C7">
      <w:pPr>
        <w:pStyle w:val="Caption"/>
      </w:pPr>
      <w:r>
        <w:rPr/>
        <w:t xml:space="preserve">Table 4 Owners are fictional roles. Dates and actions are examples, not commitments by the File Viewer project.</w:t>
      </w:r>
    </w:p>
    <w:p w14:paraId="001001C8" w14:textId="001001C9">
      <w:pPr>
        <w:pStyle w:val="Heading2"/>
        <w:keepNext/>
      </w:pPr>
      <w:r>
        <w:rPr/>
        <w:t xml:space="preserve">Operating rhythm</w:t>
      </w:r>
    </w:p>
    <w:p w14:paraId="001001CA" w14:textId="001001CB">
      <w:pPr>
        <w:pStyle w:val="Normal"/>
      </w:pPr>
      <w:r>
        <w:rPr/>
        <w:t xml:space="preserve">Use a weekly delivery review for immediate allocation problems and a monthly management review for changes to the plan. Keep a single decision log so that the same exception is not reconsidered without new information. Each item should include the observed fact, the decision, the owner and the date of the next check.</w:t>
      </w:r>
    </w:p>
    <w:p w14:paraId="001001CC" w14:textId="001001CD">
      <w:pPr>
        <w:pStyle w:val="Normal"/>
      </w:pPr>
      <w:r>
        <w:rPr/>
        <w:t xml:space="preserve">At the end of ninety days, the review should be able to show whether the process reduced repeated late work, whether specialists became available when promised and whether customers received a clearer handover. A completed task list alone is not sufficient evidence of an operating improvement.</w:t>
      </w:r>
    </w:p>
    <w:p w14:paraId="001001CE" w14:textId="001001CF">
      <w:pPr>
        <w:pStyle w:val="Heading1"/>
        <w:keepNext/>
        <w:pageBreakBefore/>
      </w:pPr>
      <w:r>
        <w:rPr/>
        <w:t xml:space="preserve">Planning scenarios</w:t>
      </w:r>
      <w:bookmarkStart w:name="scenarios" w:id="7"/>
      <w:bookmarkEnd w:id="7"/>
    </w:p>
    <w:p w14:paraId="001001D0" w14:textId="001001D1">
      <w:pPr>
        <w:pStyle w:val="Normal"/>
      </w:pPr>
      <w:r>
        <w:rPr/>
        <w:t xml:space="preserve">The scenarios are planning boundaries built from the same fictional service mix. They are not predictions. Management can use them to decide which commitments are reversible and which controls should continue even when demand changes.</w:t>
      </w:r>
    </w:p>
    <w:tbl>
      <w:tblPr>
        <w:tblW w:w="9936" w:type="dxa"/>
        <w:tblBorders>
          <w:top w:val="single" w:color="D9D9D9" w:sz="4"/>
          <w:left w:val="single" w:color="D9D9D9" w:sz="4"/>
          <w:bottom w:val="single" w:color="D9D9D9" w:sz="4"/>
          <w:right w:val="single" w:color="D9D9D9" w:sz="4"/>
          <w:insideH w:val="single" w:color="D9D9D9" w:sz="4"/>
          <w:insideV w:val="single" w:color="D9D9D9" w:sz="4"/>
        </w:tblBorders>
        <w:tblLayout w:type="fixed"/>
        <w:tblCellMar>
          <w:top w:w="100" w:type="dxa"/>
          <w:left w:w="100" w:type="dxa"/>
          <w:bottom w:w="100" w:type="dxa"/>
          <w:right w:w="100" w:type="dxa"/>
        </w:tblCellMar>
      </w:tblPr>
      <w:tblGrid>
        <w:gridCol w:w="3312"/>
        <w:gridCol w:w="2088"/>
        <w:gridCol w:w="2088"/>
        <w:gridCol w:w="2448"/>
      </w:tblGrid>
      <w:tr>
        <w:trPr>
          <w:tblHeader/>
        </w:trPr>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D2" w14:textId="001001D3">
            <w:pPr>
              <w:jc w:val="left"/>
            </w:pPr>
            <w:r>
              <w:rPr>
                <w:rFonts w:ascii="Arial" w:hAnsi="Arial" w:eastAsia="Arial"/>
                <w:b/>
                <w:color w:val="000000"/>
                <w:sz w:val="20"/>
              </w:rPr>
              <w:t xml:space="preserve">Planning measure</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D4" w14:textId="001001D5">
            <w:pPr>
              <w:jc w:val="left"/>
            </w:pPr>
            <w:r>
              <w:rPr>
                <w:rFonts w:ascii="Arial" w:hAnsi="Arial" w:eastAsia="Arial"/>
                <w:b/>
                <w:color w:val="000000"/>
                <w:sz w:val="20"/>
              </w:rPr>
              <w:t xml:space="preserve">Lower demand</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D6" w14:textId="001001D7">
            <w:pPr>
              <w:jc w:val="left"/>
            </w:pPr>
            <w:r>
              <w:rPr>
                <w:rFonts w:ascii="Arial" w:hAnsi="Arial" w:eastAsia="Arial"/>
                <w:b/>
                <w:color w:val="000000"/>
                <w:sz w:val="20"/>
              </w:rPr>
              <w:t xml:space="preserve">Base case</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1D8" w14:textId="001001D9">
            <w:pPr>
              <w:jc w:val="left"/>
            </w:pPr>
            <w:r>
              <w:rPr>
                <w:rFonts w:ascii="Arial" w:hAnsi="Arial" w:eastAsia="Arial"/>
                <w:b/>
                <w:color w:val="000000"/>
                <w:sz w:val="20"/>
              </w:rPr>
              <w:t xml:space="preserve">Higher demand</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DA" w14:textId="001001DB">
            <w:pPr>
              <w:jc w:val="left"/>
            </w:pPr>
            <w:r>
              <w:rPr>
                <w:rFonts w:ascii="Arial" w:hAnsi="Arial" w:eastAsia="Arial"/>
                <w:b w:val="false"/>
                <w:color w:val="000000"/>
                <w:sz w:val="21"/>
              </w:rPr>
              <w:t xml:space="preserve">Next quarter revenue USD million</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DC" w14:textId="001001DD">
            <w:pPr>
              <w:jc w:val="left"/>
            </w:pPr>
            <w:r>
              <w:rPr>
                <w:rFonts w:ascii="Arial" w:hAnsi="Arial" w:eastAsia="Arial"/>
                <w:b w:val="false"/>
                <w:color w:val="000000"/>
                <w:sz w:val="21"/>
              </w:rPr>
              <w:t xml:space="preserve">4.40</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DE" w14:textId="001001DF">
            <w:pPr>
              <w:jc w:val="left"/>
            </w:pPr>
            <w:r>
              <w:rPr>
                <w:rFonts w:ascii="Arial" w:hAnsi="Arial" w:eastAsia="Arial"/>
                <w:b w:val="false"/>
                <w:color w:val="000000"/>
                <w:sz w:val="21"/>
              </w:rPr>
              <w:t xml:space="preserve">5.05</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E0" w14:textId="001001E1">
            <w:pPr>
              <w:jc w:val="left"/>
            </w:pPr>
            <w:r>
              <w:rPr>
                <w:rFonts w:ascii="Arial" w:hAnsi="Arial" w:eastAsia="Arial"/>
                <w:b w:val="false"/>
                <w:color w:val="000000"/>
                <w:sz w:val="21"/>
              </w:rPr>
              <w:t xml:space="preserve">5.45</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E2" w14:textId="001001E3">
            <w:pPr>
              <w:jc w:val="left"/>
            </w:pPr>
            <w:r>
              <w:rPr>
                <w:rFonts w:ascii="Arial" w:hAnsi="Arial" w:eastAsia="Arial"/>
                <w:b w:val="false"/>
                <w:color w:val="000000"/>
                <w:sz w:val="21"/>
              </w:rPr>
              <w:t xml:space="preserve">Gross margin assumption</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E4" w14:textId="001001E5">
            <w:pPr>
              <w:jc w:val="left"/>
            </w:pPr>
            <w:r>
              <w:rPr>
                <w:rFonts w:ascii="Arial" w:hAnsi="Arial" w:eastAsia="Arial"/>
                <w:b w:val="false"/>
                <w:color w:val="000000"/>
                <w:sz w:val="21"/>
              </w:rPr>
              <w:t xml:space="preserve">36.5%</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E6" w14:textId="001001E7">
            <w:pPr>
              <w:jc w:val="left"/>
            </w:pPr>
            <w:r>
              <w:rPr>
                <w:rFonts w:ascii="Arial" w:hAnsi="Arial" w:eastAsia="Arial"/>
                <w:b w:val="false"/>
                <w:color w:val="000000"/>
                <w:sz w:val="21"/>
              </w:rPr>
              <w:t xml:space="preserve">38.5%</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E8" w14:textId="001001E9">
            <w:pPr>
              <w:jc w:val="left"/>
            </w:pPr>
            <w:r>
              <w:rPr>
                <w:rFonts w:ascii="Arial" w:hAnsi="Arial" w:eastAsia="Arial"/>
                <w:b w:val="false"/>
                <w:color w:val="000000"/>
                <w:sz w:val="21"/>
              </w:rPr>
              <w:t xml:space="preserve">39.0%</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EA" w14:textId="001001EB">
            <w:pPr>
              <w:jc w:val="left"/>
            </w:pPr>
            <w:r>
              <w:rPr>
                <w:rFonts w:ascii="Arial" w:hAnsi="Arial" w:eastAsia="Arial"/>
                <w:b w:val="false"/>
                <w:color w:val="000000"/>
                <w:sz w:val="21"/>
              </w:rPr>
              <w:t xml:space="preserve">Specialist hiring sequence</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EC" w14:textId="001001ED">
            <w:pPr>
              <w:jc w:val="left"/>
            </w:pPr>
            <w:r>
              <w:rPr>
                <w:rFonts w:ascii="Arial" w:hAnsi="Arial" w:eastAsia="Arial"/>
                <w:b w:val="false"/>
                <w:color w:val="000000"/>
                <w:sz w:val="21"/>
              </w:rPr>
              <w:t xml:space="preserve">First two only</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EE" w14:textId="001001EF">
            <w:pPr>
              <w:jc w:val="left"/>
            </w:pPr>
            <w:r>
              <w:rPr>
                <w:rFonts w:ascii="Arial" w:hAnsi="Arial" w:eastAsia="Arial"/>
                <w:b w:val="false"/>
                <w:color w:val="000000"/>
                <w:sz w:val="21"/>
              </w:rPr>
              <w:t xml:space="preserve">Two then two</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F0" w14:textId="001001F1">
            <w:pPr>
              <w:jc w:val="left"/>
            </w:pPr>
            <w:r>
              <w:rPr>
                <w:rFonts w:ascii="Arial" w:hAnsi="Arial" w:eastAsia="Arial"/>
                <w:b w:val="false"/>
                <w:color w:val="000000"/>
                <w:sz w:val="21"/>
              </w:rPr>
              <w:t xml:space="preserve">Two then two with contractor cover</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F2" w14:textId="001001F3">
            <w:pPr>
              <w:jc w:val="left"/>
            </w:pPr>
            <w:r>
              <w:rPr>
                <w:rFonts w:ascii="Arial" w:hAnsi="Arial" w:eastAsia="Arial"/>
                <w:b w:val="false"/>
                <w:color w:val="000000"/>
                <w:sz w:val="21"/>
              </w:rPr>
              <w:t xml:space="preserve">Capacity review</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F4" w14:textId="001001F5">
            <w:pPr>
              <w:jc w:val="left"/>
            </w:pPr>
            <w:r>
              <w:rPr>
                <w:rFonts w:ascii="Arial" w:hAnsi="Arial" w:eastAsia="Arial"/>
                <w:b w:val="false"/>
                <w:color w:val="000000"/>
                <w:sz w:val="21"/>
              </w:rPr>
              <w:t xml:space="preserve">Weekly</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F6" w14:textId="001001F7">
            <w:pPr>
              <w:jc w:val="left"/>
            </w:pPr>
            <w:r>
              <w:rPr>
                <w:rFonts w:ascii="Arial" w:hAnsi="Arial" w:eastAsia="Arial"/>
                <w:b w:val="false"/>
                <w:color w:val="000000"/>
                <w:sz w:val="21"/>
              </w:rPr>
              <w:t xml:space="preserve">Weekly</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F8" w14:textId="001001F9">
            <w:pPr>
              <w:jc w:val="left"/>
            </w:pPr>
            <w:r>
              <w:rPr>
                <w:rFonts w:ascii="Arial" w:hAnsi="Arial" w:eastAsia="Arial"/>
                <w:b w:val="false"/>
                <w:color w:val="000000"/>
                <w:sz w:val="21"/>
              </w:rPr>
              <w:t xml:space="preserve">Twice weekly during peaks</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FA" w14:textId="001001FB">
            <w:pPr>
              <w:jc w:val="left"/>
            </w:pPr>
            <w:r>
              <w:rPr>
                <w:rFonts w:ascii="Arial" w:hAnsi="Arial" w:eastAsia="Arial"/>
                <w:b w:val="false"/>
                <w:color w:val="000000"/>
                <w:sz w:val="21"/>
              </w:rPr>
              <w:t xml:space="preserve">Continuity test</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FC" w14:textId="001001FD">
            <w:pPr>
              <w:jc w:val="left"/>
            </w:pPr>
            <w:r>
              <w:rPr>
                <w:rFonts w:ascii="Arial" w:hAnsi="Arial" w:eastAsia="Arial"/>
                <w:b w:val="false"/>
                <w:color w:val="000000"/>
                <w:sz w:val="21"/>
              </w:rPr>
              <w:t xml:space="preserve">Proceed</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1FE" w14:textId="001001FF">
            <w:pPr>
              <w:jc w:val="left"/>
            </w:pPr>
            <w:r>
              <w:rPr>
                <w:rFonts w:ascii="Arial" w:hAnsi="Arial" w:eastAsia="Arial"/>
                <w:b w:val="false"/>
                <w:color w:val="000000"/>
                <w:sz w:val="21"/>
              </w:rPr>
              <w:t xml:space="preserve">Proceed</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00" w14:textId="00100201">
            <w:pPr>
              <w:jc w:val="left"/>
            </w:pPr>
            <w:r>
              <w:rPr>
                <w:rFonts w:ascii="Arial" w:hAnsi="Arial" w:eastAsia="Arial"/>
                <w:b w:val="false"/>
                <w:color w:val="000000"/>
                <w:sz w:val="21"/>
              </w:rPr>
              <w:t xml:space="preserve">Proceed</w:t>
            </w:r>
          </w:p>
        </w:tc>
      </w:tr>
    </w:tbl>
    <w:p w14:paraId="00100202" w14:textId="00100203">
      <w:pPr>
        <w:pStyle w:val="Caption"/>
      </w:pPr>
      <w:r>
        <w:rPr/>
        <w:t xml:space="preserve">Table 5 Fictional planning assumptions. Scenario values are deliberately distinct from the Q3 actuals.</w:t>
      </w:r>
    </w:p>
    <w:p w14:paraId="00100204" w14:textId="00100205">
      <w:pPr>
        <w:pStyle w:val="Heading2"/>
        <w:keepNext/>
      </w:pPr>
      <w:r>
        <w:rPr/>
        <w:t xml:space="preserve">Sensitivity and decision limits</w:t>
      </w:r>
    </w:p>
    <w:p w14:paraId="00100206" w14:textId="00100207">
      <w:pPr>
        <w:pStyle w:val="Normal"/>
      </w:pPr>
      <w:r>
        <w:rPr/>
        <w:t xml:space="preserve">The hiring decision is most sensitive to the conversion of contracted backlog into scheduled work. A lower revenue case does not justify removing basic controls, but it can justify delaying the second hiring stage. The higher case needs the same evidence of deliverable capacity before additional dates are promised to customers.</w:t>
      </w:r>
    </w:p>
    <w:p w14:paraId="00100208" w14:textId="00100209">
      <w:pPr>
        <w:pStyle w:val="Normal"/>
      </w:pPr>
      <w:r>
        <w:rPr/>
        <w:t xml:space="preserve">Do not combine the best revenue assumption with the lowest cost assumption without explaining how both could occur. Each scenario should remain internally coherent. The monthly review should replace an assumption with an observation as soon as the information becomes available.</w:t>
      </w:r>
    </w:p>
    <w:p w14:paraId="0010020A" w14:textId="0010020B">
      <w:pPr>
        <w:pStyle w:val="Heading2"/>
        <w:keepNext/>
      </w:pPr>
      <w:r>
        <w:rPr/>
        <w:t xml:space="preserve">What to monitor next</w:t>
      </w:r>
    </w:p>
    <w:p w14:paraId="0010020C" w14:textId="0010020D">
      <w:pPr>
        <w:pStyle w:val="Normal"/>
      </w:pPr>
      <w:r>
        <w:rPr/>
        <w:t xml:space="preserve">Monitor signed backlog by start date, specialist availability by skill, renewal decisions and repeated service incidents. Read these together. A growing backlog with a stable completion rate may indicate a capacity constraint; a growing backlog with delayed customer approval may indicate a scheduling problem that hiring would not solve.</w:t>
      </w:r>
    </w:p>
    <w:p w14:paraId="0010020E" w14:textId="0010020F">
      <w:pPr>
        <w:pStyle w:val="Heading1"/>
        <w:keepNext/>
        <w:pageBreakBefore/>
      </w:pPr>
      <w:r>
        <w:rPr/>
        <w:t xml:space="preserve">Metric definitions</w:t>
      </w:r>
      <w:bookmarkStart w:name="definitions" w:id="8"/>
      <w:bookmarkEnd w:id="8"/>
    </w:p>
    <w:p w14:paraId="00100210" w14:textId="00100211">
      <w:pPr>
        <w:pStyle w:val="Normal"/>
      </w:pPr>
      <w:r>
        <w:rPr/>
        <w:t xml:space="preserve">The glossary keeps the comparisons consistent across the narrative, charts and tables. Rounding is applied only to the displayed result; underlying example values remain unchanged. No measure in this report represents a real customer, employee or commercial operation.</w:t>
      </w:r>
    </w:p>
    <w:tbl>
      <w:tblPr>
        <w:tblW w:w="9936" w:type="dxa"/>
        <w:tblBorders>
          <w:top w:val="single" w:color="D9D9D9" w:sz="4"/>
          <w:left w:val="single" w:color="D9D9D9" w:sz="4"/>
          <w:bottom w:val="single" w:color="D9D9D9" w:sz="4"/>
          <w:right w:val="single" w:color="D9D9D9" w:sz="4"/>
          <w:insideH w:val="single" w:color="D9D9D9" w:sz="4"/>
          <w:insideV w:val="single" w:color="D9D9D9" w:sz="4"/>
        </w:tblBorders>
        <w:tblLayout w:type="fixed"/>
        <w:tblCellMar>
          <w:top w:w="100" w:type="dxa"/>
          <w:left w:w="100" w:type="dxa"/>
          <w:bottom w:w="100" w:type="dxa"/>
          <w:right w:w="100" w:type="dxa"/>
        </w:tblCellMar>
      </w:tblPr>
      <w:tblGrid>
        <w:gridCol w:w="2088"/>
        <w:gridCol w:w="4824"/>
        <w:gridCol w:w="3024"/>
      </w:tblGrid>
      <w:tr>
        <w:trPr>
          <w:tblHeader/>
        </w:trPr>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212" w14:textId="00100213">
            <w:pPr>
              <w:jc w:val="left"/>
            </w:pPr>
            <w:r>
              <w:rPr>
                <w:rFonts w:ascii="Arial" w:hAnsi="Arial" w:eastAsia="Arial"/>
                <w:b/>
                <w:color w:val="000000"/>
                <w:sz w:val="20"/>
              </w:rPr>
              <w:t xml:space="preserve">Measure</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214" w14:textId="00100215">
            <w:pPr>
              <w:jc w:val="left"/>
            </w:pPr>
            <w:r>
              <w:rPr>
                <w:rFonts w:ascii="Arial" w:hAnsi="Arial" w:eastAsia="Arial"/>
                <w:b/>
                <w:color w:val="000000"/>
                <w:sz w:val="20"/>
              </w:rPr>
              <w:t xml:space="preserve">Definition</w:t>
            </w:r>
          </w:p>
        </w:tc>
        <w:tc>
          <w:tcPr>
            <w:tcBorders>
              <w:top w:val="single" w:color="D9D9D9" w:sz="4"/>
              <w:left w:val="single" w:color="D9D9D9" w:sz="4"/>
              <w:bottom w:val="single" w:color="D9D9D9" w:sz="4"/>
              <w:right w:val="single" w:color="D9D9D9" w:sz="4"/>
            </w:tcBorders>
            <w:shd w:val="clear" w:fill="E6EFF5"/>
            <w:tcMar>
              <w:top w:w="80" w:type="dxa"/>
              <w:left w:w="120" w:type="dxa"/>
              <w:bottom w:w="80" w:type="dxa"/>
              <w:right w:w="120" w:type="dxa"/>
            </w:tcMar>
            <w:vAlign w:val="center"/>
          </w:tcPr>
          <w:p w14:paraId="00100216" w14:textId="00100217">
            <w:pPr>
              <w:jc w:val="left"/>
            </w:pPr>
            <w:r>
              <w:rPr>
                <w:rFonts w:ascii="Arial" w:hAnsi="Arial" w:eastAsia="Arial"/>
                <w:b/>
                <w:color w:val="000000"/>
                <w:sz w:val="20"/>
              </w:rPr>
              <w:t xml:space="preserve">Reporting note</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18" w14:textId="00100219">
            <w:pPr>
              <w:jc w:val="left"/>
            </w:pPr>
            <w:r>
              <w:rPr>
                <w:rFonts w:ascii="Arial" w:hAnsi="Arial" w:eastAsia="Arial"/>
                <w:b w:val="false"/>
                <w:color w:val="000000"/>
                <w:sz w:val="21"/>
              </w:rPr>
              <w:t xml:space="preserve">Revenue</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1A" w14:textId="0010021B">
            <w:pPr>
              <w:jc w:val="left"/>
            </w:pPr>
            <w:r>
              <w:rPr>
                <w:rFonts w:ascii="Arial" w:hAnsi="Arial" w:eastAsia="Arial"/>
                <w:b w:val="false"/>
                <w:color w:val="000000"/>
                <w:sz w:val="21"/>
              </w:rPr>
              <w:t xml:space="preserve">Service revenue recognized within the quarter.</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1C" w14:textId="0010021D">
            <w:pPr>
              <w:jc w:val="left"/>
            </w:pPr>
            <w:r>
              <w:rPr>
                <w:rFonts w:ascii="Arial" w:hAnsi="Arial" w:eastAsia="Arial"/>
                <w:b w:val="false"/>
                <w:color w:val="000000"/>
                <w:sz w:val="21"/>
              </w:rPr>
              <w:t xml:space="preserve">Shown in USD millions.</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1E" w14:textId="0010021F">
            <w:pPr>
              <w:jc w:val="left"/>
            </w:pPr>
            <w:r>
              <w:rPr>
                <w:rFonts w:ascii="Arial" w:hAnsi="Arial" w:eastAsia="Arial"/>
                <w:b w:val="false"/>
                <w:color w:val="000000"/>
                <w:sz w:val="21"/>
              </w:rPr>
              <w:t xml:space="preserve">Gross margin</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20" w14:textId="00100221">
            <w:pPr>
              <w:jc w:val="left"/>
            </w:pPr>
            <w:r>
              <w:rPr>
                <w:rFonts w:ascii="Arial" w:hAnsi="Arial" w:eastAsia="Arial"/>
                <w:b w:val="false"/>
                <w:color w:val="000000"/>
                <w:sz w:val="21"/>
              </w:rPr>
              <w:t xml:space="preserve">Revenue less direct delivery cost divided by revenue.</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22" w14:textId="00100223">
            <w:pPr>
              <w:jc w:val="left"/>
            </w:pPr>
            <w:r>
              <w:rPr>
                <w:rFonts w:ascii="Arial" w:hAnsi="Arial" w:eastAsia="Arial"/>
                <w:b w:val="false"/>
                <w:color w:val="000000"/>
                <w:sz w:val="21"/>
              </w:rPr>
              <w:t xml:space="preserve">Expressed as a percentage.</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24" w14:textId="00100225">
            <w:pPr>
              <w:jc w:val="left"/>
            </w:pPr>
            <w:r>
              <w:rPr>
                <w:rFonts w:ascii="Arial" w:hAnsi="Arial" w:eastAsia="Arial"/>
                <w:b w:val="false"/>
                <w:color w:val="000000"/>
                <w:sz w:val="21"/>
              </w:rPr>
              <w:t xml:space="preserve">On time delivery</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26" w14:textId="00100227">
            <w:pPr>
              <w:jc w:val="left"/>
            </w:pPr>
            <w:r>
              <w:rPr>
                <w:rFonts w:ascii="Arial" w:hAnsi="Arial" w:eastAsia="Arial"/>
                <w:b w:val="false"/>
                <w:color w:val="000000"/>
                <w:sz w:val="21"/>
              </w:rPr>
              <w:t xml:space="preserve">Engagements accepted by the agreed date divided by completed engagements.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28" w14:textId="00100229">
            <w:pPr>
              <w:jc w:val="left"/>
            </w:pPr>
            <w:r>
              <w:rPr>
                <w:rFonts w:ascii="Arial" w:hAnsi="Arial" w:eastAsia="Arial"/>
                <w:b w:val="false"/>
                <w:color w:val="000000"/>
                <w:sz w:val="21"/>
              </w:rPr>
              <w:t xml:space="preserve">Weighted by engagement count.</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2A" w14:textId="0010022B">
            <w:pPr>
              <w:jc w:val="left"/>
            </w:pPr>
            <w:r>
              <w:rPr>
                <w:rFonts w:ascii="Arial" w:hAnsi="Arial" w:eastAsia="Arial"/>
                <w:b w:val="false"/>
                <w:color w:val="000000"/>
                <w:sz w:val="21"/>
              </w:rPr>
              <w:t xml:space="preserve">Active customer</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2C" w14:textId="0010022D">
            <w:pPr>
              <w:jc w:val="left"/>
            </w:pPr>
            <w:r>
              <w:rPr>
                <w:rFonts w:ascii="Arial" w:hAnsi="Arial" w:eastAsia="Arial"/>
                <w:b w:val="false"/>
                <w:color w:val="000000"/>
                <w:sz w:val="21"/>
              </w:rPr>
              <w:t xml:space="preserve">A customer with recognized service revenue in the quarter.</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2E" w14:textId="0010022F">
            <w:pPr>
              <w:jc w:val="left"/>
            </w:pPr>
            <w:r>
              <w:rPr>
                <w:rFonts w:ascii="Arial" w:hAnsi="Arial" w:eastAsia="Arial"/>
                <w:b w:val="false"/>
                <w:color w:val="000000"/>
                <w:sz w:val="21"/>
              </w:rPr>
              <w:t xml:space="preserve">Counted once across service lines.</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30" w14:textId="00100231">
            <w:pPr>
              <w:jc w:val="left"/>
            </w:pPr>
            <w:r>
              <w:rPr>
                <w:rFonts w:ascii="Arial" w:hAnsi="Arial" w:eastAsia="Arial"/>
                <w:b w:val="false"/>
                <w:color w:val="000000"/>
                <w:sz w:val="21"/>
              </w:rPr>
              <w:t xml:space="preserve">Backlog</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32" w14:textId="00100233">
            <w:pPr>
              <w:jc w:val="left"/>
            </w:pPr>
            <w:r>
              <w:rPr>
                <w:rFonts w:ascii="Arial" w:hAnsi="Arial" w:eastAsia="Arial"/>
                <w:b w:val="false"/>
                <w:color w:val="000000"/>
                <w:sz w:val="21"/>
              </w:rPr>
              <w:t xml:space="preserve">Approved engagements not yet completed at quarter end.</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34" w14:textId="00100235">
            <w:pPr>
              <w:jc w:val="left"/>
            </w:pPr>
            <w:r>
              <w:rPr>
                <w:rFonts w:ascii="Arial" w:hAnsi="Arial" w:eastAsia="Arial"/>
                <w:b w:val="false"/>
                <w:color w:val="000000"/>
                <w:sz w:val="21"/>
              </w:rPr>
              <w:t xml:space="preserve">Excludes unapproved pipeline.</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36" w14:textId="00100237">
            <w:pPr>
              <w:jc w:val="left"/>
            </w:pPr>
            <w:r>
              <w:rPr>
                <w:rFonts w:ascii="Arial" w:hAnsi="Arial" w:eastAsia="Arial"/>
                <w:b w:val="false"/>
                <w:color w:val="000000"/>
                <w:sz w:val="21"/>
              </w:rPr>
              <w:t xml:space="preserve">Full time equivalent</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38" w14:textId="00100239">
            <w:pPr>
              <w:jc w:val="left"/>
            </w:pPr>
            <w:r>
              <w:rPr>
                <w:rFonts w:ascii="Arial" w:hAnsi="Arial" w:eastAsia="Arial"/>
                <w:b w:val="false"/>
                <w:color w:val="000000"/>
                <w:sz w:val="21"/>
              </w:rPr>
              <w:t xml:space="preserve">Average contracted working capacity during the quarter.</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3A" w14:textId="0010023B">
            <w:pPr>
              <w:jc w:val="left"/>
            </w:pPr>
            <w:r>
              <w:rPr>
                <w:rFonts w:ascii="Arial" w:hAnsi="Arial" w:eastAsia="Arial"/>
                <w:b w:val="false"/>
                <w:color w:val="000000"/>
                <w:sz w:val="21"/>
              </w:rPr>
              <w:t xml:space="preserve">Not a count of named people.</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3C" w14:textId="0010023D">
            <w:pPr>
              <w:jc w:val="left"/>
            </w:pPr>
            <w:r>
              <w:rPr>
                <w:rFonts w:ascii="Arial" w:hAnsi="Arial" w:eastAsia="Arial"/>
                <w:b w:val="false"/>
                <w:color w:val="000000"/>
                <w:sz w:val="21"/>
              </w:rPr>
              <w:t xml:space="preserve">Utilization</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3E" w14:textId="0010023F">
            <w:pPr>
              <w:jc w:val="left"/>
            </w:pPr>
            <w:r>
              <w:rPr>
                <w:rFonts w:ascii="Arial" w:hAnsi="Arial" w:eastAsia="Arial"/>
                <w:b w:val="false"/>
                <w:color w:val="000000"/>
                <w:sz w:val="21"/>
              </w:rPr>
              <w:t xml:space="preserve">Delivery hours divided by available service hours.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40" w14:textId="00100241">
            <w:pPr>
              <w:jc w:val="left"/>
            </w:pPr>
            <w:r>
              <w:rPr>
                <w:rFonts w:ascii="Arial" w:hAnsi="Arial" w:eastAsia="Arial"/>
                <w:b w:val="false"/>
                <w:color w:val="000000"/>
                <w:sz w:val="21"/>
              </w:rPr>
              <w:t xml:space="preserve">Training and leave remain visible.</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42" w14:textId="00100243">
            <w:pPr>
              <w:jc w:val="left"/>
            </w:pPr>
            <w:r>
              <w:rPr>
                <w:rFonts w:ascii="Arial" w:hAnsi="Arial" w:eastAsia="Arial"/>
                <w:b w:val="false"/>
                <w:color w:val="000000"/>
                <w:sz w:val="21"/>
              </w:rPr>
              <w:t xml:space="preserve">CSAT</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44" w14:textId="00100245">
            <w:pPr>
              <w:jc w:val="left"/>
            </w:pPr>
            <w:r>
              <w:rPr>
                <w:rFonts w:ascii="Arial" w:hAnsi="Arial" w:eastAsia="Arial"/>
                <w:b w:val="false"/>
                <w:color w:val="000000"/>
                <w:sz w:val="21"/>
              </w:rPr>
              <w:t xml:space="preserve">Mean score on a five point customer satisfaction question.</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46" w14:textId="00100247">
            <w:pPr>
              <w:jc w:val="left"/>
            </w:pPr>
            <w:r>
              <w:rPr>
                <w:rFonts w:ascii="Arial" w:hAnsi="Arial" w:eastAsia="Arial"/>
                <w:b w:val="false"/>
                <w:color w:val="000000"/>
                <w:sz w:val="21"/>
              </w:rPr>
              <w:t xml:space="preserve">Rounded to one decimal place.</w:t>
            </w:r>
          </w:p>
        </w:tc>
      </w:tr>
      <w:tr>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48" w14:textId="00100249">
            <w:pPr>
              <w:jc w:val="left"/>
            </w:pPr>
            <w:r>
              <w:rPr>
                <w:rFonts w:ascii="Arial" w:hAnsi="Arial" w:eastAsia="Arial"/>
                <w:b w:val="false"/>
                <w:color w:val="000000"/>
                <w:sz w:val="21"/>
              </w:rPr>
              <w:t xml:space="preserve">Net promoter score</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4A" w14:textId="0010024B">
            <w:pPr>
              <w:jc w:val="left"/>
            </w:pPr>
            <w:r>
              <w:rPr>
                <w:rFonts w:ascii="Arial" w:hAnsi="Arial" w:eastAsia="Arial"/>
                <w:b w:val="false"/>
                <w:color w:val="000000"/>
                <w:sz w:val="21"/>
              </w:rPr>
              <w:t xml:space="preserve">Share of promoters less share of detractors.</w:t>
            </w:r>
          </w:p>
        </w:tc>
        <w:tc>
          <w:tcPr>
            <w:tcBorders>
              <w:top w:val="single" w:color="D9D9D9" w:sz="4"/>
              <w:left w:val="single" w:color="D9D9D9" w:sz="4"/>
              <w:bottom w:val="single" w:color="D9D9D9" w:sz="4"/>
              <w:right w:val="single" w:color="D9D9D9" w:sz="4"/>
            </w:tcBorders>
            <w:shd w:val="clear" w:fill="FFFFFF"/>
            <w:tcMar>
              <w:top w:w="80" w:type="dxa"/>
              <w:left w:w="120" w:type="dxa"/>
              <w:bottom w:w="80" w:type="dxa"/>
              <w:right w:w="120" w:type="dxa"/>
            </w:tcMar>
            <w:vAlign w:val="center"/>
          </w:tcPr>
          <w:p w14:paraId="0010024C" w14:textId="0010024D">
            <w:pPr>
              <w:jc w:val="left"/>
            </w:pPr>
            <w:r>
              <w:rPr>
                <w:rFonts w:ascii="Arial" w:hAnsi="Arial" w:eastAsia="Arial"/>
                <w:b w:val="false"/>
                <w:color w:val="000000"/>
                <w:sz w:val="21"/>
              </w:rPr>
              <w:t xml:space="preserve">Reported as points, not a percent.</w:t>
            </w:r>
          </w:p>
        </w:tc>
      </w:tr>
    </w:tbl>
    <w:p w14:paraId="0010024E" w14:textId="0010024F">
      <w:pPr>
        <w:pStyle w:val="Caption"/>
      </w:pPr>
      <w:r>
        <w:rPr/>
        <w:t xml:space="preserve">Table 6 Definitions support this fictional example and should be adapted to a real reporting policy before use.</w:t>
      </w:r>
    </w:p>
    <w:p w14:paraId="00100250" w14:textId="00100251">
      <w:pPr>
        <w:pStyle w:val="Heading2"/>
        <w:keepNext/>
      </w:pPr>
      <w:r>
        <w:rPr/>
        <w:t xml:space="preserve">Document provenance</w:t>
      </w:r>
    </w:p>
    <w:p w14:paraId="00100252" w14:textId="00100253">
      <w:pPr>
        <w:pStyle w:val="Normal"/>
      </w:pPr>
      <w:r>
        <w:rPr/>
        <w:t xml:space="preserve">This report and its original figures were authored for the File Viewer project and are distributed under Apache License 2.0 with the repository. It contains no real company information, copied customer document, external corporate identity or third party business data.</w:t>
      </w:r>
    </w:p>
    <w:p w14:paraId="00100254" w14:textId="00100255">
      <w:pPr>
        <w:pStyle w:val="Normal"/>
      </w:pPr>
      <w:r>
        <w:rPr/>
        <w:t xml:space="preserve"/>
      </w:r>
      <w:hyperlink w:anchor="contents">
        <w:r>
          <w:rPr>
            <w:color w:val="174F68"/>
            <w:u w:val="none"/>
          </w:rPr>
          <w:t xml:space="preserve">Return to contents</w:t>
        </w:r>
      </w:hyperlink>
    </w:p>
    <w:sectPr>
      <w:headerReference w:type="default" r:id="R637408b44786407d"/>
      <w:footerReference w:type="default" r:id="Rce595e7abc584141"/>
      <w:pgSz w:w="12240" w:h="15840"/>
      <w:pgMar w:top="1080" w:right="1152" w:bottom="1008" w:left="1152" w:header="432" w:footer="432"/>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002" w14:textId="00100005">
    <w:pPr>
      <w:jc w:val="right"/>
    </w:pPr>
    <w:r>
      <w:rPr>
        <w:rFonts w:ascii="Arial" w:hAnsi="Arial" w:eastAsia="Arial"/>
        <w:color w:val="000000"/>
        <w:sz w:val="18"/>
      </w:rPr>
      <w:t xml:space="preserve">Fictional example    Page </w:t>
    </w:r>
    <w:r>
      <w:rPr>
        <w:rFonts w:ascii="Arial" w:hAnsi="Arial" w:eastAsia="Arial"/>
        <w:color w:val="000000"/>
        <w:sz w:val="18"/>
      </w:rPr>
      <w:fldChar w:fldCharType="begin"/>
    </w:r>
    <w:r>
      <w:rPr>
        <w:rFonts w:ascii="Arial" w:hAnsi="Arial" w:eastAsia="Arial"/>
        <w:color w:val="000000"/>
        <w:sz w:val="18"/>
      </w:rPr>
      <w:instrText xml:space="preserve"> PAGE </w:instrText>
    </w:r>
    <w:r>
      <w:rPr>
        <w:rFonts w:ascii="Arial" w:hAnsi="Arial" w:eastAsia="Arial"/>
        <w:color w:val="000000"/>
        <w:sz w:val="18"/>
      </w:rPr>
      <w:fldChar w:fldCharType="separate"/>
    </w:r>
    <w:r>
      <w:rPr>
        <w:rFonts w:ascii="Arial" w:hAnsi="Arial" w:eastAsia="Arial"/>
        <w:color w:val="000000"/>
        <w:sz w:val="18"/>
      </w:rPr>
      <w:t xml:space="preserve">1</w:t>
    </w:r>
    <w:r>
      <w:rPr>
        <w:rFonts w:ascii="Arial" w:hAnsi="Arial" w:eastAsia="Arial"/>
        <w:color w:val="000000"/>
        <w:sz w:val="18"/>
      </w:rPr>
      <w:fldChar w:fldCharType="end"/>
    </w:r>
    <w:r>
      <w:rPr>
        <w:rFonts w:ascii="Arial" w:hAnsi="Arial" w:eastAsia="Arial"/>
        <w:sz w:val="18"/>
      </w:rPr>
      <w:t xml:space="preserve"> of </w:t>
    </w:r>
    <w:r>
      <w:fldChar w:fldCharType="begin"/>
    </w:r>
    <w:r>
      <w:instrText xml:space="preserve"> NUMPAGES </w:instrText>
    </w:r>
    <w:r>
      <w:fldChar w:fldCharType="separate"/>
    </w:r>
    <w:r>
      <w:t xml:space="preserve">1</w:t>
    </w:r>
    <w:r>
      <w:fldChar w:fldCharType="end"/>
    </w:r>
  </w:p>
</w:ftr>
</file>

<file path=word/header1.xml><?xml version="1.0" encoding="utf-8"?>
<w:hdr xmlns:mc="http://schemas.openxmlformats.org/markup-compatibility/2006" xmlns:w14="http://schemas.microsoft.com/office/word/2010/wordml" xmlns:w="http://schemas.openxmlformats.org/wordprocessingml/2006/main" mc:Ignorable="w14">
  <w:p w14:paraId="00100000" w14:textId="00100001">
    <w:pPr/>
    <w:r>
      <w:rPr>
        <w:rFonts w:ascii="Arial" w:hAnsi="Arial" w:eastAsia="Arial"/>
        <w:color w:val="000000"/>
        <w:sz w:val="18"/>
      </w:rPr>
      <w:t xml:space="preserve">EXAMPLE OPERATIONS    Fictional business report</w:t>
    </w:r>
  </w:p>
</w:hdr>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updateField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settings>
</file>

<file path=word/styles.xml><?xml version="1.0" encoding="utf-8"?>
<w:styles xmlns:w14="http://schemas.microsoft.com/office/word/2010/wordml" xmlns:mc="http://schemas.openxmlformats.org/markup-compatibility/2006" xmlns:w="http://schemas.openxmlformats.org/wordprocessingml/2006/main" mc:Ignorable="w14">
  <w:docDefaults xmlns:w14="http://schemas.microsoft.com/office/word/2010/wordml" xmlns:mc="http://schemas.openxmlformats.org/markup-compatibility/2006" xmlns:w="http://schemas.openxmlformats.org/wordprocessingml/2006/main">
    <w:rPrDefault>
      <w:rPr>
        <w:rFonts w:ascii="Arial" w:hAnsi="Arial" w:eastAsia="Arial" w:cs="Arial"/>
        <w:color w:val="000000"/>
        <w:sz w:val="23"/>
        <w:szCs w:val="23"/>
      </w:rPr>
    </w:rPrDefault>
    <w:pPrDefault/>
  </w:docDefaults>
  <w:style xmlns:w14="http://schemas.microsoft.com/office/word/2010/wordml" xmlns:mc="http://schemas.openxmlformats.org/markup-compatibility/2006" xmlns:w="http://schemas.openxmlformats.org/wordprocessingml/2006/main" w:type="paragraph" w:styleId="Normal" w:default="true">
    <w:name w:val="Normal"/>
    <w:qFormat/>
    <w:pPr>
      <w:spacing w:after="140" w:line="276" w:lineRule="auto"/>
    </w:pPr>
    <w:rPr>
      <w:rFonts w:ascii="Arial" w:hAnsi="Arial" w:eastAsia="Arial"/>
      <w:color w:val="000000"/>
      <w:sz w:val="23"/>
    </w:rPr>
  </w:style>
  <w:style xmlns:w14="http://schemas.microsoft.com/office/word/2010/wordml" xmlns:mc="http://schemas.openxmlformats.org/markup-compatibility/2006" xmlns:w="http://schemas.openxmlformats.org/wordprocessingml/2006/main" w:type="paragraph" w:styleId="Title">
    <w:name w:val="Title"/>
    <w:basedOn w:val="Normal"/>
    <w:next w:val="Normal"/>
    <w:pPr>
      <w:spacing w:before="0" w:after="360" w:line="276" w:lineRule="auto"/>
    </w:pPr>
    <w:rPr>
      <w:rFonts w:ascii="Arial" w:hAnsi="Arial" w:eastAsia="Arial"/>
      <w:b/>
      <w:color w:val="000000"/>
      <w:sz w:val="64"/>
    </w:rPr>
  </w:style>
  <w:style xmlns:w14="http://schemas.microsoft.com/office/word/2010/wordml" xmlns:mc="http://schemas.openxmlformats.org/markup-compatibility/2006" xmlns:w="http://schemas.openxmlformats.org/wordprocessingml/2006/main" w:type="paragraph" w:styleId="Subtitle">
    <w:name w:val="Subtitle"/>
    <w:basedOn w:val="Normal"/>
    <w:next w:val="Normal"/>
    <w:pPr>
      <w:spacing w:before="0" w:after="240" w:line="276" w:lineRule="auto"/>
    </w:pPr>
    <w:rPr>
      <w:rFonts w:ascii="Arial" w:hAnsi="Arial" w:eastAsia="Arial"/>
      <w:b w:val="false"/>
      <w:color w:val="000000"/>
      <w:sz w:val="32"/>
    </w:rPr>
  </w:style>
  <w:style xmlns:w14="http://schemas.microsoft.com/office/word/2010/wordml" xmlns:mc="http://schemas.openxmlformats.org/markup-compatibility/2006" xmlns:w="http://schemas.openxmlformats.org/wordprocessingml/2006/main" w:type="paragraph" w:styleId="Heading1">
    <w:name w:val="Heading1"/>
    <w:basedOn w:val="Normal"/>
    <w:next w:val="Normal"/>
    <w:pPr>
      <w:spacing w:before="0" w:after="240" w:line="276" w:lineRule="auto"/>
      <w:outlineLvl xmlns:w="http://schemas.openxmlformats.org/wordprocessingml/2006/main" w:val="0"/>
    </w:pPr>
    <w:rPr>
      <w:rFonts w:ascii="Arial" w:hAnsi="Arial" w:eastAsia="Arial"/>
      <w:b/>
      <w:color w:val="000000"/>
      <w:sz w:val="40"/>
    </w:rPr>
  </w:style>
  <w:style xmlns:w14="http://schemas.microsoft.com/office/word/2010/wordml" xmlns:mc="http://schemas.openxmlformats.org/markup-compatibility/2006" xmlns:w="http://schemas.openxmlformats.org/wordprocessingml/2006/main" w:type="paragraph" w:styleId="Heading2">
    <w:name w:val="Heading2"/>
    <w:basedOn w:val="Normal"/>
    <w:next w:val="Normal"/>
    <w:pPr>
      <w:spacing w:before="240" w:after="120" w:line="276" w:lineRule="auto"/>
      <w:outlineLvl xmlns:w="http://schemas.openxmlformats.org/wordprocessingml/2006/main" w:val="1"/>
    </w:pPr>
    <w:rPr>
      <w:rFonts w:ascii="Arial" w:hAnsi="Arial" w:eastAsia="Arial"/>
      <w:b/>
      <w:color w:val="000000"/>
      <w:sz w:val="26"/>
    </w:rPr>
  </w:style>
  <w:style xmlns:w14="http://schemas.microsoft.com/office/word/2010/wordml" xmlns:mc="http://schemas.openxmlformats.org/markup-compatibility/2006" xmlns:w="http://schemas.openxmlformats.org/wordprocessingml/2006/main" w:type="paragraph" w:styleId="Caption" w:customStyle="true">
    <w:name w:val="Caption"/>
    <w:basedOn w:val="Normal"/>
    <w:next w:val="Normal"/>
    <w:pPr>
      <w:spacing w:before="80" w:after="180" w:line="276" w:lineRule="auto"/>
    </w:pPr>
    <w:rPr>
      <w:rFonts w:ascii="Arial" w:hAnsi="Arial" w:eastAsia="Arial"/>
      <w:b w:val="false"/>
      <w:color w:val="000000"/>
      <w:sz w:val="19"/>
    </w:rPr>
  </w:style>
  <w:style xmlns:w14="http://schemas.microsoft.com/office/word/2010/wordml" xmlns:mc="http://schemas.openxmlformats.org/markup-compatibility/2006" xmlns:w="http://schemas.openxmlformats.org/wordprocessingml/2006/main" w:type="paragraph" w:styleId="TOC1" w:customStyle="true">
    <w:name w:val="TOC1"/>
    <w:basedOn w:val="Normal"/>
    <w:next w:val="Normal"/>
    <w:pPr>
      <w:spacing w:before="0" w:after="200" w:line="276" w:lineRule="auto"/>
    </w:pPr>
    <w:rPr>
      <w:rFonts w:ascii="Arial" w:hAnsi="Arial" w:eastAsia="Arial"/>
      <w:b w:val="false"/>
      <w:color w:val="000000"/>
      <w:sz w:val="23"/>
    </w:rPr>
  </w:style>
</w:styles>
</file>

<file path=word/_rels/document.xml.rels>&#65279;<?xml version="1.0" encoding="utf-8"?><Relationships xmlns="http://schemas.openxmlformats.org/package/2006/relationships"><Relationship Type="http://schemas.openxmlformats.org/officeDocument/2006/relationships/settings" Target="/word/settings.xml" Id="R112d488ca7e444f3" /><Relationship Type="http://schemas.openxmlformats.org/officeDocument/2006/relationships/styles" Target="/word/styles.xml" Id="R06cac873df484415" /><Relationship Type="http://schemas.openxmlformats.org/officeDocument/2006/relationships/theme" Target="/word/theme/theme1.xml" Id="Re0c8de81392e4c14" /><Relationship Type="http://schemas.openxmlformats.org/officeDocument/2006/relationships/numbering" Target="/word/numbering.xml" Id="Re9e294eafe874377" /><Relationship Type="http://schemas.openxmlformats.org/officeDocument/2006/relationships/header" Target="/word/header1.xml" Id="R637408b44786407d" /><Relationship Type="http://schemas.openxmlformats.org/officeDocument/2006/relationships/footer" Target="/word/footer1.xml" Id="Rce595e7abc584141" /><Relationship Type="http://schemas.openxmlformats.org/officeDocument/2006/relationships/image" Target="/media/image.png" Id="R5047de65f0374e95" /><Relationship Type="http://schemas.openxmlformats.org/officeDocument/2006/relationships/image" Target="/media/image2.png" Id="R63619884b9754a3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File Viewer contributors</dc:creator>
  <dcterms:created xsi:type="dcterms:W3CDTF">2026-10-20T08:47:10.0000000Z</dcterms:created>
  <lastModifiedBy>File Viewer contributors</lastModifiedBy>
  <dcterms:modified xsi:type="dcterms:W3CDTF">2026-10-20T08:47:10.0000000Z</dcterms:modified>
  <dc:title>Quarterly operations and risk review</dc:title>
  <dc:subject>Fictional business report for the File Viewer demonstration</dc:subject>
  <keywords>fictional example operations quarterly report File Viewer</keywords>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2026-10-20T08:47:13Z</vt:lpwstr>
  </op:property>
</op:Properties>
</file>