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14="http://schemas.microsoft.com/office/word/2010/wordml">
  <w:body>
    <w:p>
      <w:r>
        <w:t>External blob relationship security regression</w:t>
      </w:r>
    </w:p>
    <w:p>
      <w:r>
        <w:drawing>
          <wp:inline distT="0" distB="0" distL="0" distR="0">
            <wp:extent cx="9525" cy="9525"/>
            <wp:docPr id="1" name="external-blob"/>
            <a:graphic>
              <a:graphicData uri="http://schemas.microsoft.com/office/word/2010/wordprocessingInk">
                <w14:contentPart r:id="rIdInk"/>
              </a:graphicData>
            </a:graphic>
          </wp:inline>
        </w:drawing>
      </w:r>
    </w:p>
    <w:sectPr>
      <w:pgSz w:w="12240" w:h="15840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
  <Relationship Id="rIdInk" Type="http://schemas.microsoft.com/office/2007/relationships/ink" Target="http://127.0.0.1:41799/external-blob.svg" TargetMode="External"/>
</Relationships>
</file>