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c8ec636959a4724" /><Relationship Type="http://schemas.openxmlformats.org/package/2006/relationships/metadata/core-properties" Target="/docProps/core.xml" Id="R735f55907d88404d" /><Relationship Type="http://schemas.openxmlformats.org/officeDocument/2006/relationships/extended-properties" Target="/docProps/app.xml" Id="R9b3b658f9e124e9a" /><Relationship Type="http://schemas.openxmlformats.org/officeDocument/2006/relationships/custom-properties" Target="/docProps/custom.xml" Id="R15c91ed67e33407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keepNext/>
        <w:spacing w:after="100"/>
      </w:pPr>
      <w:r>
        <w:rPr>
          <w:rFonts w:ascii="Aptos Display" w:hAnsi="Aptos Display" w:eastAsia="Aptos Display"/>
          <w:b/>
          <w:color w:val="0B1930"/>
          <w:sz w:val="60"/>
        </w:rPr>
        <w:t xml:space="preserve">GLOBAL OPERATIONS BRIEF</w:t>
      </w:r>
    </w:p>
    <w:p w14:paraId="00100002" w14:textId="001000B6">
      <w:pPr>
        <w:pStyle w:val="Subtitle"/>
        <w:keepNext/>
        <w:spacing w:after="400"/>
        <w:ind w:firstLine="0"/>
      </w:pPr>
      <w:r>
        <w:rPr>
          <w:b/>
          <w:color w:val="20A88A"/>
          <w:spacing w:val="28"/>
          <w:sz w:val="20"/>
        </w:rPr>
        <w:t xml:space="preserve">2026 INTERNATIONAL EDITION • BOARD READY</w:t>
      </w:r>
    </w:p>
    <w:p w14:paraId="00100004" w14:textId="001000B7">
      <w:pPr>
        <w:pStyle w:val="Subtitle"/>
        <w:spacing w:after="360" w:line="324" w:lineRule="auto"/>
        <w:ind w:firstLine="0"/>
      </w:pPr>
      <w:r>
        <w:rPr>
          <w:color w:val="3D4A5C"/>
          <w:sz w:val="30"/>
        </w:rPr>
        <w:t xml:space="preserve">A practical view of performance across the Americas, Europe, Asia-Pacific, and Middle East &amp; Africa — with multilingual content, tables, governance notes, and decision-ready recommendations.</w:t>
      </w:r>
    </w:p>
    <w:tbl>
      <w:tblPr>
        <w:tblStyle w:val="medium2"/>
        <w:tblW w:w="8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/>
        <w:tblCaption w:val="Reporting period and operational status"/>
        <w:tblDescription w:val="Summary of reporting scope and program health."/>
      </w:tblPr>
      <w:tblGrid>
        <w:gridCol w:w="2300"/>
        <w:gridCol w:w="3900"/>
        <w:gridCol w:w="1800"/>
      </w:tblGrid>
      <w:tr>
        <w:tc>
          <w:p w14:paraId="00100006" w14:textId="00100007">
            <w:r>
              <w:t xml:space="preserve">PERIOD</w:t>
            </w:r>
          </w:p>
        </w:tc>
        <w:tc>
          <w:p w14:paraId="00100008" w14:textId="00100009">
            <w:r>
              <w:t xml:space="preserve">REPORTING SCOPE</w:t>
            </w:r>
          </w:p>
        </w:tc>
        <w:tc>
          <w:p w14:paraId="0010000A" w14:textId="0010000B">
            <w:r>
              <w:t xml:space="preserve">STATUS</w:t>
            </w:r>
          </w:p>
        </w:tc>
      </w:tr>
      <w:tr>
        <w:tc>
          <w:p w14:paraId="0010000C" w14:textId="0010000D">
            <w:r>
              <w:t xml:space="preserve">FY 2026 H1</w:t>
            </w:r>
          </w:p>
        </w:tc>
        <w:tc>
          <w:p w14:paraId="0010000E" w14:textId="0010000F">
            <w:r>
              <w:t xml:space="preserve">4 regions • 12 markets</w:t>
            </w:r>
          </w:p>
        </w:tc>
        <w:tc>
          <w:p w14:paraId="00100010" w14:textId="00100011">
            <w:r>
              <w:t xml:space="preserve">ON TRACK</w:t>
            </w:r>
          </w:p>
        </w:tc>
      </w:tr>
    </w:tbl>
    <w:p w14:paraId="00100012" w14:textId="00100013">
      <w:pPr>
        <w:pStyle w:val="Heading1"/>
        <w:keepNext/>
        <w:spacing w:before="360" w:after="160"/>
      </w:pPr>
      <w:r>
        <w:rPr>
          <w:color w:val="0B1930"/>
        </w:rPr>
        <w:t xml:space="preserve">1. Executive summary</w:t>
      </w:r>
    </w:p>
    <w:p w14:paraId="00100014" w14:textId="001000B8">
      <w:pPr>
        <w:spacing w:after="160" w:line="300" w:lineRule="auto"/>
        <w:ind w:firstLine="283"/>
      </w:pPr>
      <w:r>
        <w:rPr/>
        <w:t xml:space="preserve">Flyfish Group enters the second half of 2026 with resilient demand and improved delivery discipline. Regional revenue is 8.4% above plan while service availability remains at 99.97%. The priority now is to convert pipeline quality into predictable recurring growth without compromising customer experience.</w:t>
      </w:r>
    </w:p>
    <w:p w14:paraId="00100016" w14:textId="00100017">
      <w:pPr>
        <w:numPr>
          <w:ilvl w:val="0"/>
          <w:numId w:val="1"/>
        </w:numPr>
        <w:spacing w:after="60"/>
      </w:pPr>
      <w:r>
        <w:rPr/>
        <w:t xml:space="preserve">Protect enterprise renewal momentum in North America and Europe.</w:t>
      </w:r>
    </w:p>
    <w:p w14:paraId="00100018" w14:textId="00100019">
      <w:pPr>
        <w:numPr>
          <w:ilvl w:val="0"/>
          <w:numId w:val="1"/>
        </w:numPr>
        <w:spacing w:after="60"/>
      </w:pPr>
      <w:r>
        <w:rPr/>
        <w:t xml:space="preserve">Accelerate partner-led launches in Japan, Singapore, and the Gulf.</w:t>
      </w:r>
    </w:p>
    <w:p w14:paraId="0010001A" w14:textId="0010001B">
      <w:pPr>
        <w:numPr>
          <w:ilvl w:val="0"/>
          <w:numId w:val="1"/>
        </w:numPr>
        <w:spacing w:after="160"/>
      </w:pPr>
      <w:r>
        <w:rPr/>
        <w:t xml:space="preserve">Standardize multilingual onboarding, support, and reporting workflows.</w:t>
      </w:r>
    </w:p>
    <w:p w14:paraId="0010001C" w14:textId="0010001D">
      <w:pPr>
        <w:pStyle w:val="Heading1"/>
        <w:keepNext/>
        <w:spacing w:before="280" w:after="160"/>
      </w:pPr>
      <w:r>
        <w:rPr>
          <w:color w:val="0B1930"/>
        </w:rPr>
        <w:t xml:space="preserve">2. Regional performance</w:t>
      </w:r>
    </w:p>
    <w:tbl>
      <w:tblPr>
        <w:tblStyle w:val="medium2"/>
        <w:tblW w:w="77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/>
        <w:tblCaption w:val="Regional commercial performance"/>
        <w:tblDescription w:val="Revenue and retention indicators by operating region."/>
      </w:tblPr>
      <w:tblGrid>
        <w:gridCol w:w="2700"/>
        <w:gridCol w:w="1800"/>
        <w:gridCol w:w="1600"/>
        <w:gridCol w:w="1600"/>
      </w:tblGrid>
      <w:tr>
        <w:tc>
          <w:p w14:paraId="0010001E" w14:textId="0010001F">
            <w:r>
              <w:t xml:space="preserve">REGION</w:t>
            </w:r>
          </w:p>
        </w:tc>
        <w:tc>
          <w:p w14:paraId="00100020" w14:textId="00100021">
            <w:r>
              <w:t xml:space="preserve">REVENUE</w:t>
            </w:r>
          </w:p>
        </w:tc>
        <w:tc>
          <w:p w14:paraId="00100022" w14:textId="00100023">
            <w:r>
              <w:t xml:space="preserve">VS PLAN</w:t>
            </w:r>
          </w:p>
        </w:tc>
        <w:tc>
          <w:p w14:paraId="00100024" w14:textId="00100025">
            <w:r>
              <w:t xml:space="preserve">RETENTION</w:t>
            </w:r>
          </w:p>
        </w:tc>
      </w:tr>
      <w:tr>
        <w:tc>
          <w:p w14:paraId="00100026" w14:textId="00100027">
            <w:r>
              <w:t xml:space="preserve">Americas</w:t>
            </w:r>
          </w:p>
        </w:tc>
        <w:tc>
          <w:p w14:paraId="00100028" w14:textId="00100029">
            <w:r>
              <w:t xml:space="preserve">$8.6M</w:t>
            </w:r>
          </w:p>
        </w:tc>
        <w:tc>
          <w:p w14:paraId="0010002A" w14:textId="0010002B">
            <w:r>
              <w:t xml:space="preserve">+7.2%</w:t>
            </w:r>
          </w:p>
        </w:tc>
        <w:tc>
          <w:p w14:paraId="0010002C" w14:textId="0010002D">
            <w:r>
              <w:t xml:space="preserve">96.4%</w:t>
            </w:r>
          </w:p>
        </w:tc>
      </w:tr>
      <w:tr>
        <w:tc>
          <w:p w14:paraId="0010002E" w14:textId="0010002F">
            <w:r>
              <w:t xml:space="preserve">Europe</w:t>
            </w:r>
          </w:p>
        </w:tc>
        <w:tc>
          <w:p w14:paraId="00100030" w14:textId="00100031">
            <w:r>
              <w:t xml:space="preserve">$6.9M</w:t>
            </w:r>
          </w:p>
        </w:tc>
        <w:tc>
          <w:p w14:paraId="00100032" w14:textId="00100033">
            <w:r>
              <w:t xml:space="preserve">+9.8%</w:t>
            </w:r>
          </w:p>
        </w:tc>
        <w:tc>
          <w:p w14:paraId="00100034" w14:textId="00100035">
            <w:r>
              <w:t xml:space="preserve">95.7%</w:t>
            </w:r>
          </w:p>
        </w:tc>
      </w:tr>
      <w:tr>
        <w:tc>
          <w:p w14:paraId="00100036" w14:textId="00100037">
            <w:r>
              <w:t xml:space="preserve">Asia-Pacific</w:t>
            </w:r>
          </w:p>
        </w:tc>
        <w:tc>
          <w:p w14:paraId="00100038" w14:textId="00100039">
            <w:r>
              <w:t xml:space="preserve">$5.4M</w:t>
            </w:r>
          </w:p>
        </w:tc>
        <w:tc>
          <w:p w14:paraId="0010003A" w14:textId="0010003B">
            <w:r>
              <w:t xml:space="preserve">+11.6%</w:t>
            </w:r>
          </w:p>
        </w:tc>
        <w:tc>
          <w:p w14:paraId="0010003C" w14:textId="0010003D">
            <w:r>
              <w:t xml:space="preserve">94.9%</w:t>
            </w:r>
          </w:p>
        </w:tc>
      </w:tr>
      <w:tr>
        <w:tc>
          <w:p w14:paraId="0010003E" w14:textId="0010003F">
            <w:r>
              <w:t xml:space="preserve">Middle East &amp; Africa</w:t>
            </w:r>
          </w:p>
        </w:tc>
        <w:tc>
          <w:p w14:paraId="00100040" w14:textId="00100041">
            <w:r>
              <w:t xml:space="preserve">$2.7M</w:t>
            </w:r>
          </w:p>
        </w:tc>
        <w:tc>
          <w:p w14:paraId="00100042" w14:textId="00100043">
            <w:r>
              <w:t xml:space="preserve">+4.1%</w:t>
            </w:r>
          </w:p>
        </w:tc>
        <w:tc>
          <w:p w14:paraId="00100044" w14:textId="00100045">
            <w:r>
              <w:t xml:space="preserve">93.8%</w:t>
            </w:r>
          </w:p>
        </w:tc>
      </w:tr>
    </w:tbl>
    <w:p w14:paraId="00100046" w14:textId="00100047">
      <w:pPr>
        <w:pStyle w:val="Heading2"/>
        <w:keepNext/>
        <w:spacing w:before="240" w:after="100"/>
      </w:pPr>
      <w:r>
        <w:rPr>
          <w:color w:val="245BCA"/>
        </w:rPr>
        <w:t xml:space="preserve">Americas and Europe</w:t>
      </w:r>
    </w:p>
    <w:p w14:paraId="00100048" w14:textId="001000B9">
      <w:pPr>
        <w:spacing w:after="160"/>
        <w:ind w:firstLine="283"/>
      </w:pPr>
      <w:r>
        <w:rPr/>
        <w:t xml:space="preserve">Enterprise expansions led performance. The combined region added 21 strategic accounts and reduced onboarding time from 18 to 12 business days through reusable implementation blueprints.</w:t>
      </w:r>
    </w:p>
    <w:p w14:paraId="0010004A" w14:textId="0010004B">
      <w:pPr>
        <w:pStyle w:val="Heading2"/>
        <w:keepNext/>
        <w:spacing w:before="200" w:after="100"/>
      </w:pPr>
      <w:r>
        <w:rPr>
          <w:color w:val="245BCA"/>
        </w:rPr>
        <w:t xml:space="preserve">Asia-Pacific and MEA</w:t>
      </w:r>
    </w:p>
    <w:p w14:paraId="0010004C" w14:textId="001000BA">
      <w:pPr>
        <w:spacing w:after="160"/>
        <w:ind w:firstLine="283"/>
      </w:pPr>
      <w:r>
        <w:rPr/>
        <w:t xml:space="preserve">Partner channels generated 43% of new pipeline. Localization quality and time-zone coverage remain the strongest predictors of successful activation, particularly for Japan and the Gulf markets.</w:t>
      </w:r>
    </w:p>
    <w:p w14:paraId="0010004E" w14:textId="0010004F">
      <w:pPr>
        <w:pStyle w:val="Heading1"/>
        <w:keepNext/>
        <w:pageBreakBefore/>
        <w:spacing w:after="160"/>
      </w:pPr>
      <w:r>
        <w:rPr>
          <w:color w:val="0B1930"/>
        </w:rPr>
        <w:t xml:space="preserve">3. Operating priorities</w:t>
      </w:r>
    </w:p>
    <w:p w14:paraId="00100050" w14:textId="00100051">
      <w:pPr>
        <w:numPr>
          <w:ilvl w:val="0"/>
          <w:numId w:val="2"/>
        </w:numPr>
        <w:spacing w:after="80"/>
      </w:pPr>
      <w:r>
        <w:rPr/>
        <w:t xml:space="preserve">Unify the customer launch playbook across sales, delivery, and support.</w:t>
      </w:r>
    </w:p>
    <w:p w14:paraId="00100052" w14:textId="00100053">
      <w:pPr>
        <w:numPr>
          <w:ilvl w:val="0"/>
          <w:numId w:val="2"/>
        </w:numPr>
        <w:spacing w:after="80"/>
      </w:pPr>
      <w:r>
        <w:rPr/>
        <w:t xml:space="preserve">Publish localized enablement packs for English, Chinese, Japanese, and Arabic audiences.</w:t>
      </w:r>
    </w:p>
    <w:p w14:paraId="00100054" w14:textId="00100055">
      <w:pPr>
        <w:numPr>
          <w:ilvl w:val="0"/>
          <w:numId w:val="2"/>
        </w:numPr>
        <w:spacing w:after="200"/>
      </w:pPr>
      <w:r>
        <w:rPr/>
        <w:t xml:space="preserve">Introduce weekly risk reviews with owners, due dates, and measurable exit criteria.</w:t>
      </w:r>
    </w:p>
    <w:tbl>
      <w:tblPr>
        <w:tblStyle w:val="light2"/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4A0"/>
        <w:tblCaption w:val="Operational risk register"/>
        <w:tblDescription w:val="Key risks with accountable owners and mitigations."/>
      </w:tblPr>
      <w:tblGrid>
        <w:gridCol w:w="2500"/>
        <w:gridCol w:w="1500"/>
        <w:gridCol w:w="1900"/>
        <w:gridCol w:w="3100"/>
      </w:tblGrid>
      <w:tr>
        <w:tc>
          <w:p w14:paraId="00100056" w14:textId="00100057">
            <w:r>
              <w:t xml:space="preserve">RISK</w:t>
            </w:r>
          </w:p>
        </w:tc>
        <w:tc>
          <w:p w14:paraId="00100058" w14:textId="00100059">
            <w:r>
              <w:t xml:space="preserve">EXPOSURE</w:t>
            </w:r>
          </w:p>
        </w:tc>
        <w:tc>
          <w:p w14:paraId="0010005A" w14:textId="0010005B">
            <w:r>
              <w:t xml:space="preserve">OWNER</w:t>
            </w:r>
          </w:p>
        </w:tc>
        <w:tc>
          <w:p w14:paraId="0010005C" w14:textId="0010005D">
            <w:r>
              <w:t xml:space="preserve">MITIGATION</w:t>
            </w:r>
          </w:p>
        </w:tc>
      </w:tr>
      <w:tr>
        <w:tc>
          <w:p w14:paraId="0010005E" w14:textId="0010005F">
            <w:r>
              <w:t xml:space="preserve">Localization delay</w:t>
            </w:r>
          </w:p>
        </w:tc>
        <w:tc>
          <w:p w14:paraId="00100060" w14:textId="00100061">
            <w:r>
              <w:t xml:space="preserve">Medium</w:t>
            </w:r>
          </w:p>
        </w:tc>
        <w:tc>
          <w:p w14:paraId="00100062" w14:textId="00100063">
            <w:r>
              <w:t xml:space="preserve">Regional Ops</w:t>
            </w:r>
          </w:p>
        </w:tc>
        <w:tc>
          <w:p w14:paraId="00100064" w14:textId="00100065">
            <w:r>
              <w:t xml:space="preserve">Pre-approved language packs</w:t>
            </w:r>
          </w:p>
        </w:tc>
      </w:tr>
      <w:tr>
        <w:tc>
          <w:p w14:paraId="00100066" w14:textId="00100067">
            <w:r>
              <w:t xml:space="preserve">Capacity concentration</w:t>
            </w:r>
          </w:p>
        </w:tc>
        <w:tc>
          <w:p w14:paraId="00100068" w14:textId="00100069">
            <w:r>
              <w:t xml:space="preserve">High</w:t>
            </w:r>
          </w:p>
        </w:tc>
        <w:tc>
          <w:p w14:paraId="0010006A" w14:textId="0010006B">
            <w:r>
              <w:t xml:space="preserve">Platform</w:t>
            </w:r>
          </w:p>
        </w:tc>
        <w:tc>
          <w:p w14:paraId="0010006C" w14:textId="0010006D">
            <w:r>
              <w:t xml:space="preserve">Multi-region failover drill</w:t>
            </w:r>
          </w:p>
        </w:tc>
      </w:tr>
      <w:tr>
        <w:tc>
          <w:p w14:paraId="0010006E" w14:textId="0010006F">
            <w:r>
              <w:t xml:space="preserve">Partner readiness</w:t>
            </w:r>
          </w:p>
        </w:tc>
        <w:tc>
          <w:p w14:paraId="00100070" w14:textId="00100071">
            <w:r>
              <w:t xml:space="preserve">Medium</w:t>
            </w:r>
          </w:p>
        </w:tc>
        <w:tc>
          <w:p w14:paraId="00100072" w14:textId="00100073">
            <w:r>
              <w:t xml:space="preserve">Alliances</w:t>
            </w:r>
          </w:p>
        </w:tc>
        <w:tc>
          <w:p w14:paraId="00100074" w14:textId="00100075">
            <w:r>
              <w:t xml:space="preserve">Certification sprint</w:t>
            </w:r>
          </w:p>
        </w:tc>
      </w:tr>
      <w:tr>
        <w:tc>
          <w:p w14:paraId="00100076" w14:textId="00100077">
            <w:r>
              <w:t xml:space="preserve">Forecast variance</w:t>
            </w:r>
          </w:p>
        </w:tc>
        <w:tc>
          <w:p w14:paraId="00100078" w14:textId="00100079">
            <w:r>
              <w:t xml:space="preserve">Low</w:t>
            </w:r>
          </w:p>
        </w:tc>
        <w:tc>
          <w:p w14:paraId="0010007A" w14:textId="0010007B">
            <w:r>
              <w:t xml:space="preserve">Finance</w:t>
            </w:r>
          </w:p>
        </w:tc>
        <w:tc>
          <w:p w14:paraId="0010007C" w14:textId="0010007D">
            <w:r>
              <w:t xml:space="preserve">Weekly pipeline hygiene</w:t>
            </w:r>
          </w:p>
        </w:tc>
      </w:tr>
    </w:tbl>
    <w:p w14:paraId="0010007E" w14:textId="0010007F">
      <w:pPr>
        <w:pStyle w:val="Heading1"/>
        <w:keepNext/>
        <w:spacing w:before="320" w:after="160"/>
      </w:pPr>
      <w:r>
        <w:rPr>
          <w:color w:val="0B1930"/>
        </w:rPr>
        <w:t xml:space="preserve">4. Decision framework</w:t>
      </w:r>
    </w:p>
    <w:p w14:paraId="00100080" w14:textId="001000BB">
      <w:pPr>
        <w:shd w:val="clear" w:fill="EAFBF7"/>
        <w:spacing w:before="80" w:after="240" w:line="300" w:lineRule="auto"/>
        <w:ind w:left="198" w:right="198" w:firstLine="283"/>
      </w:pPr>
      <w:r>
        <w:rPr/>
        <w:t xml:space="preserve">Approve initiatives that meet all three tests: customer evidence, measurable operating leverage, and a clear 90-day owner. Defer projects that add local complexity without creating reusable capability.</w:t>
      </w:r>
    </w:p>
    <w:p w14:paraId="00100082" w14:textId="00100083">
      <w:pPr>
        <w:pStyle w:val="Heading1"/>
        <w:keepNext/>
        <w:pageBreakBefore/>
        <w:spacing w:after="160"/>
      </w:pPr>
      <w:r>
        <w:rPr>
          <w:color w:val="0B1930"/>
        </w:rPr>
        <w:t xml:space="preserve">5. Multilingual customer note</w:t>
      </w:r>
    </w:p>
    <w:p w14:paraId="00100084" w14:textId="00100085">
      <w:pPr>
        <w:pStyle w:val="Heading2"/>
        <w:keepNext/>
        <w:spacing w:after="80"/>
      </w:pPr>
      <w:r>
        <w:rPr>
          <w:color w:val="245BCA"/>
        </w:rPr>
        <w:t xml:space="preserve">English</w:t>
      </w:r>
    </w:p>
    <w:p w14:paraId="00100086" w14:textId="001000BC">
      <w:pPr>
        <w:spacing w:after="200"/>
        <w:ind w:firstLine="283"/>
      </w:pPr>
      <w:r>
        <w:rPr/>
        <w:t xml:space="preserve">Your documents remain under your control. Office Preview processes supported files in the browser and loads format-specific components only when needed.</w:t>
      </w:r>
    </w:p>
    <w:p w14:paraId="00100088" w14:textId="001000C0">
      <w:pPr>
        <w:pStyle w:val="Heading2"/>
        <w:keepNext/>
        <w:spacing w:after="80"/>
      </w:pPr>
      <w:r>
        <w:rPr>
          <w:rFonts w:eastAsia="Hiragino Sans"/>
          <w:color w:val="245BCA"/>
        </w:rPr>
        <w:t xml:space="preserve">简体中文</w:t>
      </w:r>
    </w:p>
    <w:p w14:paraId="0010008A" w14:textId="001000C1">
      <w:pPr>
        <w:spacing w:after="200"/>
        <w:ind w:firstLine="283"/>
      </w:pPr>
      <w:r>
        <w:rPr>
          <w:rFonts w:eastAsia="Hiragino Sans"/>
        </w:rPr>
        <w:t xml:space="preserve">您的文档始终由您掌控。Office Preview 在浏览器中处理受支持的文件，并仅在需要时加载对应格式组件。</w:t>
      </w:r>
    </w:p>
    <w:p w14:paraId="0010008C" w14:textId="001000C2">
      <w:pPr>
        <w:pStyle w:val="Heading2"/>
        <w:keepNext/>
        <w:spacing w:after="80"/>
      </w:pPr>
      <w:r>
        <w:rPr>
          <w:rFonts w:eastAsia="Hiragino Sans"/>
          <w:color w:val="245BCA"/>
        </w:rPr>
        <w:t xml:space="preserve">日本語</w:t>
      </w:r>
    </w:p>
    <w:p w14:paraId="0010008E" w14:textId="001000C3">
      <w:pPr>
        <w:spacing w:after="200"/>
        <w:ind w:firstLine="283"/>
      </w:pPr>
      <w:r>
        <w:rPr>
          <w:rFonts w:eastAsia="Hiragino Sans"/>
        </w:rPr>
        <w:t xml:space="preserve">ドキュメントは常にお客様の管理下にあります。対応ファイルはブラウザー内で処理され、必要な形式のコンポーネントだけが読み込まれます。</w:t>
      </w:r>
    </w:p>
    <w:p w14:paraId="00100090" w14:textId="00100091">
      <w:pPr>
        <w:pStyle w:val="Heading2"/>
        <w:keepNext/>
        <w:bidi/>
        <w:spacing w:after="80"/>
        <w:rPr>
          <w:bCs/>
        </w:rPr>
      </w:pPr>
      <w:r>
        <w:rPr>
          <w:rFonts w:cs="Arial"/>
          <w:bCs/>
          <w:color w:val="245BCA"/>
          <w:rtl/>
        </w:rPr>
        <w:t xml:space="preserve">العربية</w:t>
      </w:r>
    </w:p>
    <w:p w14:paraId="00100092" w14:textId="001000BF">
      <w:pPr>
        <w:bidi/>
        <w:spacing w:after="200"/>
        <w:ind w:firstLine="283"/>
        <w:rPr>
          <w:szCs w:val="22"/>
        </w:rPr>
      </w:pPr>
      <w:r>
        <w:rPr>
          <w:rFonts w:cs="Arial"/>
          <w:szCs w:val="22"/>
          <w:rtl/>
        </w:rPr>
        <w:t xml:space="preserve">تظل مستنداتك تحت سيطرتك. تتم معالجة الملفات المدعومة داخل المتصفح، ولا يتم تحميل مكونات التنسيق إلا عند الحاجة.</w:t>
      </w:r>
    </w:p>
    <w:p w14:paraId="00100094" w14:textId="00100095">
      <w:pPr>
        <w:pStyle w:val="Heading1"/>
        <w:keepNext/>
        <w:spacing w:before="320" w:after="160"/>
      </w:pPr>
      <w:r>
        <w:rPr>
          <w:color w:val="0B1930"/>
        </w:rPr>
        <w:t xml:space="preserve">6. Next 90 days</w:t>
      </w:r>
    </w:p>
    <w:tbl>
      <w:tblPr>
        <w:tblStyle w:val="medium2"/>
        <w:tblW w:w="88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/>
        <w:tblCaption w:val="Ninety-day milestone plan"/>
        <w:tblDescription w:val="Upcoming milestones with dates and measurable outcomes."/>
      </w:tblPr>
      <w:tblGrid>
        <w:gridCol w:w="3300"/>
        <w:gridCol w:w="1900"/>
        <w:gridCol w:w="3600"/>
      </w:tblGrid>
      <w:tr>
        <w:tc>
          <w:p w14:paraId="00100096" w14:textId="00100097">
            <w:r>
              <w:t xml:space="preserve">MILESTONE</w:t>
            </w:r>
          </w:p>
        </w:tc>
        <w:tc>
          <w:p w14:paraId="00100098" w14:textId="00100099">
            <w:r>
              <w:t xml:space="preserve">DATE</w:t>
            </w:r>
          </w:p>
        </w:tc>
        <w:tc>
          <w:p w14:paraId="0010009A" w14:textId="0010009B">
            <w:r>
              <w:t xml:space="preserve">SUCCESS MEASURE</w:t>
            </w:r>
          </w:p>
        </w:tc>
      </w:tr>
      <w:tr>
        <w:tc>
          <w:p w14:paraId="0010009C" w14:textId="0010009D">
            <w:r>
              <w:t xml:space="preserve">Regional playbook v2</w:t>
            </w:r>
          </w:p>
        </w:tc>
        <w:tc>
          <w:p w14:paraId="0010009E" w14:textId="0010009F">
            <w:r>
              <w:t xml:space="preserve">15 August</w:t>
            </w:r>
          </w:p>
        </w:tc>
        <w:tc>
          <w:p w14:paraId="001000A0" w14:textId="001000A1">
            <w:r>
              <w:t xml:space="preserve">100% launch coverage</w:t>
            </w:r>
          </w:p>
        </w:tc>
      </w:tr>
      <w:tr>
        <w:tc>
          <w:p w14:paraId="001000A2" w14:textId="001000A3">
            <w:r>
              <w:t xml:space="preserve">Partner certification</w:t>
            </w:r>
          </w:p>
        </w:tc>
        <w:tc>
          <w:p w14:paraId="001000A4" w14:textId="001000A5">
            <w:r>
              <w:t xml:space="preserve">12 September</w:t>
            </w:r>
          </w:p>
        </w:tc>
        <w:tc>
          <w:p w14:paraId="001000A6" w14:textId="001000A7">
            <w:r>
              <w:t xml:space="preserve">30 certified partners</w:t>
            </w:r>
          </w:p>
        </w:tc>
      </w:tr>
      <w:tr>
        <w:tc>
          <w:p w14:paraId="001000A8" w14:textId="001000A9">
            <w:r>
              <w:t xml:space="preserve">Localization baseline</w:t>
            </w:r>
          </w:p>
        </w:tc>
        <w:tc>
          <w:p w14:paraId="001000AA" w14:textId="001000AB">
            <w:r>
              <w:t xml:space="preserve">30 September</w:t>
            </w:r>
          </w:p>
        </w:tc>
        <w:tc>
          <w:p w14:paraId="001000AC" w14:textId="001000AD">
            <w:r>
              <w:t xml:space="preserve">4 production languages</w:t>
            </w:r>
          </w:p>
        </w:tc>
      </w:tr>
      <w:tr>
        <w:tc>
          <w:p w14:paraId="001000AE" w14:textId="001000AF">
            <w:r>
              <w:t xml:space="preserve">Executive review</w:t>
            </w:r>
          </w:p>
        </w:tc>
        <w:tc>
          <w:p w14:paraId="001000B0" w14:textId="001000B1">
            <w:r>
              <w:t xml:space="preserve">10 October</w:t>
            </w:r>
          </w:p>
        </w:tc>
        <w:tc>
          <w:p w14:paraId="001000B2" w14:textId="001000B3">
            <w:r>
              <w:t xml:space="preserve">Decision on FY 2027 scale plan</w:t>
            </w:r>
          </w:p>
        </w:tc>
      </w:tr>
    </w:tbl>
    <w:sectPr>
      <w:footerReference w:type="default" r:id="R9d37262467194ef9"/>
      <w:pgSz w:w="11906" w:h="16838"/>
      <w:pgMar w:top="1077" w:right="1191" w:bottom="1020" w:left="119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B4" w14:textId="001000B5">
    <w:pPr>
      <w:jc w:val="center"/>
    </w:pPr>
    <w:r>
      <w:rPr>
        <w:rFonts w:ascii="Aptos" w:hAnsi="Aptos" w:eastAsia="Aptos"/>
        <w:color w:val="68768A"/>
        <w:sz w:val="17"/>
      </w:rPr>
      <w:t xml:space="preserve">FLYFISH OFFICE PREVIEW  •  GLOBAL OPERATIONS  •  PAGE </w:t>
    </w:r>
    <w:r>
      <w:rPr>
        <w:rFonts w:ascii="Aptos" w:hAnsi="Aptos" w:eastAsia="Aptos"/>
        <w:color w:val="68768A"/>
        <w:sz w:val="17"/>
      </w:rPr>
      <w:fldChar w:fldCharType="begin"/>
    </w:r>
    <w:r>
      <w:rPr>
        <w:rFonts w:ascii="Aptos" w:hAnsi="Aptos" w:eastAsia="Aptos"/>
        <w:color w:val="68768A"/>
        <w:sz w:val="17"/>
      </w:rPr>
      <w:instrText xml:space="preserve"> PAGE </w:instrText>
    </w:r>
    <w:r>
      <w:rPr>
        <w:rFonts w:ascii="Aptos" w:hAnsi="Aptos" w:eastAsia="Aptos"/>
        <w:color w:val="68768A"/>
        <w:sz w:val="17"/>
      </w:rPr>
      <w:fldChar w:fldCharType="separate"/>
    </w:r>
    <w:r>
      <w:rPr>
        <w:rFonts w:ascii="Aptos" w:hAnsi="Aptos" w:eastAsia="Aptos"/>
        <w:color w:val="68768A"/>
        <w:sz w:val="17"/>
      </w:rPr>
      <w:t xml:space="preserve">1</w:t>
    </w:r>
    <w:r>
      <w:rPr>
        <w:rFonts w:ascii="Aptos" w:hAnsi="Aptos" w:eastAsia="Aptos"/>
        <w:color w:val="68768A"/>
        <w:sz w:val="17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Aptos" w:hAnsi="Aptos" w:eastAsia="Aptos" w:cs="Aptos"/>
        <w:sz w:val="21"/>
        <w:szCs w:val="21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6b5e43f27924327" /><Relationship Type="http://schemas.openxmlformats.org/officeDocument/2006/relationships/styles" Target="/word/styles.xml" Id="R548a2f116b2846bc" /><Relationship Type="http://schemas.openxmlformats.org/officeDocument/2006/relationships/theme" Target="/word/theme/theme1.xml" Id="Ra04e07e06b2e4571" /><Relationship Type="http://schemas.openxmlformats.org/officeDocument/2006/relationships/numbering" Target="/word/numbering.xml" Id="R394b2f6168484f6c" /><Relationship Type="http://schemas.openxmlformats.org/officeDocument/2006/relationships/footer" Target="/word/footer1.xml" Id="R9d37262467194ef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B1930"/>
      </a:dk1>
      <a:lt1>
        <a:sysClr val="window" lastClr="FFFFFF"/>
      </a:lt1>
      <a:dk2>
        <a:srgbClr val="44546A"/>
      </a:dk2>
      <a:lt2>
        <a:srgbClr val="E7E6E6"/>
      </a:lt2>
      <a:accent1>
        <a:srgbClr val="20C6A6"/>
      </a:accent1>
      <a:accent2>
        <a:srgbClr val="3579F6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OfficeCLI/1.0.139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Flyfish Office Preview</dc:creator>
  <dcterms:created xsi:type="dcterms:W3CDTF">2026-07-22T10:08:09.0000000Z</dcterms:created>
  <lastModifiedBy>OfficeCLI</lastModifiedBy>
  <dcterms:modified xsi:type="dcterms:W3CDTF">2026-07-22T10:08:09.0000000Z</dcterms:modified>
  <dc:title>Global Operations Brief 2026</dc:title>
  <dc:subject>International business operations</dc:subject>
  <keywords>global operations,office preview,international,multilingual</keywords>
  <dc:description>A professional multilingual operations report created for Office Preview validation.</dc:description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1.0.139</vt:lpwstr>
  </op:property>
  <op:property fmtid="{D5CDD505-2E9C-101B-9397-08002B2CF9AE}" pid="3" name="OfficeCLI.LastModified">
    <vt:lpwstr xmlns:vt="http://schemas.openxmlformats.org/officeDocument/2006/docPropsVTypes">2026-07-22T10:22:26Z</vt:lpwstr>
  </op:property>
</op:Properties>
</file>