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67F4E4">
      <w:pPr>
        <w:pStyle w:val="10"/>
      </w:pPr>
      <w:r>
        <w:rPr>
          <w:rFonts w:ascii="微软雅黑" w:hAnsi="微软雅黑" w:eastAsia="微软雅黑" w:cs="微软雅黑"/>
          <w:b/>
          <w:bCs/>
          <w:sz w:val="56"/>
          <w:szCs w:val="56"/>
        </w:rPr>
        <w:t>师比画廊 商业计划书</w:t>
      </w:r>
    </w:p>
    <w:p w14:paraId="741F8327">
      <w:pPr>
        <w:spacing w:after="400"/>
        <w:jc w:val="center"/>
      </w:pPr>
      <w:r>
        <w:rPr>
          <w:rFonts w:ascii="微软雅黑" w:hAnsi="微软雅黑" w:eastAsia="微软雅黑" w:cs="微软雅黑"/>
          <w:sz w:val="32"/>
          <w:szCs w:val="32"/>
        </w:rPr>
        <w:t>MUDWATER GALLERY</w:t>
      </w:r>
    </w:p>
    <w:p w14:paraId="702B3028">
      <w:pPr>
        <w:spacing w:after="600"/>
        <w:jc w:val="center"/>
      </w:pPr>
      <w:r>
        <w:rPr>
          <w:rFonts w:ascii="微软雅黑" w:hAnsi="微软雅黑" w:eastAsia="微软雅黑" w:cs="微软雅黑"/>
          <w:i/>
          <w:iCs/>
          <w:sz w:val="28"/>
          <w:szCs w:val="28"/>
        </w:rPr>
        <w:t>让每一幅原作，都成为可运营的IP资产</w:t>
      </w:r>
    </w:p>
    <w:p w14:paraId="69B720E1">
      <w:pPr>
        <w:pStyle w:val="2"/>
      </w:pPr>
      <w:r>
        <w:t>一、执行摘要</w:t>
      </w:r>
    </w:p>
    <w:p w14:paraId="1A278F37">
      <w:pPr>
        <w:spacing w:after="200"/>
      </w:pPr>
      <w:r>
        <w:rPr>
          <w:rFonts w:ascii="微软雅黑" w:hAnsi="微软雅黑" w:eastAsia="微软雅黑" w:cs="微软雅黑"/>
          <w:sz w:val="24"/>
          <w:szCs w:val="24"/>
        </w:rPr>
        <w:t>师比画廊是一个专注于中国青年艺术家的线上交易与版权服务平台。我们解决的，是艺术品市场长期存在的三个断裂：信息断裂（99%的青年艺术家从未被看见）、信任断裂（普通消费者不敢买、不知在哪买）、交易断裂（供需两旺，但中间隔着一个不透明的守门人）。</w:t>
      </w:r>
    </w:p>
    <w:p w14:paraId="147F1C0B">
      <w:pPr>
        <w:spacing w:after="200"/>
      </w:pPr>
      <w:r>
        <w:rPr>
          <w:rFonts w:ascii="微软雅黑" w:hAnsi="微软雅黑" w:eastAsia="微软雅黑" w:cs="微软雅黑"/>
          <w:sz w:val="24"/>
          <w:szCs w:val="24"/>
        </w:rPr>
        <w:t>我们的方案分三步：第一步，用严选+鉴证+明码标价的电商化逻辑，重建交易信任；第二步，用线上策展和内容引流，让供需高效匹配；第三步，用版权授权居间服务，帮藏家参与艺术家IP的成长过程，帮艺术家获得作品销售之外的持续性收益。</w:t>
      </w:r>
    </w:p>
    <w:p w14:paraId="4D82ACE5">
      <w:pPr>
        <w:spacing w:after="200"/>
      </w:pPr>
      <w:r>
        <w:rPr>
          <w:rFonts w:ascii="微软雅黑" w:hAnsi="微软雅黑" w:eastAsia="微软雅黑" w:cs="微软雅黑"/>
          <w:sz w:val="24"/>
          <w:szCs w:val="24"/>
        </w:rPr>
        <w:t>我们的核心壁垒，来自三步走形成的数据飞轮：实体画交易积累艺术家定价数据和藏家行为画像，数据反过来驱动高客单价的版权居间业务。整个过程，资金由第三方存管，平台不碰钱，从结构上规避了金融合规风险。</w:t>
      </w:r>
    </w:p>
    <w:p w14:paraId="33019A76">
      <w:pPr>
        <w:spacing w:after="400"/>
      </w:pPr>
      <w:r>
        <w:rPr>
          <w:rFonts w:ascii="微软雅黑" w:hAnsi="微软雅黑" w:eastAsia="微软雅黑" w:cs="微软雅黑"/>
          <w:sz w:val="24"/>
          <w:szCs w:val="24"/>
        </w:rPr>
        <w:t>团队横跨艺术策展、互联网产品和商业设计三个领域，已经完成了上百位艺术家和消费者的线下验证。我们计划在12个月内，完成从MVP上线到版权收入占比30%的完整闭环。</w:t>
      </w:r>
    </w:p>
    <w:p w14:paraId="652BEEA4">
      <w:pPr>
        <w:pStyle w:val="2"/>
      </w:pPr>
      <w:r>
        <w:t>二、市场分析</w:t>
      </w:r>
    </w:p>
    <w:p w14:paraId="722C967C">
      <w:pPr>
        <w:pStyle w:val="3"/>
      </w:pPr>
      <w:r>
        <w:t>2.1 市场时机：三个变量交汇</w:t>
      </w:r>
    </w:p>
    <w:p w14:paraId="7C474E0C">
      <w:pPr>
        <w:pStyle w:val="4"/>
      </w:pPr>
      <w:r>
        <w:t>变量一：消费者换代</w:t>
      </w:r>
    </w:p>
    <w:p w14:paraId="615C6F36">
      <w:pPr>
        <w:spacing w:after="200"/>
      </w:pPr>
      <w:r>
        <w:rPr>
          <w:rFonts w:ascii="微软雅黑" w:hAnsi="微软雅黑" w:eastAsia="微软雅黑" w:cs="微软雅黑"/>
          <w:sz w:val="24"/>
          <w:szCs w:val="24"/>
        </w:rPr>
        <w:t>Z世代正在成为文化消费的主力军。他们的购买逻辑不再是'权威告诉我什么好'，而是'我懂、我喜欢、我信任这个人'。传统画廊的权威叙事正在失效。</w:t>
      </w:r>
    </w:p>
    <w:p w14:paraId="0573CC03">
      <w:pPr>
        <w:pStyle w:val="4"/>
      </w:pPr>
      <w:r>
        <w:t>变量二：基础设施成熟</w:t>
      </w:r>
    </w:p>
    <w:p w14:paraId="1B8346FF">
      <w:pPr>
        <w:spacing w:after="200"/>
      </w:pPr>
      <w:r>
        <w:rPr>
          <w:rFonts w:ascii="微软雅黑" w:hAnsi="微软雅黑" w:eastAsia="微软雅黑" w:cs="微软雅黑"/>
          <w:sz w:val="24"/>
          <w:szCs w:val="24"/>
        </w:rPr>
        <w:t>第三方艺术品鉴证技术、数字证书存证、在线分账系统、第三方资金存管——这些曾经阻碍高客单价线上艺术品交易的基础设施，今天已经全部就位。</w:t>
      </w:r>
    </w:p>
    <w:p w14:paraId="23CF9231">
      <w:pPr>
        <w:pStyle w:val="4"/>
      </w:pPr>
      <w:r>
        <w:t>变量三：供给侧溢出</w:t>
      </w:r>
    </w:p>
    <w:p w14:paraId="6F3199D6">
      <w:pPr>
        <w:spacing w:after="300"/>
      </w:pPr>
      <w:r>
        <w:rPr>
          <w:rFonts w:ascii="微软雅黑" w:hAnsi="微软雅黑" w:eastAsia="微软雅黑" w:cs="微软雅黑"/>
          <w:sz w:val="24"/>
          <w:szCs w:val="24"/>
        </w:rPr>
        <w:t>美院扩招二十余年，每年有数以万计受过专业训练的青年艺术家涌入市场。但传统画廊体系只服务金字塔尖不到1%的成名艺术家。90%以上的人，完全没有进入市场的专业渠道。</w:t>
      </w:r>
    </w:p>
    <w:p w14:paraId="5C101FD4">
      <w:pPr>
        <w:pStyle w:val="3"/>
      </w:pPr>
      <w:r>
        <w:t>2.2 市场现状：三个断裂</w:t>
      </w:r>
    </w:p>
    <w:p w14:paraId="563F37D7">
      <w:pPr>
        <w:spacing w:after="200"/>
      </w:pPr>
      <w:r>
        <w:rPr>
          <w:rFonts w:ascii="微软雅黑" w:hAnsi="微软雅黑" w:eastAsia="微软雅黑" w:cs="微软雅黑"/>
          <w:sz w:val="24"/>
          <w:szCs w:val="24"/>
        </w:rPr>
        <w:t>传统画廊掌握着绝对的话语权，造成整个艺术品交易市场的结构性低效：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2"/>
        <w:gridCol w:w="3384"/>
        <w:gridCol w:w="3730"/>
      </w:tblGrid>
      <w:tr w14:paraId="4B212D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895B85C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断裂类型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51C7F4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表现</w:t>
            </w:r>
          </w:p>
        </w:tc>
        <w:tc>
          <w:tcPr>
            <w:tcW w:w="3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CA42B3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后果</w:t>
            </w:r>
          </w:p>
        </w:tc>
      </w:tr>
      <w:tr w14:paraId="071DD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6C5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信息断裂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3CB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200万青年艺术家，99%的作品从未被专业渠道展示过</w:t>
            </w:r>
          </w:p>
        </w:tc>
        <w:tc>
          <w:tcPr>
            <w:tcW w:w="3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32BB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供给端极度压抑，大量优质创作无法触达市场</w:t>
            </w:r>
          </w:p>
        </w:tc>
      </w:tr>
      <w:tr w14:paraId="501E5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1C073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信任断裂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74A6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消费者想买原作，但线上真假难辨，线下画廊门槛高企</w:t>
            </w:r>
          </w:p>
        </w:tc>
        <w:tc>
          <w:tcPr>
            <w:tcW w:w="3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900B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需求端被迫外溢，大量真实购买力被浪费在廉价装饰画上</w:t>
            </w:r>
          </w:p>
        </w:tc>
      </w:tr>
      <w:tr w14:paraId="0758B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99F8AC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交易断裂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9F6DB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画廊两头不透明：对艺术家高额抽佣，对藏家信息封闭</w:t>
            </w:r>
          </w:p>
        </w:tc>
        <w:tc>
          <w:tcPr>
            <w:tcW w:w="38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DAD6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供需两端都极度渴望一个新的连接方式</w:t>
            </w:r>
          </w:p>
        </w:tc>
      </w:tr>
    </w:tbl>
    <w:p w14:paraId="68FD08D2">
      <w:pPr>
        <w:spacing w:after="300"/>
      </w:pPr>
    </w:p>
    <w:p w14:paraId="0842F291">
      <w:pPr>
        <w:pStyle w:val="3"/>
      </w:pPr>
      <w:r>
        <w:t>2.3 市场规模</w:t>
      </w:r>
    </w:p>
    <w:p w14:paraId="58BE0C1C">
      <w:pPr>
        <w:spacing w:after="2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我们聚焦中国青年艺术家原作消费市场。采用自下而上的推导：</w:t>
      </w:r>
    </w:p>
    <w:p w14:paraId="5739A0CF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中国城镇人口中，25-35岁、年收入15万以上、有独立居住空间的人群约8000万</w:t>
      </w:r>
    </w:p>
    <w:p w14:paraId="24EDDE77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假设其中千分之一的消费者，在五年内购买一幅青年艺术家原作，客单价2000元</w:t>
      </w:r>
    </w:p>
    <w:p w14:paraId="53654A49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这个市场保守估算也有160亿规模</w:t>
      </w:r>
    </w:p>
    <w:p w14:paraId="09423CA0">
      <w:pPr>
        <w:spacing w:before="200" w:after="400"/>
      </w:pPr>
      <w:r>
        <w:rPr>
          <w:rFonts w:ascii="微软雅黑" w:hAnsi="微软雅黑" w:eastAsia="微软雅黑" w:cs="微软雅黑"/>
          <w:sz w:val="24"/>
          <w:szCs w:val="24"/>
        </w:rPr>
        <w:t>这还只是实体画交易。版权授权居间业务的客单价是零售的5-20倍，且目前该领域几乎无人涉足。</w:t>
      </w:r>
    </w:p>
    <w:p w14:paraId="5D060BFB">
      <w:pPr>
        <w:pStyle w:val="2"/>
      </w:pPr>
      <w:r>
        <w:t>三、解决方案：三步，修好一个断裂的市场</w:t>
      </w:r>
    </w:p>
    <w:p w14:paraId="02DEA9BB">
      <w:pPr>
        <w:pStyle w:val="3"/>
      </w:pPr>
      <w:r>
        <w:t>第一步：重建信任——让普通人敢买第一幅原作</w:t>
      </w:r>
    </w:p>
    <w:p w14:paraId="0F432D47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动作：</w:t>
      </w:r>
    </w:p>
    <w:p w14:paraId="227D6846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严选入驻。只签经过筛选的青年艺术家，不是谁都能上</w:t>
      </w:r>
    </w:p>
    <w:p w14:paraId="7509261D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第三方鉴证。每幅作品绑定数字证书，与权威鉴定机构合作，杜绝假画</w:t>
      </w:r>
    </w:p>
    <w:p w14:paraId="3C680874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明码标价，七天无理由。用电商级别的消费保障，把传统画廊的'神秘感'打掉</w:t>
      </w:r>
    </w:p>
    <w:p w14:paraId="40328F1C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深度内容。每幅画配一个故事、一段视频、一次艺术家对话——让买画变成'认识一个人'，而不是'猜一个价'</w:t>
      </w:r>
    </w:p>
    <w:p w14:paraId="37ABA940">
      <w:pPr>
        <w:spacing w:before="15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解决的问题：信任断裂</w:t>
      </w:r>
    </w:p>
    <w:p w14:paraId="01D02EC2">
      <w:pPr>
        <w:spacing w:after="3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产生的资产：真实成交记录、用户行为数据、艺术家价格信号</w:t>
      </w:r>
    </w:p>
    <w:p w14:paraId="439EF0BD">
      <w:pPr>
        <w:pStyle w:val="3"/>
      </w:pPr>
      <w:r>
        <w:t>第二步：打开渠道——让艺术家被看见，让藏家找得到</w:t>
      </w:r>
    </w:p>
    <w:p w14:paraId="5183FDB6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动作：</w:t>
      </w:r>
    </w:p>
    <w:p w14:paraId="587AA837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线上策展。不做大卖场，做'严选买手店'。每期一个主题，只展10-15件作品，件件有故事</w:t>
      </w:r>
    </w:p>
    <w:p w14:paraId="63DD39BD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数据推荐。根据藏家的浏览和购买记录，匹配可能感兴趣的新艺术家</w:t>
      </w:r>
    </w:p>
    <w:p w14:paraId="2F147F01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内容引流。用艺术家创作故事、挂画实拍、藏家开箱等真实内容，在小红书、抖音等平台精准触达潜在消费者</w:t>
      </w:r>
    </w:p>
    <w:p w14:paraId="76ED259B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线下联合策展。与城市空间合作，落地小型主题展览，形成线上线下的流量闭环</w:t>
      </w:r>
    </w:p>
    <w:p w14:paraId="50EC0EAC">
      <w:pPr>
        <w:spacing w:before="15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解决的问题：信息断裂</w:t>
      </w:r>
    </w:p>
    <w:p w14:paraId="2D5B24BF">
      <w:pPr>
        <w:spacing w:after="3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产生的资产：稳定流量、复购率、用户忠诚度</w:t>
      </w:r>
    </w:p>
    <w:p w14:paraId="2480B9A5">
      <w:pPr>
        <w:pStyle w:val="3"/>
      </w:pPr>
      <w:r>
        <w:t>第三步：深度变现——帮收藏变成投资，帮艺术家经营IP</w:t>
      </w:r>
    </w:p>
    <w:p w14:paraId="4E69EBC1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动作：</w:t>
      </w:r>
    </w:p>
    <w:p w14:paraId="75E91F14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当藏家在平台多次购买同一位艺术家的作品（如3-5次），系统自动标记为高潜力版权合作对象</w:t>
      </w:r>
    </w:p>
    <w:p w14:paraId="68134238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平台以居间人身份介入，撮合藏家与艺术家直接签订版权授权协议</w:t>
      </w:r>
    </w:p>
    <w:p w14:paraId="51F60129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藏家获得：该艺术家未来3年内限量版画、衍生品的优先投资权和销售利润分成</w:t>
      </w:r>
    </w:p>
    <w:p w14:paraId="207FDA7F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艺术家获得：一笔创作资金，以及持续的衍生品分成收益</w:t>
      </w:r>
    </w:p>
    <w:p w14:paraId="0C17F977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平台收取：一笔标准化的居间服务费</w:t>
      </w:r>
    </w:p>
    <w:p w14:paraId="54A61897">
      <w:pPr>
        <w:spacing w:before="15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关键合规设计：</w:t>
      </w:r>
    </w:p>
    <w:p w14:paraId="090AEB8B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实体画交易（合同A）与版权授权（合同B）完全分离，画价是画价，授权是授权</w:t>
      </w:r>
    </w:p>
    <w:p w14:paraId="7E4C0024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所有资金由第三方存管，平台不碰钱，只做服务</w:t>
      </w:r>
    </w:p>
    <w:p w14:paraId="10F518D5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从第一天起，主动规避资金池、刚兑、非法集资等一切金融合规红线</w:t>
      </w:r>
    </w:p>
    <w:p w14:paraId="30F91998">
      <w:pPr>
        <w:spacing w:before="15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解决的问题：交易断裂（从单向买卖变成长期共赢）</w:t>
      </w:r>
    </w:p>
    <w:p w14:paraId="30C8CB09">
      <w:pPr>
        <w:spacing w:after="3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产生的资产：高客单价收入、艺术家独家经纪约、平台长期壁垒</w:t>
      </w:r>
    </w:p>
    <w:p w14:paraId="64FDC926">
      <w:pPr>
        <w:pStyle w:val="3"/>
      </w:pPr>
      <w:r>
        <w:t>三步之间的关系</w:t>
      </w:r>
    </w:p>
    <w:p w14:paraId="6E3AF6F8">
      <w:pPr>
        <w:spacing w:after="200"/>
      </w:pPr>
      <w:r>
        <w:rPr>
          <w:rFonts w:ascii="微软雅黑" w:hAnsi="微软雅黑" w:eastAsia="微软雅黑" w:cs="微软雅黑"/>
          <w:sz w:val="24"/>
          <w:szCs w:val="24"/>
        </w:rPr>
        <w:t>三步不是平行并列，而是层层递进的飞轮结构：</w:t>
      </w:r>
    </w:p>
    <w:p w14:paraId="28F4D62C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第一步产生交易数据和用户画像</w:t>
      </w:r>
    </w:p>
    <w:p w14:paraId="47349406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数据流推动第二步的精准获客和匹配</w:t>
      </w:r>
    </w:p>
    <w:p w14:paraId="4A3CA1F8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第二步筛选出的高净值、高忠诚藏家，成为第三步版权居间业务的核心客群</w:t>
      </w:r>
    </w:p>
    <w:p w14:paraId="73D93CC9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第三步的高利润反哺第一、二步的规模化扩张</w:t>
      </w:r>
    </w:p>
    <w:p w14:paraId="3E8712CB">
      <w:pPr>
        <w:pStyle w:val="2"/>
      </w:pPr>
      <w:r>
        <w:t>四、商业模式</w:t>
      </w:r>
    </w:p>
    <w:p w14:paraId="033AF767">
      <w:pPr>
        <w:pStyle w:val="3"/>
      </w:pPr>
      <w:r>
        <w:t>4.1 收入结构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3019"/>
        <w:gridCol w:w="1934"/>
        <w:gridCol w:w="1843"/>
      </w:tblGrid>
      <w:tr w14:paraId="333DD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C2580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业务线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BDBCF1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收入模式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22900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初期占比</w:t>
            </w:r>
          </w:p>
        </w:tc>
        <w:tc>
          <w:tcPr>
            <w:tcW w:w="1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6A41278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成熟期占比</w:t>
            </w:r>
          </w:p>
        </w:tc>
      </w:tr>
      <w:tr w14:paraId="302522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E1AD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实体画交易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32C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销售佣金（15%-25%）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A5F874"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90%</w:t>
            </w:r>
          </w:p>
        </w:tc>
        <w:tc>
          <w:tcPr>
            <w:tcW w:w="1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9BD2"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60%</w:t>
            </w:r>
          </w:p>
        </w:tc>
      </w:tr>
      <w:tr w14:paraId="1A5F8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9159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版权授权居间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83B9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居间服务费（按成交金额比例）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224FD"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10%</w:t>
            </w:r>
          </w:p>
        </w:tc>
        <w:tc>
          <w:tcPr>
            <w:tcW w:w="1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9FA38"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30%-40%</w:t>
            </w:r>
          </w:p>
        </w:tc>
      </w:tr>
      <w:tr w14:paraId="7278E6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2D78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增值服务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6E8FF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鉴证、物流保险、定制装裱等</w:t>
            </w:r>
          </w:p>
        </w:tc>
        <w:tc>
          <w:tcPr>
            <w:tcW w:w="20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2DF29"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0%</w:t>
            </w:r>
          </w:p>
        </w:tc>
        <w:tc>
          <w:tcPr>
            <w:tcW w:w="19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CA19F"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5%-10%</w:t>
            </w:r>
          </w:p>
        </w:tc>
      </w:tr>
    </w:tbl>
    <w:p w14:paraId="00686D3A">
      <w:pPr>
        <w:spacing w:after="300"/>
      </w:pPr>
    </w:p>
    <w:p w14:paraId="1F66182F">
      <w:pPr>
        <w:pStyle w:val="3"/>
      </w:pPr>
      <w:r>
        <w:t>4.2 单位经济模型（成熟期预估）</w:t>
      </w:r>
    </w:p>
    <w:p w14:paraId="54C35EC6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实体画平均客单价：2000元</w:t>
      </w:r>
    </w:p>
    <w:p w14:paraId="66DC0B79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平台佣金：400元/单</w:t>
      </w:r>
    </w:p>
    <w:p w14:paraId="0CAE35E2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获客成本（经内容引流后的有效用户）：约80元/人</w:t>
      </w:r>
    </w:p>
    <w:p w14:paraId="01F47DAF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用户复购率目标：30%以上</w:t>
      </w:r>
    </w:p>
    <w:p w14:paraId="13A4A801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版权授权居间平均客单价：5-10万元</w:t>
      </w:r>
    </w:p>
    <w:p w14:paraId="67CD4612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平台服务费：5000-15000元/单</w:t>
      </w:r>
    </w:p>
    <w:p w14:paraId="4358999B">
      <w:pPr>
        <w:spacing w:before="200" w:after="400"/>
      </w:pPr>
      <w:r>
        <w:rPr>
          <w:rFonts w:ascii="微软雅黑" w:hAnsi="微软雅黑" w:eastAsia="微软雅黑" w:cs="微软雅黑"/>
          <w:i/>
          <w:iCs/>
          <w:sz w:val="24"/>
          <w:szCs w:val="24"/>
        </w:rPr>
        <w:t>该业务获客不产生额外广告成本，客户从实体画交易池中自然筛选产生</w:t>
      </w:r>
    </w:p>
    <w:p w14:paraId="1C0EA5FE">
      <w:pPr>
        <w:pStyle w:val="2"/>
      </w:pPr>
      <w:r>
        <w:t>五、竞争分析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8"/>
        <w:gridCol w:w="2271"/>
        <w:gridCol w:w="4517"/>
      </w:tblGrid>
      <w:tr w14:paraId="35626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9F13AF7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竞品类型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8B538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代表</w:t>
            </w:r>
          </w:p>
        </w:tc>
        <w:tc>
          <w:tcPr>
            <w:tcW w:w="4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FEF914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我们的差异化</w:t>
            </w:r>
          </w:p>
        </w:tc>
      </w:tr>
      <w:tr w14:paraId="66360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E5773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线上内容平台的艺术频道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3E239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小红书、一条</w:t>
            </w:r>
          </w:p>
        </w:tc>
        <w:tc>
          <w:tcPr>
            <w:tcW w:w="4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8A6BA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我们是交易平台，不是媒体。我们提供鉴证、担保和售后服务，解决的是买家'敢不敢下单'的问题</w:t>
            </w:r>
          </w:p>
        </w:tc>
      </w:tr>
      <w:tr w14:paraId="0E9883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B84B3B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纯交易平台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C88D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微拍堂、闲鱼</w:t>
            </w:r>
          </w:p>
        </w:tc>
        <w:tc>
          <w:tcPr>
            <w:tcW w:w="4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8B1C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我们不追求海量SKU和低价走量。我们是严选逻辑，有策展标准，经营的是艺术家IP价值而非库存周转</w:t>
            </w:r>
          </w:p>
        </w:tc>
      </w:tr>
      <w:tr w14:paraId="1FD19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A2AE00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海外线上画廊</w:t>
            </w:r>
          </w:p>
        </w:tc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230B5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Artsy</w:t>
            </w:r>
          </w:p>
        </w:tc>
        <w:tc>
          <w:tcPr>
            <w:tcW w:w="4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27DC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他们不聚焦中国青年艺术家，也不服务中国普通消费者。我们的供给侧和需求侧都在本地</w:t>
            </w:r>
          </w:p>
        </w:tc>
      </w:tr>
    </w:tbl>
    <w:p w14:paraId="64337608">
      <w:pPr>
        <w:spacing w:after="200"/>
      </w:pPr>
    </w:p>
    <w:p w14:paraId="29D35B42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核心竞争壁垒：</w:t>
      </w:r>
    </w:p>
    <w:p w14:paraId="290CD8C8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严选标准+第三方鉴证体系，构成信任壁垒</w:t>
      </w:r>
    </w:p>
    <w:p w14:paraId="10146616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数据飞轮：先发积累的艺术家定价数据和藏家行为数据，后来者短时间难以复制</w:t>
      </w:r>
    </w:p>
    <w:p w14:paraId="6AEAA91A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独家艺术家经纪约：第三步的版权居间业务天然要求独家合作，形成供给侧锁定</w:t>
      </w:r>
    </w:p>
    <w:p w14:paraId="61B55FF1">
      <w:pPr>
        <w:pStyle w:val="2"/>
      </w:pPr>
      <w:r>
        <w:t>六、市场进入策略</w:t>
      </w:r>
    </w:p>
    <w:p w14:paraId="6EE6A41F">
      <w:pPr>
        <w:pStyle w:val="3"/>
      </w:pPr>
      <w:r>
        <w:t>6.1 0-4个月：冷启动</w:t>
      </w:r>
    </w:p>
    <w:p w14:paraId="35D9BA53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目标：签约20位艺术家，售出100幅原作，验证选品和定价能力</w:t>
      </w:r>
    </w:p>
    <w:p w14:paraId="39DD934D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方法：</w:t>
      </w:r>
    </w:p>
    <w:p w14:paraId="3FC2A773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集中资源做第一场线上策展，策一个切中情绪的主题</w:t>
      </w:r>
    </w:p>
    <w:p w14:paraId="24901429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从合作院校、艺术类社群获取第一批艺术家和种子用户</w:t>
      </w:r>
    </w:p>
    <w:p w14:paraId="298A61D3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用小红书、抖音发布创作故事、挂画实拍等真实内容引流</w:t>
      </w:r>
    </w:p>
    <w:p w14:paraId="79CD93F2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不强推广，重点观察自然转化率、用户评价和复购倾向</w:t>
      </w:r>
    </w:p>
    <w:p w14:paraId="05C96134">
      <w:pPr>
        <w:pStyle w:val="3"/>
      </w:pPr>
      <w:r>
        <w:t>6.2 4-8个月：版权业务启动</w:t>
      </w:r>
    </w:p>
    <w:p w14:paraId="0412B899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目标：跑通第一笔版权授权居间合同，签约3-5位高净值藏家</w:t>
      </w:r>
    </w:p>
    <w:p w14:paraId="245C55E4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触发条件：平台积累足够多用户购买数据，能清晰识别高复购、高客单价的藏家</w:t>
      </w:r>
    </w:p>
    <w:p w14:paraId="50C0667C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方法：</w:t>
      </w:r>
    </w:p>
    <w:p w14:paraId="3BC9533A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向标记藏家发出定向邀请，一对一沟通版权合作机会</w:t>
      </w:r>
    </w:p>
    <w:p w14:paraId="0F2F1492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配合律所完成标准化合同模板</w:t>
      </w:r>
    </w:p>
    <w:p w14:paraId="34AFC025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完成第一笔签约后，打造案例，形成口碑</w:t>
      </w:r>
    </w:p>
    <w:p w14:paraId="4024A712">
      <w:pPr>
        <w:pStyle w:val="3"/>
      </w:pPr>
      <w:r>
        <w:t>6.3 8-12个月：数据飞轮成型</w:t>
      </w:r>
    </w:p>
    <w:p w14:paraId="355F8BCC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目标：月GMV突破100万，版权收入占比达30%</w:t>
      </w:r>
    </w:p>
    <w:p w14:paraId="65260B56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方法：</w:t>
      </w:r>
    </w:p>
    <w:p w14:paraId="6B038398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根据前两个阶段的经验，标准化策展流程和藏家筛选模型</w:t>
      </w:r>
    </w:p>
    <w:p w14:paraId="76B99A2C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拓展更多艺术家品类，丰富供给</w:t>
      </w:r>
    </w:p>
    <w:p w14:paraId="3CE8F94F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筹备下一轮融资</w:t>
      </w:r>
    </w:p>
    <w:p w14:paraId="3C778A36">
      <w:pPr>
        <w:pStyle w:val="2"/>
      </w:pPr>
      <w:r>
        <w:t>七、团队介绍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16"/>
        <w:gridCol w:w="1509"/>
        <w:gridCol w:w="4521"/>
      </w:tblGrid>
      <w:tr w14:paraId="5467D2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B529B5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角色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74D803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姓名</w:t>
            </w:r>
          </w:p>
        </w:tc>
        <w:tc>
          <w:tcPr>
            <w:tcW w:w="4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77B7CB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背景</w:t>
            </w:r>
          </w:p>
        </w:tc>
      </w:tr>
      <w:tr w14:paraId="1CE8B2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1B2B1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CEO / 商业负责人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561D0B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胡陆</w:t>
            </w:r>
          </w:p>
        </w:tc>
        <w:tc>
          <w:tcPr>
            <w:tcW w:w="4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8637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负责商业模型设计和融资，财务模型已推演无数版</w:t>
            </w:r>
          </w:p>
        </w:tc>
      </w:tr>
      <w:tr w14:paraId="0A450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9DCEC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艺术总监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03C61">
            <w:pPr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汤总</w:t>
            </w:r>
          </w:p>
        </w:tc>
        <w:tc>
          <w:tcPr>
            <w:tcW w:w="4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193B6">
            <w:pPr>
              <w:jc w:val="left"/>
            </w:pPr>
            <w:r>
              <w:rPr>
                <w:rFonts w:hint="eastAsia" w:cs="微软雅黑"/>
                <w:sz w:val="21"/>
                <w:szCs w:val="21"/>
                <w:lang w:val="en-US" w:eastAsia="zh-CN"/>
              </w:rPr>
              <w:t>伦敦大学艺术学院mfa</w:t>
            </w:r>
            <w:r>
              <w:rPr>
                <w:rFonts w:ascii="微软雅黑" w:hAnsi="微软雅黑" w:eastAsia="微软雅黑" w:cs="微软雅黑"/>
                <w:sz w:val="21"/>
                <w:szCs w:val="21"/>
              </w:rPr>
              <w:t>，懂选品和艺术家合约管理</w:t>
            </w:r>
          </w:p>
        </w:tc>
      </w:tr>
      <w:tr w14:paraId="4B88FC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98F5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产品负责人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D06E2">
            <w:pPr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待定</w:t>
            </w:r>
          </w:p>
        </w:tc>
        <w:tc>
          <w:tcPr>
            <w:tcW w:w="468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CA61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曾运营3万DAU小众社区，擅长从零搭建线上信任环境</w:t>
            </w:r>
          </w:p>
        </w:tc>
      </w:tr>
    </w:tbl>
    <w:p w14:paraId="06310678">
      <w:pPr>
        <w:spacing w:after="200"/>
      </w:pPr>
    </w:p>
    <w:p w14:paraId="700D9CC1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顾问团队（拟邀请）：</w:t>
      </w:r>
    </w:p>
    <w:p w14:paraId="5B8FA3D7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知识产权方向律师事务所合伙人</w:t>
      </w:r>
    </w:p>
    <w:p w14:paraId="0FF2116E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艺术品鉴定机构技术顾问</w:t>
      </w:r>
    </w:p>
    <w:p w14:paraId="08B44272">
      <w:pPr>
        <w:spacing w:before="200"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早期验证成果：</w:t>
      </w:r>
    </w:p>
    <w:p w14:paraId="1077D898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已走访100+位青年艺术家和潜在消费者</w:t>
      </w:r>
    </w:p>
    <w:p w14:paraId="60E9EC1F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获得80%以上正向反馈</w:t>
      </w:r>
    </w:p>
    <w:p w14:paraId="63DB6143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设计师原型已出第一版</w:t>
      </w:r>
    </w:p>
    <w:p w14:paraId="1C63B3C3">
      <w:pPr>
        <w:pStyle w:val="2"/>
      </w:pPr>
      <w:r>
        <w:t>八、财务预测与里程碑</w:t>
      </w:r>
    </w:p>
    <w:p w14:paraId="4C198542">
      <w:pPr>
        <w:pStyle w:val="3"/>
      </w:pPr>
      <w:r>
        <w:t>8.1 12个月里程碑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5"/>
        <w:gridCol w:w="1507"/>
        <w:gridCol w:w="3021"/>
        <w:gridCol w:w="3013"/>
      </w:tblGrid>
      <w:tr w14:paraId="0BAA22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2A9BBFE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CC0F5D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时间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8785A9A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核心目标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8D3322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关键指标</w:t>
            </w:r>
          </w:p>
        </w:tc>
      </w:tr>
      <w:tr w14:paraId="20F169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CF9B5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冷启动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078D5"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0-4个月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E83A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上线MVP，完成首场线上策展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1122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签约20位艺术家，售出100幅原作，月GMV突破20万</w:t>
            </w:r>
          </w:p>
        </w:tc>
      </w:tr>
      <w:tr w14:paraId="7878E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3C884C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版权业务启动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5FD1D"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4-8个月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39B4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跑通版权居间模型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D9A1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签约3-5位高净值藏家，完成首笔居间合同</w:t>
            </w:r>
          </w:p>
        </w:tc>
      </w:tr>
      <w:tr w14:paraId="1F7C1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1D4306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飞轮成型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6A521">
            <w:pPr>
              <w:jc w:val="center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8-12个月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07BD3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规模化复制</w:t>
            </w:r>
          </w:p>
        </w:tc>
        <w:tc>
          <w:tcPr>
            <w:tcW w:w="31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B2388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月GMV破100万，版权收入占比达30%</w:t>
            </w:r>
          </w:p>
        </w:tc>
      </w:tr>
    </w:tbl>
    <w:p w14:paraId="21185394">
      <w:pPr>
        <w:spacing w:after="300"/>
      </w:pPr>
    </w:p>
    <w:p w14:paraId="2CF89BA9">
      <w:pPr>
        <w:pStyle w:val="3"/>
      </w:pPr>
      <w:r>
        <w:t>8.2 融资需求</w:t>
      </w:r>
    </w:p>
    <w:p w14:paraId="5FBE840C">
      <w:pPr>
        <w:spacing w:after="100"/>
      </w:pPr>
      <w:r>
        <w:rPr>
          <w:rFonts w:ascii="微软雅黑" w:hAnsi="微软雅黑" w:eastAsia="微软雅黑" w:cs="微软雅黑"/>
          <w:sz w:val="24"/>
          <w:szCs w:val="24"/>
        </w:rPr>
        <w:t>本轮融资目标：[根据大赛实际情况填写]</w:t>
      </w:r>
    </w:p>
    <w:p w14:paraId="09E9F7FC">
      <w:pPr>
        <w:spacing w:after="1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资金用途：</w:t>
      </w:r>
    </w:p>
    <w:p w14:paraId="67B750B0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产品开发：40%</w:t>
      </w:r>
    </w:p>
    <w:p w14:paraId="10A4358A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鉴证合作与内容创作：25%</w:t>
      </w:r>
    </w:p>
    <w:p w14:paraId="6103CDB6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初期市场获取与线下策展：25%</w:t>
      </w:r>
    </w:p>
    <w:p w14:paraId="065BCC00">
      <w:pPr>
        <w:pStyle w:val="16"/>
        <w:numPr>
          <w:ilvl w:val="0"/>
          <w:numId w:val="1"/>
        </w:numPr>
      </w:pPr>
      <w:r>
        <w:rPr>
          <w:rFonts w:ascii="微软雅黑" w:hAnsi="微软雅黑" w:eastAsia="微软雅黑" w:cs="微软雅黑"/>
          <w:sz w:val="24"/>
          <w:szCs w:val="24"/>
        </w:rPr>
        <w:t>法律合规与顾问费用：10%</w:t>
      </w:r>
    </w:p>
    <w:p w14:paraId="30D17071">
      <w:pPr>
        <w:spacing w:before="200" w:after="400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下一轮融资节点：月GMV突破100万，版权收入占比稳定在20%以上</w:t>
      </w:r>
    </w:p>
    <w:p w14:paraId="6F648ECB">
      <w:pPr>
        <w:pStyle w:val="2"/>
      </w:pPr>
      <w:r>
        <w:t>九、风险与应对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3500"/>
        <w:gridCol w:w="2520"/>
      </w:tblGrid>
      <w:tr w14:paraId="411E8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5899E6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风险类型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117895F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具体描述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4261C0"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应对措施</w:t>
            </w:r>
          </w:p>
        </w:tc>
      </w:tr>
      <w:tr w14:paraId="507E5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303B38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艺术家履约风险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191D4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艺术家可能交付延迟、质量不稳定或中途退出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7EDE2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阶梯式收益返还正向激励；行业黑名单反向约束；合同条款明确延期赔付</w:t>
            </w:r>
          </w:p>
        </w:tc>
      </w:tr>
      <w:tr w14:paraId="6E10D5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CAD34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版权授权合规风险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699B4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居间撮合可能被误读为金融产品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76C8F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实体交易合同与版权合同完全分离；资金由第三方存管；聘请专业律所做顾问；主动向用户披露所有风险</w:t>
            </w:r>
          </w:p>
        </w:tc>
      </w:tr>
      <w:tr w14:paraId="4B8E3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6D12D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低频消费复购难题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A8A6D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艺术品消费天然低频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E62977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不依赖促销驱动复购；用内容和IP运营深度绑定藏家；版权居间业务的持续互动提升用户生命周期价值</w:t>
            </w:r>
          </w:p>
        </w:tc>
      </w:tr>
      <w:tr w14:paraId="54F699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E17F2A">
            <w:pPr>
              <w:jc w:val="left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大平台竞争</w:t>
            </w:r>
          </w:p>
        </w:tc>
        <w:tc>
          <w:tcPr>
            <w:tcW w:w="350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E68BE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小红书、抖音可能强化艺术品交易功能</w:t>
            </w:r>
          </w:p>
        </w:tc>
        <w:tc>
          <w:tcPr>
            <w:tcW w:w="2520" w:type="dxa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0C5C9">
            <w:pPr>
              <w:jc w:val="left"/>
            </w:pPr>
            <w:r>
              <w:rPr>
                <w:rFonts w:ascii="微软雅黑" w:hAnsi="微软雅黑" w:eastAsia="微软雅黑" w:cs="微软雅黑"/>
                <w:sz w:val="21"/>
                <w:szCs w:val="21"/>
              </w:rPr>
              <w:t>不做海量SKU集市，走严选策展路线；版权居间业务积累的独家艺术家关系，大平台短期内难以复制</w:t>
            </w:r>
          </w:p>
        </w:tc>
      </w:tr>
    </w:tbl>
    <w:p w14:paraId="35D74CF5">
      <w:pPr>
        <w:spacing w:after="400"/>
      </w:pPr>
    </w:p>
    <w:p w14:paraId="4CCDCCFC">
      <w:pPr>
        <w:pStyle w:val="16"/>
        <w:numPr>
          <w:ilvl w:val="0"/>
          <w:numId w:val="1"/>
        </w:numP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BC165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180"/>
      <w:outlineLvl w:val="0"/>
    </w:pPr>
    <w:rPr>
      <w:rFonts w:ascii="微软雅黑" w:hAnsi="微软雅黑" w:eastAsia="微软雅黑" w:cs="微软雅黑"/>
      <w:b/>
      <w:bCs/>
      <w:color w:val="000000"/>
      <w:sz w:val="36"/>
      <w:szCs w:val="36"/>
    </w:rPr>
  </w:style>
  <w:style w:type="paragraph" w:styleId="3">
    <w:name w:val="heading 2"/>
    <w:next w:val="1"/>
    <w:qFormat/>
    <w:uiPriority w:val="0"/>
    <w:pPr>
      <w:spacing w:before="280" w:after="140"/>
      <w:outlineLvl w:val="1"/>
    </w:pPr>
    <w:rPr>
      <w:rFonts w:ascii="微软雅黑" w:hAnsi="微软雅黑" w:eastAsia="微软雅黑" w:cs="微软雅黑"/>
      <w:b/>
      <w:bCs/>
      <w:color w:val="000000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00"/>
      <w:outlineLvl w:val="2"/>
    </w:pPr>
    <w:rPr>
      <w:rFonts w:ascii="微软雅黑" w:hAnsi="微软雅黑" w:eastAsia="微软雅黑" w:cs="微软雅黑"/>
      <w:b/>
      <w:bCs/>
      <w:color w:val="000000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uiPriority w:val="0"/>
    <w:pPr>
      <w:spacing w:before="240" w:after="120"/>
      <w:jc w:val="center"/>
    </w:pPr>
    <w:rPr>
      <w:rFonts w:ascii="微软雅黑" w:hAnsi="微软雅黑" w:eastAsia="微软雅黑" w:cs="微软雅黑"/>
      <w:b/>
      <w:bCs/>
      <w:color w:val="000000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786</Words>
  <Characters>819</Characters>
  <TotalTime>14</TotalTime>
  <ScaleCrop>false</ScaleCrop>
  <LinksUpToDate>false</LinksUpToDate>
  <CharactersWithSpaces>823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2026-05-10T12:44:00Z</dcterms:created>
  <dc:creator>Un-named</dc:creator>
  <cp:lastModifiedBy>胡陆</cp:lastModifiedBy>
  <dcterms:modified xsi:type="dcterms:W3CDTF">2026-05-10T12:59:38Z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eyJoZGlkIjoiZjkzZTYxZDgzMzBmMzhkMzY2M2YwYzFmOWUxODdhMjMiLCJ1c2VySWQiOiIxMTM1MzI4MzMxIn0=</vt:lpwstr>
  </property>
  <property fmtid="{D5CDD505-2E9C-101B-9397-08002B2CF9AE}" pid="3" name="KSOProductBuildVer">
    <vt:lpwstr>2052-12.1.0.25225</vt:lpwstr>
  </property>
  <property fmtid="{D5CDD505-2E9C-101B-9397-08002B2CF9AE}" pid="4" name="ICV">
    <vt:lpwstr>57B2D1FDD2264AC9A1A403EB846E3BAE_12</vt:lpwstr>
  </property>
</Properties>
</file>