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Not only does online learning save travelling time, but it also gives students access to courses which are not available in their own schools. (Add do before the subject; is → are — ‘which’ refers to courses.)</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Rarely do teenagers verify the truth of what they share online, which makes them easy targets of scams. (Add do before the subject; make → makes — the clause refers to sharing without checking.)</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Only by setting clear screen-time rules can parents protect their children, who often spend hours gaming late into the night. (Move can before parents — ‘Only by’ inverts subject and auxiliary; spends → spend — ‘who’ refers to children.)</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Never has the school considered banning phones in class, which distract students from every lesson. (Move has before the school — ‘Never’ inverts; distracts → distract — ‘which’ refers to phones.)</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Seldom do victims of online scams report the fraud to the police, which makes it harder to catch the criminals. (Add do before the subject; make → makes — the clause refers to the whole failure to report.)</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decision</w:t>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improvement</w:t>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communication</w:t>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introduction</w:t>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regulation</w:t>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protection</w:t>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explanation</w:t>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solution</w:t>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use</w:t>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development</w:t>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awareness</w:t>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importance</w:t>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dependence</w:t>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responsibility</w:t>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choice</w:t>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knowledge</w:t>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loss</w:t>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proof</w:t>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belief</w:t>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strength</w:t>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can also carry an idea from one sentence into the next. Together they are among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pStyle w:val="31"/>
        <w:spacing w:line="360" w:lineRule="auto"/>
      </w:pPr>
      <w:r>
        <w:rPr>
          <w:rFonts w:ascii="Times New Roman" w:hAnsi="Times New Roman" w:cs="Times New Roman"/>
          <w:b/>
          <w:sz w:val="22"/>
          <w:szCs w:val="22"/>
        </w:rPr>
        <w:t xml:space="preserve">Nominalisation as a linking device</w:t>
      </w:r>
    </w:p>
    <w:p>
      <w:pPr>
        <w:spacing w:line="360" w:lineRule="auto"/>
      </w:pPr>
      <w:r>
        <w:rPr>
          <w:rFonts w:ascii="Times New Roman" w:hAnsi="Times New Roman" w:cs="Times New Roman"/>
          <w:sz w:val="22"/>
          <w:szCs w:val="22"/>
        </w:rPr>
        <w:t xml:space="preserve">Nominalisation does more than tighten one sentence — it can carry an idea from the previous sentence into the next. Turn a verb or adjective into a noun, and open the new sentence with it (usually after ‘This’, ‘Such’ or ‘The … of’). The reader moves from an idea already met to a new one, and the paragraph flows more smoothly.</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Sentence 1:</w:t>
            </w:r>
          </w:p>
        </w:tc>
        <w:tc>
          <w:tcPr>
            <w:tcW w:w="6745" w:type="dxa"/>
            <w:shd w:val="clear" w:color="auto" w:fill="DEEBF7"/>
          </w:tcPr>
          <w:p>
            <w:pPr/>
            <w:r>
              <w:rPr>
                <w:rFonts w:ascii="Times New Roman" w:hAnsi="Times New Roman" w:cs="Times New Roman"/>
                <w:sz w:val="22"/>
                <w:szCs w:val="22"/>
              </w:rPr>
              <w:t xml:space="preserve">Scammers play on panic and speed, so victims act before they think.</w:t>
            </w:r>
          </w:p>
        </w:tc>
      </w:tr>
      <w:tr>
        <w:tc>
          <w:tcPr>
            <w:tcW w:w="2605" w:type="dxa"/>
            <w:shd w:val="clear" w:color="auto" w:fill="DEEBF7"/>
          </w:tcPr>
          <w:p>
            <w:pPr/>
            <w:r>
              <w:rPr>
                <w:rFonts w:ascii="Times New Roman" w:hAnsi="Times New Roman" w:cs="Times New Roman"/>
                <w:sz w:val="22"/>
                <w:szCs w:val="22"/>
              </w:rPr>
              <w:t xml:space="preserve">Linked sentence:</w:t>
            </w:r>
          </w:p>
        </w:tc>
        <w:tc>
          <w:tcPr>
            <w:tcW w:w="6745" w:type="dxa"/>
            <w:shd w:val="clear" w:color="auto" w:fill="DEEBF7"/>
          </w:tcPr>
          <w:p>
            <w:pPr/>
            <w:r>
              <w:rPr>
                <w:rFonts w:ascii="Times New Roman" w:hAnsi="Times New Roman" w:cs="Times New Roman"/>
                <w:sz w:val="22"/>
                <w:szCs w:val="22"/>
              </w:rPr>
              <w:t xml:space="preserve">This </w:t>
            </w:r>
            <w:r>
              <w:rPr>
                <w:rFonts w:ascii="Times New Roman" w:hAnsi="Times New Roman" w:cs="Times New Roman"/>
                <w:i/>
                <w:sz w:val="22"/>
                <w:szCs w:val="22"/>
              </w:rPr>
              <w:t xml:space="preserve">reliance</w:t>
            </w:r>
            <w:r>
              <w:rPr>
                <w:rFonts w:ascii="Times New Roman" w:hAnsi="Times New Roman" w:cs="Times New Roman"/>
                <w:sz w:val="22"/>
                <w:szCs w:val="22"/>
              </w:rPr>
              <w:t xml:space="preserve"> on emotion is exactly what the fraudsters count on.</w:t>
            </w:r>
          </w:p>
        </w:tc>
      </w:tr>
    </w:tbl>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Sentence 1:</w:t>
            </w:r>
          </w:p>
        </w:tc>
        <w:tc>
          <w:tcPr>
            <w:tcW w:w="6745" w:type="dxa"/>
            <w:shd w:val="clear" w:color="auto" w:fill="DEEBF7"/>
          </w:tcPr>
          <w:p>
            <w:pPr/>
            <w:r>
              <w:rPr>
                <w:rFonts w:ascii="Times New Roman" w:hAnsi="Times New Roman" w:cs="Times New Roman"/>
                <w:sz w:val="22"/>
                <w:szCs w:val="22"/>
              </w:rPr>
              <w:t xml:space="preserve">Most students are far more aware of online privacy than their parents were.</w:t>
            </w:r>
          </w:p>
        </w:tc>
      </w:tr>
      <w:tr>
        <w:tc>
          <w:tcPr>
            <w:tcW w:w="2605" w:type="dxa"/>
            <w:shd w:val="clear" w:color="auto" w:fill="DEEBF7"/>
          </w:tcPr>
          <w:p>
            <w:pPr/>
            <w:r>
              <w:rPr>
                <w:rFonts w:ascii="Times New Roman" w:hAnsi="Times New Roman" w:cs="Times New Roman"/>
                <w:sz w:val="22"/>
                <w:szCs w:val="22"/>
              </w:rPr>
              <w:t xml:space="preserve">Linked sentence:</w:t>
            </w:r>
          </w:p>
        </w:tc>
        <w:tc>
          <w:tcPr>
            <w:tcW w:w="6745" w:type="dxa"/>
            <w:shd w:val="clear" w:color="auto" w:fill="DEEBF7"/>
          </w:tcPr>
          <w:p>
            <w:pPr/>
            <w:r>
              <w:rPr>
                <w:rFonts w:ascii="Times New Roman" w:hAnsi="Times New Roman" w:cs="Times New Roman"/>
                <w:sz w:val="22"/>
                <w:szCs w:val="22"/>
              </w:rPr>
              <w:t xml:space="preserve">This growing </w:t>
            </w:r>
            <w:r>
              <w:rPr>
                <w:rFonts w:ascii="Times New Roman" w:hAnsi="Times New Roman" w:cs="Times New Roman"/>
                <w:i/>
                <w:sz w:val="22"/>
                <w:szCs w:val="22"/>
              </w:rPr>
              <w:t xml:space="preserve">awareness</w:t>
            </w:r>
            <w:r>
              <w:rPr>
                <w:rFonts w:ascii="Times New Roman" w:hAnsi="Times New Roman" w:cs="Times New Roman"/>
                <w:sz w:val="22"/>
                <w:szCs w:val="22"/>
              </w:rPr>
              <w:t xml:space="preserve">, however, does not always protect them from clever scams.</w:t>
            </w:r>
          </w:p>
        </w:tc>
      </w:tr>
    </w:tbl>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Sentence 1:</w:t>
            </w:r>
          </w:p>
        </w:tc>
        <w:tc>
          <w:tcPr>
            <w:tcW w:w="6745" w:type="dxa"/>
            <w:shd w:val="clear" w:color="auto" w:fill="DEEBF7"/>
          </w:tcPr>
          <w:p>
            <w:pPr/>
            <w:r>
              <w:rPr>
                <w:rFonts w:ascii="Times New Roman" w:hAnsi="Times New Roman" w:cs="Times New Roman"/>
                <w:sz w:val="22"/>
                <w:szCs w:val="22"/>
              </w:rPr>
              <w:t xml:space="preserve">Schools can protect students by teaching online safety early.</w:t>
            </w:r>
          </w:p>
        </w:tc>
      </w:tr>
      <w:tr>
        <w:tc>
          <w:tcPr>
            <w:tcW w:w="2605" w:type="dxa"/>
            <w:shd w:val="clear" w:color="auto" w:fill="DEEBF7"/>
          </w:tcPr>
          <w:p>
            <w:pPr/>
            <w:r>
              <w:rPr>
                <w:rFonts w:ascii="Times New Roman" w:hAnsi="Times New Roman" w:cs="Times New Roman"/>
                <w:sz w:val="22"/>
                <w:szCs w:val="22"/>
              </w:rPr>
              <w:t xml:space="preserve">Linked sentence:</w:t>
            </w:r>
          </w:p>
        </w:tc>
        <w:tc>
          <w:tcPr>
            <w:tcW w:w="6745" w:type="dxa"/>
            <w:shd w:val="clear" w:color="auto" w:fill="DEEBF7"/>
          </w:tcPr>
          <w:p>
            <w:pPr/>
            <w:r>
              <w:rPr>
                <w:rFonts w:ascii="Times New Roman" w:hAnsi="Times New Roman" w:cs="Times New Roman"/>
                <w:sz w:val="22"/>
                <w:szCs w:val="22"/>
              </w:rPr>
              <w:t xml:space="preserve">This </w:t>
            </w:r>
            <w:r>
              <w:rPr>
                <w:rFonts w:ascii="Times New Roman" w:hAnsi="Times New Roman" w:cs="Times New Roman"/>
                <w:i/>
                <w:sz w:val="22"/>
                <w:szCs w:val="22"/>
              </w:rPr>
              <w:t xml:space="preserve">education</w:t>
            </w:r>
            <w:r>
              <w:rPr>
                <w:rFonts w:ascii="Times New Roman" w:hAnsi="Times New Roman" w:cs="Times New Roman"/>
                <w:sz w:val="22"/>
                <w:szCs w:val="22"/>
              </w:rPr>
              <w:t xml:space="preserve"> should begin long before students own a phone.</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Young people often trust official-looking messages without a second thought, and they seldom check who really sent them. Such misplaced trust is easily exploited: a credible-looking link is all a scammer needs. Such carelessness, in turn, keeps the fraud industry alive.</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Watch out: avoid the over-used ‘This is because…’ and ‘This shows that…’. A noun bridge (“This reliance on emotion…”) says the same thing in fewer words and earns a higher band.</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constant use of social media weakens their concentration.</w:t>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strong appeal of online games, many teenagers neglect their homework.</w:t>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improvement of online banking security will protect customers.</w:t>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sharply over the past decade.</w:t>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3. Link your ideas: open at least ONE sentence with a nominalised noun phrase that refers back to the previous sentence (e.g. ‘This + noun’).</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protect → protection   ·   aware → awareness   ·   educate → education   ·   responsible → responsibility   ·   believe → belief</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Bank answers: protect → protection; aware → awareness; educate → education; responsible → responsibility; believe → belief. Note how Sample answer 2 uses ‘awareness’ and Sample answer 3 uses ‘responsibility’.</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Online scams have become a common problem because many young people trust official-looking messages without a second thought. This misplaced trust is easy to exploit: fake websites and phishing links catch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Many students are unaware of how dangerous online scams are, and they trust strangers’ messages far too easily. This lack of awareness becomes costly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constant flow of scam messages on social media, young people are targeted daily. This constant targeting is hard to escape; the ease of creating fake websites, together with the difficulty of telling them from real ones, leaves victims blind until it is too late. The responsibility for protection must be shared, which means schools, platforms and parents have a part to play. Parents can talk about scams at home, while teachers can make online safety a regular topic.</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Each sample opens ONE sentence with a nominalised bridge: “This misplaced trust”, “This lack of awareness”, “This constant targeting” — point these out to students before they write.</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