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online learning save travelling time, but it also gives students access to courses which are not available in their own schools. (Add do before the subject; is → are — ‘which’ refers to courses.)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protection</w:t>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explanation</w:t>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solution</w:t>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use</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choice</w:t>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knowledge</w:t>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loss</w:t>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proof</w:t>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belief</w:t>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strength</w:t>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can also carry an idea from one sentence into the next. Together they are among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pStyle w:val="31"/>
        <w:spacing w:line="360" w:lineRule="auto"/>
      </w:pPr>
      <w:r>
        <w:rPr>
          <w:rFonts w:ascii="Times New Roman" w:hAnsi="Times New Roman" w:cs="Times New Roman"/>
          <w:b/>
          <w:sz w:val="22"/>
          <w:szCs w:val="22"/>
        </w:rPr>
        <w:t xml:space="preserve">Nominalisation as a linking device</w:t>
      </w:r>
    </w:p>
    <w:p>
      <w:pPr>
        <w:spacing w:line="360" w:lineRule="auto"/>
      </w:pPr>
      <w:r>
        <w:rPr>
          <w:rFonts w:ascii="Times New Roman" w:hAnsi="Times New Roman" w:cs="Times New Roman"/>
          <w:sz w:val="22"/>
          <w:szCs w:val="22"/>
        </w:rPr>
        <w:t xml:space="preserve">Nominalisation can also link one sentence to the next: turn a verb or adjective into a noun and open the new sentence with it. Instead of the vague ‘This is because… / This shows that…’, use ‘This…’, ‘Such…’ or ‘The … of…’ — the noun bridge says the same thing in fewer words and earns a higher band.</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 (weak link):</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This is because they trust whatever looks official.</w:t>
            </w:r>
          </w:p>
        </w:tc>
      </w:tr>
      <w:tr>
        <w:tc>
          <w:tcPr>
            <w:tcW w:w="2605" w:type="dxa"/>
            <w:shd w:val="clear" w:color="auto" w:fill="DEEBF7"/>
          </w:tcPr>
          <w:p>
            <w:pPr/>
            <w:r>
              <w:rPr>
                <w:rFonts w:ascii="Times New Roman" w:hAnsi="Times New Roman" w:cs="Times New Roman"/>
                <w:sz w:val="22"/>
                <w:szCs w:val="22"/>
              </w:rPr>
              <w:t xml:space="preserve">Nominalised (This / Such + noun):</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w:t>
            </w:r>
            <w:r>
              <w:rPr>
                <w:rFonts w:ascii="Times New Roman" w:hAnsi="Times New Roman" w:cs="Times New Roman"/>
                <w:i/>
                <w:sz w:val="22"/>
                <w:szCs w:val="22"/>
              </w:rPr>
              <w:t xml:space="preserve">Such misplaced trust</w:t>
            </w:r>
            <w:r>
              <w:rPr>
                <w:rFonts w:ascii="Times New Roman" w:hAnsi="Times New Roman" w:cs="Times New Roman"/>
                <w:sz w:val="22"/>
                <w:szCs w:val="22"/>
              </w:rPr>
              <w:t xml:space="preserve"> is exactly what scammers exploit.</w:t>
            </w:r>
          </w:p>
        </w:tc>
      </w:tr>
    </w:tbl>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later sets (4–7)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strong appeal of online games, many teenagers neglect their homework.</w:t>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improvement of online banking security will protect customers.</w:t>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31"/>
        <w:spacing w:line="360" w:lineRule="auto"/>
      </w:pPr>
      <w:r>
        <w:rPr>
          <w:rFonts w:ascii="Times New Roman" w:hAnsi="Times New Roman" w:cs="Times New Roman"/>
          <w:b/>
          <w:sz w:val="22"/>
          <w:szCs w:val="22"/>
        </w:rPr>
        <w:t xml:space="preserve">Example Set 7 (Linking: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Young people rarely question what they read online. This is because they are too careless.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adjective ‘careless’ into a noun and replace ‘This is because’ with a noun bridge opening ‘This…’ or ‘Such…’.</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Few young people question what they read online. Such carelessness makes them easy prey for scammers.</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3. Link your ideas: open at least ONE sentence with a nominalised noun phrase that refers back to the previous sentence (e.g. ‘This + noun’).</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protect → protection   ·   aware → awareness   ·   educate → education   ·   responsible → responsibility   ·   believe → belief</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Bank answers: protect → protection; aware → awareness; educate → education; responsible → responsibility; believe → belief. Note how Sample answer 2 uses ‘awareness’ and Sample answer 3 uses ‘responsibility’.</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This misplaced trust is easy to exploit: fake websites and phishing links catch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Many students are unaware of how dangerous online scams are, and they trust strangers’ messages far too easily. This lack of awareness becomes costly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daily. This constant targeting is hard to escape; the ease of creating fake websites, together with the difficulty of telling them from real ones, leaves victims blind until it is too late. The responsibility for protection must be shared, which means schools, platforms and parents have a part to play. Parents can talk about scams at home, while teachers can make online safety a regular topic.</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Each sample opens ONE sentence with a nominalised bridge: “This misplaced trust”, “This lack of awareness”, “This constant targeting” — point these out to students before they write.</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