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9647" w14:textId="77777777" w:rsidR="00CA1123" w:rsidRDefault="009D6569">
      <w:pPr>
        <w:pBdr>
          <w:bottom w:val="single" w:sz="6" w:space="4" w:color="auto"/>
        </w:pBdr>
      </w:pPr>
      <w:r>
        <w:rPr>
          <w:rFonts w:ascii="Century Gothic" w:hAnsi="Century Gothic"/>
          <w:b/>
          <w:i/>
        </w:rPr>
        <w:t>St. Joseph’s Anglo-Chinese School</w:t>
      </w:r>
    </w:p>
    <w:p w14:paraId="2F0511AA" w14:textId="77777777" w:rsidR="00CA1123" w:rsidRDefault="009D6569">
      <w:pPr>
        <w:pBdr>
          <w:bottom w:val="single" w:sz="6" w:space="4" w:color="auto"/>
        </w:pBdr>
      </w:pPr>
      <w:r>
        <w:rPr>
          <w:rFonts w:ascii="Trebuchet MS" w:hAnsi="Trebuchet MS"/>
          <w:b/>
          <w:i/>
        </w:rPr>
        <w:t>F.5 English Language</w:t>
      </w:r>
    </w:p>
    <w:p w14:paraId="70836180" w14:textId="4B9E06C5" w:rsidR="00CA1123" w:rsidRPr="007E1EF5" w:rsidRDefault="009D6569">
      <w:pPr>
        <w:pBdr>
          <w:bottom w:val="single" w:sz="6" w:space="4" w:color="auto"/>
        </w:pBdr>
        <w:rPr>
          <w:rFonts w:eastAsia="新細明體" w:hint="eastAsia"/>
          <w:lang w:eastAsia="zh-TW"/>
        </w:rPr>
      </w:pPr>
      <w:r>
        <w:rPr>
          <w:rFonts w:ascii="Trebuchet MS" w:hAnsi="Trebuchet MS"/>
          <w:b/>
          <w:i/>
        </w:rPr>
        <w:t>Grammar – Lesson 3: Nominalisation</w:t>
      </w:r>
    </w:p>
    <w:p w14:paraId="7B4054EC" w14:textId="77777777" w:rsidR="00CA1123" w:rsidRDefault="009D6569">
      <w:r>
        <w:rPr>
          <w:b/>
        </w:rPr>
        <w:t>Nominalisation</w:t>
      </w:r>
    </w:p>
    <w:p>
      <w:pPr>
        <w:pStyle w:val="20"/>
        <w:spacing w:line="360" w:lineRule="auto"/>
      </w:pPr>
      <w:r>
        <w:rPr>
          <w:rFonts w:ascii="Times New Roman" w:hAnsi="Times New Roman" w:cs="Times New Roman"/>
          <w:b/>
        </w:rPr>
        <w:t xml:space="preserve">Part 1: Proofreading quiz</w:t>
      </w:r>
    </w:p>
    <w:p>
      <w:pPr>
        <w:spacing w:line="360" w:lineRule="auto"/>
      </w:pPr>
      <w:r>
        <w:rPr>
          <w:rFonts w:ascii="Times New Roman" w:hAnsi="Times New Roman" w:cs="Times New Roman"/>
          <w:sz w:val="22"/>
          <w:szCs w:val="22"/>
        </w:rPr>
        <w:t xml:space="preserve">Each sentence contains TWO errors. Proofread the sentences.</w:t>
      </w:r>
    </w:p>
    <w:tbl>
      <w:tblPr>
        <w:tblStyle w:val="aff2"/>
        <w:tblW w:w="0" w:type="auto"/>
        <w:tblLook w:val="04A0" w:firstRow="1" w:lastRow="0" w:firstColumn="1" w:lastColumn="0" w:noHBand="0" w:noVBand="1"/>
      </w:tblPr>
      <w:tblGrid>
        <w:gridCol w:w="9350"/>
      </w:tblGrid>
      <w:tr>
        <w:tc>
          <w:tcPr>
            <w:tcW w:w="9350" w:type="dxa"/>
          </w:tcPr>
          <w:p>
            <w:pPr/>
            <w:r>
              <w:rPr>
                <w:rFonts w:ascii="Times New Roman" w:hAnsi="Times New Roman" w:cs="Times New Roman"/>
                <w:sz w:val="22"/>
                <w:szCs w:val="22"/>
              </w:rPr>
              <w:t xml:space="preserve">The students which share their notes online usually performs well in group projects.</w:t>
            </w:r>
          </w:p>
        </w:tc>
      </w:tr>
      <w:tr>
        <w:tc>
          <w:tcPr>
            <w:tcW w:w="9350" w:type="dxa"/>
          </w:tcPr>
          <w:p>
            <w:pPr/>
            <w:r>
              <w:rPr>
                <w:rFonts w:ascii="Times New Roman" w:hAnsi="Times New Roman" w:cs="Times New Roman"/>
                <w:sz w:val="22"/>
                <w:szCs w:val="22"/>
              </w:rPr>
              <w:t xml:space="preserve">There are dozens of study apps, all of them is designed to keep users engaged.</w:t>
            </w:r>
          </w:p>
        </w:tc>
      </w:tr>
      <w:tr>
        <w:tc>
          <w:tcPr>
            <w:tcW w:w="9350" w:type="dxa"/>
          </w:tcPr>
          <w:p>
            <w:pPr/>
            <w:r>
              <w:rPr>
                <w:rFonts w:ascii="Times New Roman" w:hAnsi="Times New Roman" w:cs="Times New Roman"/>
                <w:sz w:val="22"/>
                <w:szCs w:val="22"/>
              </w:rPr>
              <w:t xml:space="preserve">Many employees check work messages at night, that disturb their sleep.</w:t>
            </w:r>
          </w:p>
        </w:tc>
      </w:tr>
      <w:tr>
        <w:tc>
          <w:tcPr>
            <w:tcW w:w="9350" w:type="dxa"/>
          </w:tcPr>
          <w:p>
            <w:pPr/>
            <w:r>
              <w:rPr>
                <w:rFonts w:ascii="Times New Roman" w:hAnsi="Times New Roman" w:cs="Times New Roman"/>
                <w:sz w:val="22"/>
                <w:szCs w:val="22"/>
              </w:rPr>
              <w:t xml:space="preserve">Not only video games provide entertainment, but they also helps players develop problem-solving skills.</w:t>
            </w:r>
          </w:p>
        </w:tc>
      </w:tr>
      <w:tr>
        <w:tc>
          <w:tcPr>
            <w:tcW w:w="9350" w:type="dxa"/>
          </w:tcPr>
          <w:p>
            <w:pPr/>
            <w:r>
              <w:rPr>
                <w:rFonts w:ascii="Times New Roman" w:hAnsi="Times New Roman" w:cs="Times New Roman"/>
                <w:sz w:val="22"/>
                <w:szCs w:val="22"/>
              </w:rPr>
              <w:t xml:space="preserve">Rarely teenagers question the accuracy of online news, which make them easy to fool.</w:t>
            </w:r>
          </w:p>
        </w:tc>
      </w:tr>
      <w:tr>
        <w:tc>
          <w:tcPr>
            <w:tcW w:w="9350" w:type="dxa"/>
          </w:tcPr>
          <w:p>
            <w:pPr/>
            <w:r>
              <w:rPr>
                <w:rFonts w:ascii="Times New Roman" w:hAnsi="Times New Roman" w:cs="Times New Roman"/>
                <w:sz w:val="22"/>
                <w:szCs w:val="22"/>
              </w:rPr>
              <w:t xml:space="preserve">The increasing of online scams have made people more cautious about sharing their data.</w:t>
            </w:r>
          </w:p>
        </w:tc>
      </w:tr>
    </w:tbl>
    <w:p>
      <w:pPr>
        <w:pStyle w:val="20"/>
        <w:spacing w:line="360" w:lineRule="auto"/>
      </w:pPr>
      <w:r>
        <w:rPr>
          <w:rFonts w:ascii="Times New Roman" w:hAnsi="Times New Roman" w:cs="Times New Roman"/>
          <w:b/>
        </w:rPr>
        <w:t xml:space="preserve">Part 2: Three patterns for formal writing</w:t>
      </w:r>
    </w:p>
    <w:p>
      <w:pPr>
        <w:spacing w:line="360" w:lineRule="auto"/>
      </w:pPr>
      <w:r>
        <w:rPr>
          <w:rFonts w:ascii="Times New Roman" w:hAnsi="Times New Roman" w:cs="Times New Roman"/>
          <w:sz w:val="22"/>
          <w:szCs w:val="22"/>
        </w:rPr>
        <w:t xml:space="preserve">The three patterns in this part all turn actions or qualities into noun phrases — a technique called nominalisation. Nominalisation packs ideas into fewer words, and it can lift a formal paragraph towards a higher band.</w:t>
      </w:r>
    </w:p>
    <w:p>
      <w:pPr>
        <w:pStyle w:val="31"/>
        <w:spacing w:line="360" w:lineRule="auto"/>
      </w:pPr>
      <w:r>
        <w:rPr>
          <w:rFonts w:ascii="Times New Roman" w:hAnsi="Times New Roman" w:cs="Times New Roman"/>
          <w:b/>
          <w:sz w:val="22"/>
          <w:szCs w:val="22"/>
        </w:rPr>
        <w:t xml:space="preserve">Pattern 1: Turn verbs into nouns</w:t>
      </w:r>
    </w:p>
    <w:tbl>
      <w:tblPr>
        <w:tblStyle w:val="aff2"/>
        <w:tblW w:w="0" w:type="auto"/>
        <w:tblLook w:val="04A0" w:firstRow="1" w:lastRow="0" w:firstColumn="1" w:lastColumn="0" w:noHBand="0" w:noVBand="1"/>
      </w:tblPr>
      <w:tblGrid>
        <w:gridCol w:w="4675"/>
        <w:gridCol w:w="4675"/>
      </w:tblGrid>
      <w:tr>
        <w:tc>
          <w:tcPr>
            <w:tcW w:w="4675" w:type="dxa"/>
            <w:shd w:val="clear" w:color="auto" w:fill="DEEBF7"/>
          </w:tcPr>
          <w:p>
            <w:pPr/>
            <w:r>
              <w:rPr>
                <w:rFonts w:ascii="Times New Roman" w:hAnsi="Times New Roman" w:cs="Times New Roman"/>
                <w:sz w:val="22"/>
                <w:szCs w:val="22"/>
              </w:rPr>
              <w:t xml:space="preserve">Structure:</w:t>
            </w:r>
          </w:p>
        </w:tc>
        <w:tc>
          <w:tcPr>
            <w:tcW w:w="4675" w:type="dxa"/>
            <w:shd w:val="clear" w:color="auto" w:fill="DEEBF7"/>
          </w:tcPr>
          <w:p>
            <w:pPr/>
            <w:r>
              <w:rPr>
                <w:rFonts w:ascii="Times New Roman" w:hAnsi="Times New Roman" w:cs="Times New Roman"/>
                <w:sz w:val="22"/>
                <w:szCs w:val="22"/>
              </w:rPr>
              <w:t xml:space="preserve">verb → noun: use → the use of ...; decide → the decision to ...; improve → the improvement of ...</w:t>
            </w:r>
          </w:p>
        </w:tc>
      </w:tr>
      <w:tr>
        <w:tc>
          <w:tcPr>
            <w:tcW w:w="4675" w:type="dxa"/>
            <w:shd w:val="clear" w:color="auto" w:fill="DEEBF7"/>
          </w:tcPr>
          <w:p>
            <w:pPr/>
            <w:r>
              <w:rPr>
                <w:rFonts w:ascii="Times New Roman" w:hAnsi="Times New Roman" w:cs="Times New Roman"/>
                <w:sz w:val="22"/>
                <w:szCs w:val="22"/>
              </w:rPr>
              <w:t xml:space="preserve">Use in formal writing:</w:t>
            </w:r>
          </w:p>
        </w:tc>
        <w:tc>
          <w:tcPr>
            <w:tcW w:w="4675" w:type="dxa"/>
            <w:shd w:val="clear" w:color="auto" w:fill="DEEBF7"/>
          </w:tcPr>
          <w:p>
            <w:pPr/>
            <w:r>
              <w:rPr>
                <w:rFonts w:ascii="Times New Roman" w:hAnsi="Times New Roman" w:cs="Times New Roman"/>
                <w:sz w:val="22"/>
                <w:szCs w:val="22"/>
              </w:rPr>
              <w:t xml:space="preserve">Compresses an action into a noun phrase, so one clause does the work of two. Ideal for opening sentences in proposals and reports.</w:t>
            </w:r>
          </w:p>
        </w:tc>
      </w:tr>
      <w:tr>
        <w:tc>
          <w:tcPr>
            <w:tcW w:w="4675" w:type="dxa"/>
            <w:shd w:val="clear" w:color="auto" w:fill="DEEBF7"/>
          </w:tcPr>
          <w:p>
            <w:pPr/>
            <w:r>
              <w:rPr>
                <w:rFonts w:ascii="Times New Roman" w:hAnsi="Times New Roman" w:cs="Times New Roman"/>
                <w:sz w:val="22"/>
                <w:szCs w:val="22"/>
              </w:rPr>
              <w:t xml:space="preserve">Example:</w:t>
            </w:r>
          </w:p>
        </w:tc>
        <w:tc>
          <w:tcPr>
            <w:tcW w:w="4675" w:type="dxa"/>
            <w:shd w:val="clear" w:color="auto" w:fill="DEEBF7"/>
          </w:tcPr>
          <w:p>
            <w:pPr/>
            <w:r>
              <w:rPr>
                <w:rFonts w:ascii="Times New Roman" w:hAnsi="Times New Roman" w:cs="Times New Roman"/>
                <w:sz w:val="22"/>
                <w:szCs w:val="22"/>
              </w:rPr>
              <w:t xml:space="preserve">The school’s decision to introduce e-textbooks has won widespread support.</w:t>
            </w:r>
          </w:p>
        </w:tc>
      </w:tr>
    </w:tbl>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The introduction of a school digital-literacy programme deserves serious consideration. It would give students the skills to manage their screen time and to judge online information for themselves, reducing the risk of cyberbullying and online scams. Parents and teachers alike would welcome such a step.</w:t>
      </w:r>
    </w:p>
    <w:p>
      <w:pPr>
        <w:pStyle w:val="31"/>
        <w:spacing w:line="360" w:lineRule="auto"/>
      </w:pPr>
      <w:r>
        <w:rPr>
          <w:rFonts w:ascii="Times New Roman" w:hAnsi="Times New Roman" w:cs="Times New Roman"/>
          <w:b/>
          <w:sz w:val="22"/>
          <w:szCs w:val="22"/>
        </w:rPr>
        <w:t xml:space="preserve">Pattern 2: Turn adjectives into nouns</w:t>
      </w:r>
    </w:p>
    <w:tbl>
      <w:tblPr>
        <w:tblStyle w:val="aff2"/>
        <w:tblW w:w="0" w:type="auto"/>
        <w:tblLook w:val="04A0" w:firstRow="1" w:lastRow="0" w:firstColumn="1" w:lastColumn="0" w:noHBand="0" w:noVBand="1"/>
      </w:tblPr>
      <w:tblGrid>
        <w:gridCol w:w="4675"/>
        <w:gridCol w:w="4675"/>
      </w:tblGrid>
      <w:tr>
        <w:tc>
          <w:tcPr>
            <w:tcW w:w="4675" w:type="dxa"/>
            <w:shd w:val="clear" w:color="auto" w:fill="DEEBF7"/>
          </w:tcPr>
          <w:p>
            <w:pPr/>
            <w:r>
              <w:rPr>
                <w:rFonts w:ascii="Times New Roman" w:hAnsi="Times New Roman" w:cs="Times New Roman"/>
                <w:sz w:val="22"/>
                <w:szCs w:val="22"/>
              </w:rPr>
              <w:t xml:space="preserve">Structure:</w:t>
            </w:r>
          </w:p>
        </w:tc>
        <w:tc>
          <w:tcPr>
            <w:tcW w:w="4675" w:type="dxa"/>
            <w:shd w:val="clear" w:color="auto" w:fill="DEEBF7"/>
          </w:tcPr>
          <w:p>
            <w:pPr/>
            <w:r>
              <w:rPr>
                <w:rFonts w:ascii="Times New Roman" w:hAnsi="Times New Roman" w:cs="Times New Roman"/>
                <w:sz w:val="22"/>
                <w:szCs w:val="22"/>
              </w:rPr>
              <w:t xml:space="preserve">adjective → noun: important → importance; aware → awareness; dependent → dependence; responsible → responsibility</w:t>
            </w:r>
          </w:p>
        </w:tc>
      </w:tr>
      <w:tr>
        <w:tc>
          <w:tcPr>
            <w:tcW w:w="4675" w:type="dxa"/>
            <w:shd w:val="clear" w:color="auto" w:fill="DEEBF7"/>
          </w:tcPr>
          <w:p>
            <w:pPr/>
            <w:r>
              <w:rPr>
                <w:rFonts w:ascii="Times New Roman" w:hAnsi="Times New Roman" w:cs="Times New Roman"/>
                <w:sz w:val="22"/>
                <w:szCs w:val="22"/>
              </w:rPr>
              <w:t xml:space="preserve">Use in formal writing:</w:t>
            </w:r>
          </w:p>
        </w:tc>
        <w:tc>
          <w:tcPr>
            <w:tcW w:w="4675" w:type="dxa"/>
            <w:shd w:val="clear" w:color="auto" w:fill="DEEBF7"/>
          </w:tcPr>
          <w:p>
            <w:pPr/>
            <w:r>
              <w:rPr>
                <w:rFonts w:ascii="Times New Roman" w:hAnsi="Times New Roman" w:cs="Times New Roman"/>
                <w:sz w:val="22"/>
                <w:szCs w:val="22"/>
              </w:rPr>
              <w:t xml:space="preserve">Turns a quality into something we can discuss and judge. Excellent for topic sentences in argumentative essays.</w:t>
            </w:r>
          </w:p>
        </w:tc>
      </w:tr>
      <w:tr>
        <w:tc>
          <w:tcPr>
            <w:tcW w:w="4675" w:type="dxa"/>
            <w:shd w:val="clear" w:color="auto" w:fill="DEEBF7"/>
          </w:tcPr>
          <w:p>
            <w:pPr/>
            <w:r>
              <w:rPr>
                <w:rFonts w:ascii="Times New Roman" w:hAnsi="Times New Roman" w:cs="Times New Roman"/>
                <w:sz w:val="22"/>
                <w:szCs w:val="22"/>
              </w:rPr>
              <w:t xml:space="preserve">Example:</w:t>
            </w:r>
          </w:p>
        </w:tc>
        <w:tc>
          <w:tcPr>
            <w:tcW w:w="4675" w:type="dxa"/>
            <w:shd w:val="clear" w:color="auto" w:fill="DEEBF7"/>
          </w:tcPr>
          <w:p>
            <w:pPr/>
            <w:r>
              <w:rPr>
                <w:rFonts w:ascii="Times New Roman" w:hAnsi="Times New Roman" w:cs="Times New Roman"/>
                <w:sz w:val="22"/>
                <w:szCs w:val="22"/>
              </w:rPr>
              <w:t xml:space="preserve">Young people’s heavy dependence on smartphones is a growing concern.</w:t>
            </w:r>
          </w:p>
        </w:tc>
      </w:tr>
    </w:tbl>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The importance of digital skills in the modern workplace can hardly be overstated. Students who master online tools at school gain a clear advantage when they graduate, while those who ignore them risk falling further behind. Schools, therefore, should treat digital literacy as a core subject rather than an option.</w:t>
      </w:r>
    </w:p>
    <w:p>
      <w:pPr>
        <w:pStyle w:val="31"/>
        <w:spacing w:line="360" w:lineRule="auto"/>
      </w:pPr>
      <w:r>
        <w:rPr>
          <w:rFonts w:ascii="Times New Roman" w:hAnsi="Times New Roman" w:cs="Times New Roman"/>
          <w:b/>
          <w:sz w:val="22"/>
          <w:szCs w:val="22"/>
        </w:rPr>
        <w:t xml:space="preserve">Pattern 3: Turn because / if clauses into noun phrases</w:t>
      </w:r>
    </w:p>
    <w:tbl>
      <w:tblPr>
        <w:tblStyle w:val="aff2"/>
        <w:tblW w:w="0" w:type="auto"/>
        <w:tblLook w:val="04A0" w:firstRow="1" w:lastRow="0" w:firstColumn="1" w:lastColumn="0" w:noHBand="0" w:noVBand="1"/>
      </w:tblPr>
      <w:tblGrid>
        <w:gridCol w:w="4675"/>
        <w:gridCol w:w="4675"/>
      </w:tblGrid>
      <w:tr>
        <w:tc>
          <w:tcPr>
            <w:tcW w:w="4675" w:type="dxa"/>
            <w:shd w:val="clear" w:color="auto" w:fill="DEEBF7"/>
          </w:tcPr>
          <w:p>
            <w:pPr/>
            <w:r>
              <w:rPr>
                <w:rFonts w:ascii="Times New Roman" w:hAnsi="Times New Roman" w:cs="Times New Roman"/>
                <w:sz w:val="22"/>
                <w:szCs w:val="22"/>
              </w:rPr>
              <w:t xml:space="preserve">Structure:</w:t>
            </w:r>
          </w:p>
        </w:tc>
        <w:tc>
          <w:tcPr>
            <w:tcW w:w="4675" w:type="dxa"/>
            <w:shd w:val="clear" w:color="auto" w:fill="DEEBF7"/>
          </w:tcPr>
          <w:p>
            <w:pPr/>
            <w:r>
              <w:rPr>
                <w:rFonts w:ascii="Times New Roman" w:hAnsi="Times New Roman" w:cs="Times New Roman"/>
                <w:sz w:val="22"/>
                <w:szCs w:val="22"/>
              </w:rPr>
              <w:t xml:space="preserve">because + a clause → owing to / because of + a noun phrase; if + a clause → without + a noun phrase</w:t>
            </w:r>
          </w:p>
        </w:tc>
      </w:tr>
      <w:tr>
        <w:tc>
          <w:tcPr>
            <w:tcW w:w="4675" w:type="dxa"/>
            <w:shd w:val="clear" w:color="auto" w:fill="DEEBF7"/>
          </w:tcPr>
          <w:p>
            <w:pPr/>
            <w:r>
              <w:rPr>
                <w:rFonts w:ascii="Times New Roman" w:hAnsi="Times New Roman" w:cs="Times New Roman"/>
                <w:sz w:val="22"/>
                <w:szCs w:val="22"/>
              </w:rPr>
              <w:t xml:space="preserve">Use in formal writing:</w:t>
            </w:r>
          </w:p>
        </w:tc>
        <w:tc>
          <w:tcPr>
            <w:tcW w:w="4675" w:type="dxa"/>
            <w:shd w:val="clear" w:color="auto" w:fill="DEEBF7"/>
          </w:tcPr>
          <w:p>
            <w:pPr/>
            <w:r>
              <w:rPr>
                <w:rFonts w:ascii="Times New Roman" w:hAnsi="Times New Roman" w:cs="Times New Roman"/>
                <w:sz w:val="22"/>
                <w:szCs w:val="22"/>
              </w:rPr>
              <w:t xml:space="preserve">Shortens explanations and states a cause or condition in one breath. Ideal for proposals and conclusions.</w:t>
            </w:r>
          </w:p>
        </w:tc>
      </w:tr>
      <w:tr>
        <w:tc>
          <w:tcPr>
            <w:tcW w:w="4675" w:type="dxa"/>
            <w:shd w:val="clear" w:color="auto" w:fill="DEEBF7"/>
          </w:tcPr>
          <w:p>
            <w:pPr/>
            <w:r>
              <w:rPr>
                <w:rFonts w:ascii="Times New Roman" w:hAnsi="Times New Roman" w:cs="Times New Roman"/>
                <w:sz w:val="22"/>
                <w:szCs w:val="22"/>
              </w:rPr>
              <w:t xml:space="preserve">Example:</w:t>
            </w:r>
          </w:p>
        </w:tc>
        <w:tc>
          <w:tcPr>
            <w:tcW w:w="4675" w:type="dxa"/>
            <w:shd w:val="clear" w:color="auto" w:fill="DEEBF7"/>
          </w:tcPr>
          <w:p>
            <w:pPr/>
            <w:r>
              <w:rPr>
                <w:rFonts w:ascii="Times New Roman" w:hAnsi="Times New Roman" w:cs="Times New Roman"/>
                <w:sz w:val="22"/>
                <w:szCs w:val="22"/>
              </w:rPr>
              <w:t xml:space="preserve">Owing to the widespread use of smartphones, many students struggle to concentrate for long periods.</w:t>
            </w:r>
          </w:p>
        </w:tc>
      </w:tr>
    </w:tbl>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Owing to the rise of artificial intelligence, teachers can no longer be sure that homework is entirely a student’s own work. The ease with which students can copy machine-written answers, together with the difficulty of detecting it, forces schools to rethink assessment entirely. The wisest response is not to ban the tools but to teach their responsible use.</w:t>
      </w:r>
    </w:p>
    <w:p>
      <w:pPr>
        <w:pStyle w:val="1"/>
        <w:spacing w:line="360" w:lineRule="auto"/>
      </w:pPr>
      <w:r>
        <w:rPr>
          <w:rFonts w:ascii="Times New Roman" w:hAnsi="Times New Roman" w:cs="Times New Roman"/>
          <w:b/>
        </w:rPr>
        <w:t xml:space="preserve">Part 3: Practice sets</w:t>
      </w:r>
    </w:p>
    <w:p>
      <w:pPr>
        <w:spacing w:line="360" w:lineRule="auto"/>
      </w:pPr>
      <w:r>
        <w:rPr>
          <w:rFonts w:ascii="Times New Roman" w:hAnsi="Times New Roman" w:cs="Times New Roman"/>
          <w:sz w:val="22"/>
          <w:szCs w:val="22"/>
        </w:rPr>
        <w:t xml:space="preserve">Rewrite each simple sentence using nominalisation. The sentences are all about technology and communication, so keep the register formal. The even-numbered sets (2, 4 and 6) are more challenging.</w:t>
      </w:r>
    </w:p>
    <w:p>
      <w:pPr>
        <w:pStyle w:val="31"/>
        <w:spacing w:line="360" w:lineRule="auto"/>
      </w:pPr>
      <w:r>
        <w:rPr>
          <w:rFonts w:ascii="Times New Roman" w:hAnsi="Times New Roman" w:cs="Times New Roman"/>
          <w:b/>
          <w:sz w:val="22"/>
          <w:szCs w:val="22"/>
        </w:rPr>
        <w:t xml:space="preserve">Example Set 1 (Turn verbs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People use social media so often that it weakens their face-to-face communication.</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‘use’ into a noun and begin with ‘The frequent use of ...’.</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31"/>
        <w:spacing w:line="360" w:lineRule="auto"/>
      </w:pPr>
      <w:r>
        <w:rPr>
          <w:rFonts w:ascii="Times New Roman" w:hAnsi="Times New Roman" w:cs="Times New Roman"/>
          <w:b/>
          <w:sz w:val="22"/>
          <w:szCs w:val="22"/>
        </w:rPr>
        <w:t xml:space="preserve">Example Set 2 (Turn verbs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The government will improve the security of online banking, which will protect customers.</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‘will improve’ into a noun and begin with ‘The improvement of ...’.</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31"/>
        <w:spacing w:line="360" w:lineRule="auto"/>
      </w:pPr>
      <w:r>
        <w:rPr>
          <w:rFonts w:ascii="Times New Roman" w:hAnsi="Times New Roman" w:cs="Times New Roman"/>
          <w:b/>
          <w:sz w:val="22"/>
          <w:szCs w:val="22"/>
        </w:rPr>
        <w:t xml:space="preserve">Example Set 3 (Turn adjectives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Many parents worry about how dependent young people are on their smartphones.</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‘dependent’ into a noun: rewrite ‘how dependent young people are’ as ‘young people’s strong dependence ...’.</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31"/>
        <w:spacing w:line="360" w:lineRule="auto"/>
      </w:pPr>
      <w:r>
        <w:rPr>
          <w:rFonts w:ascii="Times New Roman" w:hAnsi="Times New Roman" w:cs="Times New Roman"/>
          <w:b/>
          <w:sz w:val="22"/>
          <w:szCs w:val="22"/>
        </w:rPr>
        <w:t xml:space="preserve">Example Set 4 (Turn adjectives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Students are more aware of online privacy than they used to be.</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‘aware’ into a noun and rewrite the sentence without the verb ‘are’.</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31"/>
        <w:spacing w:line="360" w:lineRule="auto"/>
      </w:pPr>
      <w:r>
        <w:rPr>
          <w:rFonts w:ascii="Times New Roman" w:hAnsi="Times New Roman" w:cs="Times New Roman"/>
          <w:b/>
          <w:sz w:val="22"/>
          <w:szCs w:val="22"/>
        </w:rPr>
        <w:t xml:space="preserve">Example Set 5 (Turn because / if clauses into noun phrases)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Because technology develops quickly, schools must update their resources regularly.</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Replace the ‘because’ clause with a phrase beginning ‘Owing to the rapid development of ...’.</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31"/>
        <w:spacing w:line="360" w:lineRule="auto"/>
      </w:pPr>
      <w:r>
        <w:rPr>
          <w:rFonts w:ascii="Times New Roman" w:hAnsi="Times New Roman" w:cs="Times New Roman"/>
          <w:b/>
          <w:sz w:val="22"/>
          <w:szCs w:val="22"/>
        </w:rPr>
        <w:t xml:space="preserve">Example Set 6 (Turn because / if clauses into noun phrases)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If the government does not regulate social media companies, online scams will continue to grow.</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Replace the conditional clause with a noun phrase beginning with ‘Without ...’.</w:t>
            </w:r>
          </w:p>
        </w:tc>
      </w:tr>
      <w:tr>
        <w:tc>
          <w:tcPr>
            <w:tcW w:w="2605" w:type="dxa"/>
          </w:tcPr>
          <w:p>
            <w:pPr/>
            <w:r>
              <w:rPr>
                <w:rFonts w:ascii="Times New Roman" w:hAnsi="Times New Roman" w:cs="Times New Roman"/>
                <w:sz w:val="22"/>
                <w:szCs w:val="22"/>
              </w:rPr>
              <w:t xml:space="preserve"/>
            </w:r>
          </w:p>
        </w:tc>
        <w:tc>
          <w:tcPr>
            <w:tcW w:w="6745" w:type="dxa"/>
          </w:tcPr>
          <w:p>
            <w:pPr/>
            <w:r>
              <w:rPr>
                <w:rFonts w:ascii="Times New Roman" w:hAnsi="Times New Roman" w:cs="Times New Roman"/>
                <w:sz w:val="22"/>
                <w:szCs w:val="22"/>
              </w:rPr>
              <w:t xml:space="preserve"/>
            </w:r>
          </w:p>
        </w:tc>
      </w:tr>
    </w:tbl>
    <w:p>
      <w:pPr>
        <w:pStyle w:val="1"/>
        <w:spacing w:line="360" w:lineRule="auto"/>
      </w:pPr>
      <w:r>
        <w:rPr>
          <w:rFonts w:ascii="Times New Roman" w:hAnsi="Times New Roman" w:cs="Times New Roman"/>
          <w:b/>
        </w:rPr>
        <w:t xml:space="preserve">Part 4: Writing Task</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b/>
          <w:sz w:val="22"/>
          <w:szCs w:val="22"/>
        </w:rPr>
        <w:t xml:space="preserve">Instructions:</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sz w:val="22"/>
          <w:szCs w:val="22"/>
        </w:rPr>
        <w:t xml:space="preserve">1. Your school magazine is running a series called ‘Life in the Digital Age’. Write ONE paragraph (about 80 words) giving your opinion on whether students should be allowed to use AI tools such as ChatGPT to help with their schoolwork.</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sz w:val="22"/>
          <w:szCs w:val="22"/>
        </w:rPr>
        <w:t xml:space="preserve">2. Use TWO noun phrases formed by nominalisation and ONE relative clause.</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p>
      <w:pPr>
        <w:spacing w:line="360" w:lineRule="auto"/>
      </w:pPr>
      <w:r>
        <w:rPr>
          <w:rFonts w:ascii="Times New Roman" w:hAnsi="Times New Roman" w:cs="Times New Roman"/>
          <w:sz w:val="22"/>
          <w:szCs w:val="22"/>
        </w:rPr>
        <w:t xml:space="preserve">_____________________________________________________________________________________</w:t>
      </w:r>
    </w:p>
    <w:sectPr w:rsidR="00CA1123"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EBFA" w14:textId="77777777" w:rsidR="00300CBD" w:rsidRDefault="00300CBD">
      <w:pPr>
        <w:spacing w:after="0" w:line="240" w:lineRule="auto"/>
      </w:pPr>
      <w:r>
        <w:separator/>
      </w:r>
    </w:p>
  </w:endnote>
  <w:endnote w:type="continuationSeparator" w:id="0">
    <w:p w14:paraId="0D975AAC" w14:textId="77777777" w:rsidR="00300CBD" w:rsidRDefault="00300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EC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6E42" w14:textId="77777777" w:rsidR="00300CBD" w:rsidRDefault="00300CBD">
      <w:pPr>
        <w:spacing w:after="0" w:line="240" w:lineRule="auto"/>
      </w:pPr>
      <w:r>
        <w:separator/>
      </w:r>
    </w:p>
  </w:footnote>
  <w:footnote w:type="continuationSeparator" w:id="0">
    <w:p w14:paraId="0934FD06" w14:textId="77777777" w:rsidR="00300CBD" w:rsidRDefault="00300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28D"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0CBD"/>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64F08"/>
    <w:rsid w:val="007B16EA"/>
    <w:rsid w:val="007E121A"/>
    <w:rsid w:val="007E1EF5"/>
    <w:rsid w:val="00803F16"/>
    <w:rsid w:val="008476F7"/>
    <w:rsid w:val="00895508"/>
    <w:rsid w:val="009D6569"/>
    <w:rsid w:val="009F4D9E"/>
    <w:rsid w:val="009F79C3"/>
    <w:rsid w:val="00A511E5"/>
    <w:rsid w:val="00AA0822"/>
    <w:rsid w:val="00AA1D8D"/>
    <w:rsid w:val="00AD7831"/>
    <w:rsid w:val="00AE5079"/>
    <w:rsid w:val="00B47730"/>
    <w:rsid w:val="00BB10BD"/>
    <w:rsid w:val="00C0343B"/>
    <w:rsid w:val="00C90CD2"/>
    <w:rsid w:val="00CA1123"/>
    <w:rsid w:val="00CB0664"/>
    <w:rsid w:val="00CD3F6B"/>
    <w:rsid w:val="00D167F3"/>
    <w:rsid w:val="00D17940"/>
    <w:rsid w:val="00DE41A7"/>
    <w:rsid w:val="00E17208"/>
    <w:rsid w:val="00E21FFA"/>
    <w:rsid w:val="00E2233B"/>
    <w:rsid w:val="00E83C4D"/>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2C4BB"/>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3</cp:revision>
  <cp:lastPrinted>2026-09-18T04:20:00Z</cp:lastPrinted>
  <dcterms:created xsi:type="dcterms:W3CDTF">2026-09-18T07:15:00Z</dcterms:created>
  <dcterms:modified xsi:type="dcterms:W3CDTF">2026-09-18T07:16:00Z</dcterms:modified>
  <cp:category/>
</cp:coreProperties>
</file>