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online learning saves travelling time, but it also gives students access to courses which is not available in their own schools.</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b/>
          <w:sz w:val="22"/>
          <w:szCs w:val="22"/>
        </w:rPr>
        <w:t xml:space="preserve">Teacher’s answers</w:t>
      </w:r>
    </w:p>
    <w:tbl>
      <w:tblPr>
        <w:tblStyle w:val="aff2"/>
        <w:tblW w:w="0" w:type="auto"/>
        <w:tblLook w:val="04A0" w:firstRow="1" w:lastRow="0" w:firstColumn="1" w:lastColumn="0" w:noHBand="0" w:noVBand="1"/>
      </w:tblPr>
      <w:tblGrid>
        <w:gridCol w:w="620"/>
        <w:gridCol w:w="8730"/>
      </w:tblGrid>
      <w:tr>
        <w:tc>
          <w:tcPr>
            <w:tcW w:w="620" w:type="dxa"/>
            <w:shd w:val="clear" w:color="auto" w:fill="F2F2F2"/>
          </w:tcPr>
          <w:p>
            <w:pPr/>
            <w:r>
              <w:rPr>
                <w:rFonts w:ascii="Times New Roman" w:hAnsi="Times New Roman" w:cs="Times New Roman"/>
                <w:b/>
                <w:sz w:val="22"/>
                <w:szCs w:val="22"/>
              </w:rPr>
              <w:t xml:space="preserve">Item</w:t>
            </w:r>
          </w:p>
        </w:tc>
        <w:tc>
          <w:tcPr>
            <w:tcW w:w="8730" w:type="dxa"/>
            <w:shd w:val="clear" w:color="auto" w:fill="F2F2F2"/>
          </w:tcPr>
          <w:p>
            <w:pPr/>
            <w:r>
              <w:rPr>
                <w:rFonts w:ascii="Times New Roman" w:hAnsi="Times New Roman" w:cs="Times New Roman"/>
                <w:b/>
                <w:sz w:val="22"/>
                <w:szCs w:val="22"/>
              </w:rPr>
              <w:t xml:space="preserve">Correction (fix both errors)</w:t>
            </w:r>
          </w:p>
        </w:tc>
      </w:tr>
      <w:tr>
        <w:tc>
          <w:tcPr>
            <w:tcW w:w="620" w:type="dxa"/>
            <w:shd w:val="clear" w:color="auto" w:fill="F2F2F2"/>
          </w:tcPr>
          <w:p>
            <w:pPr/>
            <w:r>
              <w:rPr>
                <w:rFonts w:ascii="Times New Roman" w:hAnsi="Times New Roman" w:cs="Times New Roman"/>
                <w:sz w:val="22"/>
                <w:szCs w:val="22"/>
              </w:rPr>
              <w:t xml:space="preserve">1</w:t>
            </w:r>
          </w:p>
        </w:tc>
        <w:tc>
          <w:tcPr>
            <w:tcW w:w="8730" w:type="dxa"/>
            <w:shd w:val="clear" w:color="auto" w:fill="F2F2F2"/>
          </w:tcPr>
          <w:p>
            <w:pPr/>
            <w:r>
              <w:rPr>
                <w:rFonts w:ascii="Times New Roman" w:hAnsi="Times New Roman" w:cs="Times New Roman"/>
                <w:sz w:val="22"/>
                <w:szCs w:val="22"/>
              </w:rPr>
              <w:t xml:space="preserve">Not only does online learning save travelling time, but it also gives students access to courses which are not available in their own schools. (Add do before the subject; is → are — ‘which’ refers to courses.)</w:t>
            </w:r>
          </w:p>
        </w:tc>
      </w:tr>
      <w:tr>
        <w:tc>
          <w:tcPr>
            <w:tcW w:w="620" w:type="dxa"/>
            <w:shd w:val="clear" w:color="auto" w:fill="F2F2F2"/>
          </w:tcPr>
          <w:p>
            <w:pPr/>
            <w:r>
              <w:rPr>
                <w:rFonts w:ascii="Times New Roman" w:hAnsi="Times New Roman" w:cs="Times New Roman"/>
                <w:sz w:val="22"/>
                <w:szCs w:val="22"/>
              </w:rPr>
              <w:t xml:space="preserve">2</w:t>
            </w:r>
          </w:p>
        </w:tc>
        <w:tc>
          <w:tcPr>
            <w:tcW w:w="8730" w:type="dxa"/>
            <w:shd w:val="clear" w:color="auto" w:fill="F2F2F2"/>
          </w:tcPr>
          <w:p>
            <w:pPr/>
            <w:r>
              <w:rPr>
                <w:rFonts w:ascii="Times New Roman" w:hAnsi="Times New Roman" w:cs="Times New Roman"/>
                <w:sz w:val="22"/>
                <w:szCs w:val="22"/>
              </w:rPr>
              <w:t xml:space="preserve">Rarely do teenagers verify the truth of what they share online, which makes them easy targets of scams. (Add do before the subject; make → makes — the clause refers to sharing without checking.)</w:t>
            </w:r>
          </w:p>
        </w:tc>
      </w:tr>
      <w:tr>
        <w:tc>
          <w:tcPr>
            <w:tcW w:w="620" w:type="dxa"/>
            <w:shd w:val="clear" w:color="auto" w:fill="F2F2F2"/>
          </w:tcPr>
          <w:p>
            <w:pPr/>
            <w:r>
              <w:rPr>
                <w:rFonts w:ascii="Times New Roman" w:hAnsi="Times New Roman" w:cs="Times New Roman"/>
                <w:sz w:val="22"/>
                <w:szCs w:val="22"/>
              </w:rPr>
              <w:t xml:space="preserve">3</w:t>
            </w:r>
          </w:p>
        </w:tc>
        <w:tc>
          <w:tcPr>
            <w:tcW w:w="8730" w:type="dxa"/>
            <w:shd w:val="clear" w:color="auto" w:fill="F2F2F2"/>
          </w:tcPr>
          <w:p>
            <w:pPr/>
            <w:r>
              <w:rPr>
                <w:rFonts w:ascii="Times New Roman" w:hAnsi="Times New Roman" w:cs="Times New Roman"/>
                <w:sz w:val="22"/>
                <w:szCs w:val="22"/>
              </w:rPr>
              <w:t xml:space="preserve">Only by setting clear screen-time rules can parents protect their children, who often spend hours gaming late into the night. (Move can before parents — ‘Only by’ inverts subject and auxiliary; spends → spend — ‘who’ refers to children.)</w:t>
            </w:r>
          </w:p>
        </w:tc>
      </w:tr>
      <w:tr>
        <w:tc>
          <w:tcPr>
            <w:tcW w:w="620" w:type="dxa"/>
            <w:shd w:val="clear" w:color="auto" w:fill="F2F2F2"/>
          </w:tcPr>
          <w:p>
            <w:pPr/>
            <w:r>
              <w:rPr>
                <w:rFonts w:ascii="Times New Roman" w:hAnsi="Times New Roman" w:cs="Times New Roman"/>
                <w:sz w:val="22"/>
                <w:szCs w:val="22"/>
              </w:rPr>
              <w:t xml:space="preserve">4</w:t>
            </w:r>
          </w:p>
        </w:tc>
        <w:tc>
          <w:tcPr>
            <w:tcW w:w="8730" w:type="dxa"/>
            <w:shd w:val="clear" w:color="auto" w:fill="F2F2F2"/>
          </w:tcPr>
          <w:p>
            <w:pPr/>
            <w:r>
              <w:rPr>
                <w:rFonts w:ascii="Times New Roman" w:hAnsi="Times New Roman" w:cs="Times New Roman"/>
                <w:sz w:val="22"/>
                <w:szCs w:val="22"/>
              </w:rPr>
              <w:t xml:space="preserve">Never has the school considered banning phones in class, which distract students from every lesson. (Move has before the school — ‘Never’ inverts; distracts → distract — ‘which’ refers to phones.)</w:t>
            </w:r>
          </w:p>
        </w:tc>
      </w:tr>
      <w:tr>
        <w:tc>
          <w:tcPr>
            <w:tcW w:w="620" w:type="dxa"/>
            <w:shd w:val="clear" w:color="auto" w:fill="F2F2F2"/>
          </w:tcPr>
          <w:p>
            <w:pPr/>
            <w:r>
              <w:rPr>
                <w:rFonts w:ascii="Times New Roman" w:hAnsi="Times New Roman" w:cs="Times New Roman"/>
                <w:sz w:val="22"/>
                <w:szCs w:val="22"/>
              </w:rPr>
              <w:t xml:space="preserve">5</w:t>
            </w:r>
          </w:p>
        </w:tc>
        <w:tc>
          <w:tcPr>
            <w:tcW w:w="8730" w:type="dxa"/>
            <w:shd w:val="clear" w:color="auto" w:fill="F2F2F2"/>
          </w:tcPr>
          <w:p>
            <w:pPr/>
            <w:r>
              <w:rPr>
                <w:rFonts w:ascii="Times New Roman" w:hAnsi="Times New Roman" w:cs="Times New Roman"/>
                <w:sz w:val="22"/>
                <w:szCs w:val="22"/>
              </w:rPr>
              <w:t xml:space="preserve">Seldom do victims of online scams report the fraud to the police, which makes it harder to catch the criminals. (Add do before the subject; make → makes — the clause refers to the whole failure to report.)</w:t>
            </w:r>
          </w:p>
        </w:tc>
      </w:tr>
    </w:tbl>
    <w:p>
      <w:pPr>
        <w:spacing w:line="360" w:lineRule="auto"/>
      </w:pPr>
      <w:r>
        <w:rPr>
          <w:rFonts w:ascii="Times New Roman" w:hAnsi="Times New Roman" w:cs="Times New Roman"/>
          <w:sz w:val="22"/>
          <w:szCs w:val="22"/>
        </w:rPr>
        <w:t xml:space="preserve"/>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 The last six words are more challenging.</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decision</w:t>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improvement</w:t>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communication</w:t>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introduction</w:t>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regulation</w:t>
            </w:r>
          </w:p>
        </w:tc>
      </w:tr>
      <w:tr>
        <w:tc>
          <w:tcPr>
            <w:tcW w:w="2605" w:type="dxa"/>
          </w:tcPr>
          <w:p>
            <w:pPr/>
            <w:r>
              <w:rPr>
                <w:rFonts w:ascii="Times New Roman" w:hAnsi="Times New Roman" w:cs="Times New Roman"/>
                <w:sz w:val="22"/>
                <w:szCs w:val="22"/>
              </w:rPr>
              <w:t xml:space="preserve">protect</w:t>
            </w:r>
          </w:p>
        </w:tc>
        <w:tc>
          <w:tcPr>
            <w:tcW w:w="6745" w:type="dxa"/>
          </w:tcPr>
          <w:p>
            <w:pPr/>
            <w:r>
              <w:rPr>
                <w:rFonts w:ascii="Times New Roman" w:hAnsi="Times New Roman" w:cs="Times New Roman"/>
                <w:sz w:val="22"/>
                <w:szCs w:val="22"/>
              </w:rPr>
              <w:t xml:space="preserve">protection</w:t>
            </w:r>
          </w:p>
        </w:tc>
      </w:tr>
      <w:tr>
        <w:tc>
          <w:tcPr>
            <w:tcW w:w="2605" w:type="dxa"/>
          </w:tcPr>
          <w:p>
            <w:pPr/>
            <w:r>
              <w:rPr>
                <w:rFonts w:ascii="Times New Roman" w:hAnsi="Times New Roman" w:cs="Times New Roman"/>
                <w:sz w:val="22"/>
                <w:szCs w:val="22"/>
              </w:rPr>
              <w:t xml:space="preserve">explain</w:t>
            </w:r>
          </w:p>
        </w:tc>
        <w:tc>
          <w:tcPr>
            <w:tcW w:w="6745" w:type="dxa"/>
          </w:tcPr>
          <w:p>
            <w:pPr/>
            <w:r>
              <w:rPr>
                <w:rFonts w:ascii="Times New Roman" w:hAnsi="Times New Roman" w:cs="Times New Roman"/>
                <w:sz w:val="22"/>
                <w:szCs w:val="22"/>
              </w:rPr>
              <w:t xml:space="preserve">explanation</w:t>
            </w:r>
          </w:p>
        </w:tc>
      </w:tr>
      <w:tr>
        <w:tc>
          <w:tcPr>
            <w:tcW w:w="2605" w:type="dxa"/>
          </w:tcPr>
          <w:p>
            <w:pPr/>
            <w:r>
              <w:rPr>
                <w:rFonts w:ascii="Times New Roman" w:hAnsi="Times New Roman" w:cs="Times New Roman"/>
                <w:sz w:val="22"/>
                <w:szCs w:val="22"/>
              </w:rPr>
              <w:t xml:space="preserve">solve</w:t>
            </w:r>
          </w:p>
        </w:tc>
        <w:tc>
          <w:tcPr>
            <w:tcW w:w="6745" w:type="dxa"/>
          </w:tcPr>
          <w:p>
            <w:pPr/>
            <w:r>
              <w:rPr>
                <w:rFonts w:ascii="Times New Roman" w:hAnsi="Times New Roman" w:cs="Times New Roman"/>
                <w:sz w:val="22"/>
                <w:szCs w:val="22"/>
              </w:rPr>
              <w:t xml:space="preserve">solution</w:t>
            </w:r>
          </w:p>
        </w:tc>
      </w:tr>
      <w:tr>
        <w:tc>
          <w:tcPr>
            <w:tcW w:w="2605" w:type="dxa"/>
          </w:tcPr>
          <w:p>
            <w:pPr/>
            <w:r>
              <w:rPr>
                <w:rFonts w:ascii="Times New Roman" w:hAnsi="Times New Roman" w:cs="Times New Roman"/>
                <w:sz w:val="22"/>
                <w:szCs w:val="22"/>
              </w:rPr>
              <w:t xml:space="preserve">use</w:t>
            </w:r>
          </w:p>
        </w:tc>
        <w:tc>
          <w:tcPr>
            <w:tcW w:w="6745" w:type="dxa"/>
          </w:tcPr>
          <w:p>
            <w:pPr/>
            <w:r>
              <w:rPr>
                <w:rFonts w:ascii="Times New Roman" w:hAnsi="Times New Roman" w:cs="Times New Roman"/>
                <w:sz w:val="22"/>
                <w:szCs w:val="22"/>
              </w:rPr>
              <w:t xml:space="preserve">use</w:t>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development</w:t>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awareness</w:t>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importance</w:t>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dependence</w:t>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responsibility</w:t>
            </w:r>
          </w:p>
        </w:tc>
      </w:tr>
      <w:tr>
        <w:tc>
          <w:tcPr>
            <w:tcW w:w="2605" w:type="dxa"/>
          </w:tcPr>
          <w:p>
            <w:pPr/>
            <w:r>
              <w:rPr>
                <w:rFonts w:ascii="Times New Roman" w:hAnsi="Times New Roman" w:cs="Times New Roman"/>
                <w:sz w:val="22"/>
                <w:szCs w:val="22"/>
              </w:rPr>
              <w:t xml:space="preserve">choose</w:t>
            </w:r>
          </w:p>
        </w:tc>
        <w:tc>
          <w:tcPr>
            <w:tcW w:w="6745" w:type="dxa"/>
          </w:tcPr>
          <w:p>
            <w:pPr/>
            <w:r>
              <w:rPr>
                <w:rFonts w:ascii="Times New Roman" w:hAnsi="Times New Roman" w:cs="Times New Roman"/>
                <w:sz w:val="22"/>
                <w:szCs w:val="22"/>
              </w:rPr>
              <w:t xml:space="preserve">choice</w:t>
            </w:r>
          </w:p>
        </w:tc>
      </w:tr>
      <w:tr>
        <w:tc>
          <w:tcPr>
            <w:tcW w:w="2605" w:type="dxa"/>
          </w:tcPr>
          <w:p>
            <w:pPr/>
            <w:r>
              <w:rPr>
                <w:rFonts w:ascii="Times New Roman" w:hAnsi="Times New Roman" w:cs="Times New Roman"/>
                <w:sz w:val="22"/>
                <w:szCs w:val="22"/>
              </w:rPr>
              <w:t xml:space="preserve">know</w:t>
            </w:r>
          </w:p>
        </w:tc>
        <w:tc>
          <w:tcPr>
            <w:tcW w:w="6745" w:type="dxa"/>
          </w:tcPr>
          <w:p>
            <w:pPr/>
            <w:r>
              <w:rPr>
                <w:rFonts w:ascii="Times New Roman" w:hAnsi="Times New Roman" w:cs="Times New Roman"/>
                <w:sz w:val="22"/>
                <w:szCs w:val="22"/>
              </w:rPr>
              <w:t xml:space="preserve">knowledge</w:t>
            </w:r>
          </w:p>
        </w:tc>
      </w:tr>
      <w:tr>
        <w:tc>
          <w:tcPr>
            <w:tcW w:w="2605" w:type="dxa"/>
          </w:tcPr>
          <w:p>
            <w:pPr/>
            <w:r>
              <w:rPr>
                <w:rFonts w:ascii="Times New Roman" w:hAnsi="Times New Roman" w:cs="Times New Roman"/>
                <w:sz w:val="22"/>
                <w:szCs w:val="22"/>
              </w:rPr>
              <w:t xml:space="preserve">lose</w:t>
            </w:r>
          </w:p>
        </w:tc>
        <w:tc>
          <w:tcPr>
            <w:tcW w:w="6745" w:type="dxa"/>
          </w:tcPr>
          <w:p>
            <w:pPr/>
            <w:r>
              <w:rPr>
                <w:rFonts w:ascii="Times New Roman" w:hAnsi="Times New Roman" w:cs="Times New Roman"/>
                <w:sz w:val="22"/>
                <w:szCs w:val="22"/>
              </w:rPr>
              <w:t xml:space="preserve">loss</w:t>
            </w:r>
          </w:p>
        </w:tc>
      </w:tr>
      <w:tr>
        <w:tc>
          <w:tcPr>
            <w:tcW w:w="2605" w:type="dxa"/>
          </w:tcPr>
          <w:p>
            <w:pPr/>
            <w:r>
              <w:rPr>
                <w:rFonts w:ascii="Times New Roman" w:hAnsi="Times New Roman" w:cs="Times New Roman"/>
                <w:sz w:val="22"/>
                <w:szCs w:val="22"/>
              </w:rPr>
              <w:t xml:space="preserve">prove</w:t>
            </w:r>
          </w:p>
        </w:tc>
        <w:tc>
          <w:tcPr>
            <w:tcW w:w="6745" w:type="dxa"/>
          </w:tcPr>
          <w:p>
            <w:pPr/>
            <w:r>
              <w:rPr>
                <w:rFonts w:ascii="Times New Roman" w:hAnsi="Times New Roman" w:cs="Times New Roman"/>
                <w:sz w:val="22"/>
                <w:szCs w:val="22"/>
              </w:rPr>
              <w:t xml:space="preserve">proof</w:t>
            </w:r>
          </w:p>
        </w:tc>
      </w:tr>
      <w:tr>
        <w:tc>
          <w:tcPr>
            <w:tcW w:w="2605" w:type="dxa"/>
          </w:tcPr>
          <w:p>
            <w:pPr/>
            <w:r>
              <w:rPr>
                <w:rFonts w:ascii="Times New Roman" w:hAnsi="Times New Roman" w:cs="Times New Roman"/>
                <w:sz w:val="22"/>
                <w:szCs w:val="22"/>
              </w:rPr>
              <w:t xml:space="preserve">believe</w:t>
            </w:r>
          </w:p>
        </w:tc>
        <w:tc>
          <w:tcPr>
            <w:tcW w:w="6745" w:type="dxa"/>
          </w:tcPr>
          <w:p>
            <w:pPr/>
            <w:r>
              <w:rPr>
                <w:rFonts w:ascii="Times New Roman" w:hAnsi="Times New Roman" w:cs="Times New Roman"/>
                <w:sz w:val="22"/>
                <w:szCs w:val="22"/>
              </w:rPr>
              <w:t xml:space="preserve">belief</w:t>
            </w:r>
          </w:p>
        </w:tc>
      </w:tr>
      <w:tr>
        <w:tc>
          <w:tcPr>
            <w:tcW w:w="2605" w:type="dxa"/>
          </w:tcPr>
          <w:p>
            <w:pPr/>
            <w:r>
              <w:rPr>
                <w:rFonts w:ascii="Times New Roman" w:hAnsi="Times New Roman" w:cs="Times New Roman"/>
                <w:sz w:val="22"/>
                <w:szCs w:val="22"/>
              </w:rPr>
              <w:t xml:space="preserve">strong</w:t>
            </w:r>
          </w:p>
        </w:tc>
        <w:tc>
          <w:tcPr>
            <w:tcW w:w="6745" w:type="dxa"/>
          </w:tcPr>
          <w:p>
            <w:pPr/>
            <w:r>
              <w:rPr>
                <w:rFonts w:ascii="Times New Roman" w:hAnsi="Times New Roman" w:cs="Times New Roman"/>
                <w:sz w:val="22"/>
                <w:szCs w:val="22"/>
              </w:rPr>
              <w:t xml:space="preserve">strength</w:t>
            </w:r>
          </w:p>
        </w:tc>
      </w:tr>
    </w:tbl>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It packs ideas into fewer words and gives formal writing a more academic tone, and it is one of the clearest signs of a higher band in DSE Paper 2.</w:t>
      </w:r>
    </w:p>
    <w:p>
      <w:pPr>
        <w:pStyle w:val="31"/>
        <w:spacing w:line="360" w:lineRule="auto"/>
      </w:pPr>
      <w:r>
        <w:rPr>
          <w:rFonts w:ascii="Times New Roman" w:hAnsi="Times New Roman" w:cs="Times New Roman"/>
          <w:b/>
          <w:sz w:val="22"/>
          <w:szCs w:val="22"/>
        </w:rPr>
        <w:t xml:space="preserve">Example 1: Verb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The school decided to introduce e-books, and students supported this.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The school’s decision to introduce e-books won students’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school’s decision to introduce e-books won students’ support. The introduction of the new system also saved paper and lightened schoolbags, and teachers soon noticed a rise in reading time. Other schools could follow this example with little extra cost.</w:t>
      </w:r>
    </w:p>
    <w:p>
      <w:pPr>
        <w:pStyle w:val="31"/>
        <w:spacing w:line="360" w:lineRule="auto"/>
      </w:pPr>
      <w:r>
        <w:rPr>
          <w:rFonts w:ascii="Times New Roman" w:hAnsi="Times New Roman" w:cs="Times New Roman"/>
          <w:b/>
          <w:sz w:val="22"/>
          <w:szCs w:val="22"/>
        </w:rPr>
        <w:t xml:space="preserve">Example 2: Adjective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Students should be aware of online scams.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Students should show awareness of online scams.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Students should show awareness of online scams. The danger is real and growing, yet many victims discover the fraud only after money has already been lost, which means the damage is done. A short lesson on spotting false messages would build this awareness early.</w:t>
      </w:r>
    </w:p>
    <w:p>
      <w:pPr>
        <w:pStyle w:val="31"/>
        <w:spacing w:line="360" w:lineRule="auto"/>
      </w:pPr>
      <w:r>
        <w:rPr>
          <w:rFonts w:ascii="Times New Roman" w:hAnsi="Times New Roman" w:cs="Times New Roman"/>
          <w:b/>
          <w:sz w:val="22"/>
          <w:szCs w:val="22"/>
        </w:rPr>
        <w:t xml:space="preserve">Example 3: Because-clause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Because people share news very quickly, rumours spread fast.</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Owing to the rapid sharing of news, rumours spread quickly.</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rapid sharing of news, rumours spread quickly. A false story can reach thousands of people within minutes, and the difficulty of checking every update means that some readers forward it before anyone notices. Careful readers, therefore, pause and verify before sharing anything.</w:t>
      </w:r>
    </w:p>
    <w:p>
      <w:pPr>
        <w:pStyle w:val="31"/>
        <w:spacing w:line="360" w:lineRule="auto"/>
      </w:pPr>
      <w:r>
        <w:rPr>
          <w:rFonts w:ascii="Times New Roman" w:hAnsi="Times New Roman" w:cs="Times New Roman"/>
          <w:b/>
          <w:sz w:val="22"/>
          <w:szCs w:val="22"/>
        </w:rPr>
        <w:t xml:space="preserve">Example 4: If-clause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If the school does not update its computers, online lessons will fail.</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Without updated computers, online lessons will fail.</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Without updated computers, online lessons will fail. The school’s plan to renew its equipment, however, has already won support from the Parent-Teacher Association, and teachers have promised to test the new system before the start of term.</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about technology and communication, so keep the register formal. The last three sets (4, 5 and 6) are more challenging.</w:t>
      </w:r>
    </w:p>
    <w:p>
      <w:pPr>
        <w:pStyle w:val="31"/>
        <w:spacing w:line="360" w:lineRule="auto"/>
      </w:pPr>
      <w:r>
        <w:rPr>
          <w:rFonts w:ascii="Times New Roman" w:hAnsi="Times New Roman" w:cs="Times New Roman"/>
          <w:b/>
          <w:sz w:val="22"/>
          <w:szCs w:val="22"/>
        </w:rPr>
        <w:t xml:space="preserve">Example Set 1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constant use of social media weakens their concentration.</w:t>
            </w:r>
          </w:p>
        </w:tc>
      </w:tr>
    </w:tbl>
    <w:p>
      <w:pPr>
        <w:pStyle w:val="31"/>
        <w:spacing w:line="360" w:lineRule="auto"/>
      </w:pPr>
      <w:r>
        <w:rPr>
          <w:rFonts w:ascii="Times New Roman" w:hAnsi="Times New Roman" w:cs="Times New Roman"/>
          <w:b/>
          <w:sz w:val="22"/>
          <w:szCs w:val="22"/>
        </w:rPr>
        <w:t xml:space="preserve">Example Set 2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Many parents worry about young people’s strong dependence on their smartphones.</w:t>
            </w:r>
          </w:p>
        </w:tc>
      </w:tr>
    </w:tbl>
    <w:p>
      <w:pPr>
        <w:pStyle w:val="31"/>
        <w:spacing w:line="360" w:lineRule="auto"/>
      </w:pPr>
      <w:r>
        <w:rPr>
          <w:rFonts w:ascii="Times New Roman" w:hAnsi="Times New Roman" w:cs="Times New Roman"/>
          <w:b/>
          <w:sz w:val="22"/>
          <w:szCs w:val="22"/>
        </w:rPr>
        <w:t xml:space="preserve">Example Set 3 (Because-clause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online games are so attractive, many teenagers neglect their homework.</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‘Because ...’ clause with a phrase beginning ‘Owing to the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Owing to the strong appeal of online games, many teenagers neglect their homework.</w:t>
            </w:r>
          </w:p>
        </w:tc>
      </w:tr>
    </w:tbl>
    <w:p>
      <w:pPr>
        <w:pStyle w:val="31"/>
        <w:spacing w:line="360" w:lineRule="auto"/>
      </w:pPr>
      <w:r>
        <w:rPr>
          <w:rFonts w:ascii="Times New Roman" w:hAnsi="Times New Roman" w:cs="Times New Roman"/>
          <w:b/>
          <w:sz w:val="22"/>
          <w:szCs w:val="22"/>
        </w:rPr>
        <w:t xml:space="preserve">Example Set 4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government will improve the security of online banking, which will protect customers.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‘will improve’ into a noun and begin with ‘The improvement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The improvement of online banking security will protect customers.</w:t>
            </w:r>
          </w:p>
        </w:tc>
      </w:tr>
    </w:tbl>
    <w:p>
      <w:pPr>
        <w:pStyle w:val="31"/>
        <w:spacing w:line="360" w:lineRule="auto"/>
      </w:pPr>
      <w:r>
        <w:rPr>
          <w:rFonts w:ascii="Times New Roman" w:hAnsi="Times New Roman" w:cs="Times New Roman"/>
          <w:b/>
          <w:sz w:val="22"/>
          <w:szCs w:val="22"/>
        </w:rPr>
        <w:t xml:space="preserve">Example Set 5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awareness of online privacy has grown sharply over the past decade.</w:t>
            </w:r>
          </w:p>
        </w:tc>
      </w:tr>
    </w:tbl>
    <w:p>
      <w:pPr>
        <w:pStyle w:val="31"/>
        <w:spacing w:line="360" w:lineRule="auto"/>
      </w:pPr>
      <w:r>
        <w:rPr>
          <w:rFonts w:ascii="Times New Roman" w:hAnsi="Times New Roman" w:cs="Times New Roman"/>
          <w:b/>
          <w:sz w:val="22"/>
          <w:szCs w:val="22"/>
        </w:rPr>
        <w:t xml:space="preserve">Example Set 6 (If-clause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Without stricter regulation of social media companies, online scams will continue to grow.</w:t>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Nominalise ONE of the words in the word bank below and use the noun in your paragraph. Also add ONE relative clause or ONE inverted pattern (e.g. Not only … but also …; Never …; Rarely …).</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Word bank — turn ONE of these five into a noun, then use it in your paragraph:</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sz w:val="22"/>
          <w:szCs w:val="22"/>
        </w:rPr>
        <w:t xml:space="preserve">protect → protection   ·   aware → awareness   ·   educate → education   ·   responsible → responsibility   ·   believe → belief</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sz w:val="22"/>
          <w:szCs w:val="22"/>
        </w:rPr>
        <w:t xml:space="preserve">Bank answers: protect → protection; aware → awareness; educate → education; responsible → responsibility; believe → belief. Note how Sample answer 2 uses ‘awareness’ and Sample answer 3 uses ‘responsibility’.</w:t>
      </w:r>
    </w:p>
    <w:p>
      <w:pPr>
        <w:spacing w:line="360" w:lineRule="auto"/>
      </w:pPr>
      <w:r>
        <w:rPr>
          <w:rFonts w:ascii="Times New Roman" w:hAnsi="Times New Roman" w:cs="Times New Roman"/>
          <w:sz w:val="22"/>
          <w:szCs w:val="22"/>
        </w:rPr>
        <w:t xml:space="preserve"/>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1 (Verbs → nouns) </w:t>
      </w:r>
      <w:r>
        <w:rPr>
          <w:rFonts w:ascii="Times New Roman" w:hAnsi="Times New Roman" w:cs="Times New Roman"/>
          <w:sz w:val="22"/>
          <w:szCs w:val="22"/>
        </w:rPr>
        <w:t xml:space="preserve">Online scams have become a common problem because many young people trust official-looking messages without a second thought. The spread of fake websites and phishing links is hard to stop, and it catches even careful users by surprise. Schools, in my view, should teach students the importance of checking every message before clicking, which is a vital skill in the digital world. A short course on online safety could easily be added to existing computer lessons, and it would reach every student equally.</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2 (Adjectives → nouns) </w:t>
      </w:r>
      <w:r>
        <w:rPr>
          <w:rFonts w:ascii="Times New Roman" w:hAnsi="Times New Roman" w:cs="Times New Roman"/>
          <w:sz w:val="22"/>
          <w:szCs w:val="22"/>
        </w:rPr>
        <w:t xml:space="preserve">Young people’s awareness of online scams is often low, and their trust in strangers’ messages can be far too high. The seriousness of the problem becomes clear only after money or personal data has been stolen, which is usually far too late. Schools should therefore run regular lessons on spotting scams, treating it as a basic life skill rather than an optional topic. Knowing how to pause and double-check before paying is the strongest protection available to any student.</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3 (Because / if → nouns) </w:t>
      </w:r>
      <w:r>
        <w:rPr>
          <w:rFonts w:ascii="Times New Roman" w:hAnsi="Times New Roman" w:cs="Times New Roman"/>
          <w:sz w:val="22"/>
          <w:szCs w:val="22"/>
        </w:rPr>
        <w:t xml:space="preserve">Owing to the constant flow of scam messages on social media, young people are targeted almost daily. The ease of creating fake websites, together with the difficulty of telling them from real ones, explains why so many victims never notice until it is too late. The responsibility for protection must be shared, which means schools, platforms and parents all have a part to play. Parents can talk openly about scams at home, while teachers can make online safety a regular lesson topic.</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