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spacing w:line="360" w:lineRule="auto"/>
      </w:pPr>
      <w:r>
        <w:rPr>
          <w:rFonts w:ascii="Times New Roman" w:hAnsi="Times New Roman" w:cs="Times New Roman"/>
          <w:b/>
          <w:sz w:val="22"/>
          <w:szCs w:val="22"/>
        </w:rPr>
        <w:t xml:space="preserve">Teacher’s answers</w:t>
      </w:r>
    </w:p>
    <w:tbl>
      <w:tblPr>
        <w:tblStyle w:val="aff2"/>
        <w:tblW w:w="0" w:type="auto"/>
        <w:tblLook w:val="04A0" w:firstRow="1" w:lastRow="0" w:firstColumn="1" w:lastColumn="0" w:noHBand="0" w:noVBand="1"/>
      </w:tblPr>
      <w:tblGrid>
        <w:gridCol w:w="620"/>
        <w:gridCol w:w="8730"/>
      </w:tblGrid>
      <w:tr>
        <w:tc>
          <w:tcPr>
            <w:tcW w:w="620" w:type="dxa"/>
            <w:shd w:val="clear" w:color="auto" w:fill="F2F2F2"/>
          </w:tcPr>
          <w:p>
            <w:pPr/>
            <w:r>
              <w:rPr>
                <w:rFonts w:ascii="Times New Roman" w:hAnsi="Times New Roman" w:cs="Times New Roman"/>
                <w:b/>
                <w:sz w:val="22"/>
                <w:szCs w:val="22"/>
              </w:rPr>
              <w:t xml:space="preserve">Item</w:t>
            </w:r>
          </w:p>
        </w:tc>
        <w:tc>
          <w:tcPr>
            <w:tcW w:w="8730" w:type="dxa"/>
            <w:shd w:val="clear" w:color="auto" w:fill="F2F2F2"/>
          </w:tcPr>
          <w:p>
            <w:pPr/>
            <w:r>
              <w:rPr>
                <w:rFonts w:ascii="Times New Roman" w:hAnsi="Times New Roman" w:cs="Times New Roman"/>
                <w:b/>
                <w:sz w:val="22"/>
                <w:szCs w:val="22"/>
              </w:rPr>
              <w:t xml:space="preserve">Correction (fix both errors)</w:t>
            </w:r>
          </w:p>
        </w:tc>
      </w:tr>
      <w:tr>
        <w:tc>
          <w:tcPr>
            <w:tcW w:w="620" w:type="dxa"/>
            <w:shd w:val="clear" w:color="auto" w:fill="F2F2F2"/>
          </w:tcPr>
          <w:p>
            <w:pPr/>
            <w:r>
              <w:rPr>
                <w:rFonts w:ascii="Times New Roman" w:hAnsi="Times New Roman" w:cs="Times New Roman"/>
                <w:sz w:val="22"/>
                <w:szCs w:val="22"/>
              </w:rPr>
              <w:t xml:space="preserve">1</w:t>
            </w:r>
          </w:p>
        </w:tc>
        <w:tc>
          <w:tcPr>
            <w:tcW w:w="8730" w:type="dxa"/>
            <w:shd w:val="clear" w:color="auto" w:fill="F2F2F2"/>
          </w:tcPr>
          <w:p>
            <w:pPr/>
            <w:r>
              <w:rPr>
                <w:rFonts w:ascii="Times New Roman" w:hAnsi="Times New Roman" w:cs="Times New Roman"/>
                <w:sz w:val="22"/>
                <w:szCs w:val="22"/>
              </w:rPr>
              <w:t xml:space="preserve">Not only does online learning save travelling time, but it also gives students access to courses which are not available in their own schools. (Add do before the subject; is → are — ‘which’ refers to courses.)</w:t>
            </w:r>
          </w:p>
        </w:tc>
      </w:tr>
      <w:tr>
        <w:tc>
          <w:tcPr>
            <w:tcW w:w="620" w:type="dxa"/>
            <w:shd w:val="clear" w:color="auto" w:fill="F2F2F2"/>
          </w:tcPr>
          <w:p>
            <w:pPr/>
            <w:r>
              <w:rPr>
                <w:rFonts w:ascii="Times New Roman" w:hAnsi="Times New Roman" w:cs="Times New Roman"/>
                <w:sz w:val="22"/>
                <w:szCs w:val="22"/>
              </w:rPr>
              <w:t xml:space="preserve">2</w:t>
            </w:r>
          </w:p>
        </w:tc>
        <w:tc>
          <w:tcPr>
            <w:tcW w:w="8730" w:type="dxa"/>
            <w:shd w:val="clear" w:color="auto" w:fill="F2F2F2"/>
          </w:tcPr>
          <w:p>
            <w:pPr/>
            <w:r>
              <w:rPr>
                <w:rFonts w:ascii="Times New Roman" w:hAnsi="Times New Roman" w:cs="Times New Roman"/>
                <w:sz w:val="22"/>
                <w:szCs w:val="22"/>
              </w:rPr>
              <w:t xml:space="preserve">Rarely do teenagers verify the truth of what they share online, which makes them easy targets of scams. (Add do before the subject; make → makes — the clause refers to sharing without checking.)</w:t>
            </w:r>
          </w:p>
        </w:tc>
      </w:tr>
      <w:tr>
        <w:tc>
          <w:tcPr>
            <w:tcW w:w="620" w:type="dxa"/>
            <w:shd w:val="clear" w:color="auto" w:fill="F2F2F2"/>
          </w:tcPr>
          <w:p>
            <w:pPr/>
            <w:r>
              <w:rPr>
                <w:rFonts w:ascii="Times New Roman" w:hAnsi="Times New Roman" w:cs="Times New Roman"/>
                <w:sz w:val="22"/>
                <w:szCs w:val="22"/>
              </w:rPr>
              <w:t xml:space="preserve">3</w:t>
            </w:r>
          </w:p>
        </w:tc>
        <w:tc>
          <w:tcPr>
            <w:tcW w:w="8730" w:type="dxa"/>
            <w:shd w:val="clear" w:color="auto" w:fill="F2F2F2"/>
          </w:tcPr>
          <w:p>
            <w:pPr/>
            <w:r>
              <w:rPr>
                <w:rFonts w:ascii="Times New Roman" w:hAnsi="Times New Roman" w:cs="Times New Roman"/>
                <w:sz w:val="22"/>
                <w:szCs w:val="22"/>
              </w:rPr>
              <w:t xml:space="preserve">Only by setting clear screen-time rules can parents protect their children, who often spend hours gaming late into the night. (Move can before parents — ‘Only by’ inverts subject and auxiliary; spends → spend — ‘who’ refers to children.)</w:t>
            </w:r>
          </w:p>
        </w:tc>
      </w:tr>
      <w:tr>
        <w:tc>
          <w:tcPr>
            <w:tcW w:w="620" w:type="dxa"/>
            <w:shd w:val="clear" w:color="auto" w:fill="F2F2F2"/>
          </w:tcPr>
          <w:p>
            <w:pPr/>
            <w:r>
              <w:rPr>
                <w:rFonts w:ascii="Times New Roman" w:hAnsi="Times New Roman" w:cs="Times New Roman"/>
                <w:sz w:val="22"/>
                <w:szCs w:val="22"/>
              </w:rPr>
              <w:t xml:space="preserve">4</w:t>
            </w:r>
          </w:p>
        </w:tc>
        <w:tc>
          <w:tcPr>
            <w:tcW w:w="8730" w:type="dxa"/>
            <w:shd w:val="clear" w:color="auto" w:fill="F2F2F2"/>
          </w:tcPr>
          <w:p>
            <w:pPr/>
            <w:r>
              <w:rPr>
                <w:rFonts w:ascii="Times New Roman" w:hAnsi="Times New Roman" w:cs="Times New Roman"/>
                <w:sz w:val="22"/>
                <w:szCs w:val="22"/>
              </w:rPr>
              <w:t xml:space="preserve">Never has the school considered banning phones in class, which distract students from every lesson. (Move has before the school — ‘Never’ inverts; distracts → distract — ‘which’ refers to phones.)</w:t>
            </w:r>
          </w:p>
        </w:tc>
      </w:tr>
      <w:tr>
        <w:tc>
          <w:tcPr>
            <w:tcW w:w="620" w:type="dxa"/>
            <w:shd w:val="clear" w:color="auto" w:fill="F2F2F2"/>
          </w:tcPr>
          <w:p>
            <w:pPr/>
            <w:r>
              <w:rPr>
                <w:rFonts w:ascii="Times New Roman" w:hAnsi="Times New Roman" w:cs="Times New Roman"/>
                <w:sz w:val="22"/>
                <w:szCs w:val="22"/>
              </w:rPr>
              <w:t xml:space="preserve">5</w:t>
            </w:r>
          </w:p>
        </w:tc>
        <w:tc>
          <w:tcPr>
            <w:tcW w:w="8730" w:type="dxa"/>
            <w:shd w:val="clear" w:color="auto" w:fill="F2F2F2"/>
          </w:tcPr>
          <w:p>
            <w:pPr/>
            <w:r>
              <w:rPr>
                <w:rFonts w:ascii="Times New Roman" w:hAnsi="Times New Roman" w:cs="Times New Roman"/>
                <w:sz w:val="22"/>
                <w:szCs w:val="22"/>
              </w:rPr>
              <w:t xml:space="preserve">Seldom do victims of online scams report the fraud to the police, which makes it harder to catch the criminals. (Add do before the subject; make → makes — the clause refers to the whole failure to report.)</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decision</w:t>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improvement</w:t>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communication</w:t>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introduction</w:t>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regulation</w:t>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protection</w:t>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explanation</w:t>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solution</w:t>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use</w:t>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development</w:t>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awareness</w:t>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importance</w:t>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dependence</w:t>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responsibility</w:t>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choice</w:t>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knowledge</w:t>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loss</w:t>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proof</w:t>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belief</w:t>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strength</w:t>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can also carry an idea from one sentence into the next. Together they are among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pStyle w:val="31"/>
        <w:spacing w:line="360" w:lineRule="auto"/>
      </w:pPr>
      <w:r>
        <w:rPr>
          <w:rFonts w:ascii="Times New Roman" w:hAnsi="Times New Roman" w:cs="Times New Roman"/>
          <w:b/>
          <w:sz w:val="22"/>
          <w:szCs w:val="22"/>
        </w:rPr>
        <w:t xml:space="preserve">Nominalisation as a linking device</w:t>
      </w:r>
    </w:p>
    <w:p>
      <w:pPr>
        <w:spacing w:line="360" w:lineRule="auto"/>
      </w:pPr>
      <w:r>
        <w:rPr>
          <w:rFonts w:ascii="Times New Roman" w:hAnsi="Times New Roman" w:cs="Times New Roman"/>
          <w:sz w:val="22"/>
          <w:szCs w:val="22"/>
        </w:rPr>
        <w:t xml:space="preserve">Nominalisation can also link one sentence to the next: turn a verb or adjective into a noun and open the new sentence with it. Instead of the vague ‘This is because… / This shows that…’, use ‘This…’, ‘Such…’ or ‘The … of…’ — the noun bridge says the same thing in fewer words and earns a higher band.</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 (weak link):</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This is because they trust whatever looks official.</w:t>
            </w:r>
          </w:p>
        </w:tc>
      </w:tr>
      <w:tr>
        <w:tc>
          <w:tcPr>
            <w:tcW w:w="2605" w:type="dxa"/>
            <w:shd w:val="clear" w:color="auto" w:fill="DEEBF7"/>
          </w:tcPr>
          <w:p>
            <w:pPr/>
            <w:r>
              <w:rPr>
                <w:rFonts w:ascii="Times New Roman" w:hAnsi="Times New Roman" w:cs="Times New Roman"/>
                <w:sz w:val="22"/>
                <w:szCs w:val="22"/>
              </w:rPr>
              <w:t xml:space="preserve">Nominalised (This / Such + noun):</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w:t>
            </w:r>
            <w:r>
              <w:rPr>
                <w:rFonts w:ascii="Times New Roman" w:hAnsi="Times New Roman" w:cs="Times New Roman"/>
                <w:i/>
                <w:sz w:val="22"/>
                <w:szCs w:val="22"/>
              </w:rPr>
              <w:t xml:space="preserve">Such misplaced trust</w:t>
            </w:r>
            <w:r>
              <w:rPr>
                <w:rFonts w:ascii="Times New Roman" w:hAnsi="Times New Roman" w:cs="Times New Roman"/>
                <w:sz w:val="22"/>
                <w:szCs w:val="22"/>
              </w:rPr>
              <w:t xml:space="preserve"> is exactly what scammers exploit.</w:t>
            </w:r>
          </w:p>
        </w:tc>
      </w:tr>
    </w:tbl>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 (weak link):</w:t>
            </w:r>
          </w:p>
        </w:tc>
        <w:tc>
          <w:tcPr>
            <w:tcW w:w="6745" w:type="dxa"/>
            <w:shd w:val="clear" w:color="auto" w:fill="DEEBF7"/>
          </w:tcPr>
          <w:p>
            <w:pPr/>
            <w:r>
              <w:rPr>
                <w:rFonts w:ascii="Times New Roman" w:hAnsi="Times New Roman" w:cs="Times New Roman"/>
                <w:sz w:val="22"/>
                <w:szCs w:val="22"/>
              </w:rPr>
              <w:t xml:space="preserve">Students rarely report scam messages to their teachers. This is because they feel embarrassed.</w:t>
            </w:r>
          </w:p>
        </w:tc>
      </w:tr>
      <w:tr>
        <w:tc>
          <w:tcPr>
            <w:tcW w:w="2605" w:type="dxa"/>
            <w:shd w:val="clear" w:color="auto" w:fill="DEEBF7"/>
          </w:tcPr>
          <w:p>
            <w:pPr/>
            <w:r>
              <w:rPr>
                <w:rFonts w:ascii="Times New Roman" w:hAnsi="Times New Roman" w:cs="Times New Roman"/>
                <w:sz w:val="22"/>
                <w:szCs w:val="22"/>
              </w:rPr>
              <w:t xml:space="preserve">Nominalised (This / Such + noun):</w:t>
            </w:r>
          </w:p>
        </w:tc>
        <w:tc>
          <w:tcPr>
            <w:tcW w:w="6745" w:type="dxa"/>
            <w:shd w:val="clear" w:color="auto" w:fill="DEEBF7"/>
          </w:tcPr>
          <w:p>
            <w:pPr/>
            <w:r>
              <w:rPr>
                <w:rFonts w:ascii="Times New Roman" w:hAnsi="Times New Roman" w:cs="Times New Roman"/>
                <w:sz w:val="22"/>
                <w:szCs w:val="22"/>
              </w:rPr>
              <w:t xml:space="preserve">Students rarely report scam messages to their teachers. </w:t>
            </w:r>
            <w:r>
              <w:rPr>
                <w:rFonts w:ascii="Times New Roman" w:hAnsi="Times New Roman" w:cs="Times New Roman"/>
                <w:i/>
                <w:sz w:val="22"/>
                <w:szCs w:val="22"/>
              </w:rPr>
              <w:t xml:space="preserve">This embarrassment</w:t>
            </w:r>
            <w:r>
              <w:rPr>
                <w:rFonts w:ascii="Times New Roman" w:hAnsi="Times New Roman" w:cs="Times New Roman"/>
                <w:sz w:val="22"/>
                <w:szCs w:val="22"/>
              </w:rPr>
              <w:t xml:space="preserve">, however, plays straight into the fraudsters’ hands.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b/>
          <w:sz w:val="22"/>
          <w:szCs w:val="22"/>
        </w:rPr>
        <w:t xml:space="preserve">How to do it:  </w:t>
      </w:r>
      <w:r>
        <w:rPr>
          <w:rFonts w:ascii="Times New Roman" w:hAnsi="Times New Roman" w:cs="Times New Roman"/>
          <w:sz w:val="22"/>
          <w:szCs w:val="22"/>
        </w:rPr>
        <w:t xml:space="preserve">  1.  Find the verb or adjective you want to carry over (trust, embarrassed).</w:t>
      </w:r>
      <w:r>
        <w:rPr>
          <w:rFonts w:ascii="Times New Roman" w:hAnsi="Times New Roman" w:cs="Times New Roman"/>
          <w:sz w:val="22"/>
          <w:szCs w:val="22"/>
        </w:rPr>
        <w:t xml:space="preserve">  2.  Change it into a noun (trust → trust; embarrassed → embarrassment — the warm-up list can help).</w:t>
      </w:r>
      <w:r>
        <w:rPr>
          <w:rFonts w:ascii="Times New Roman" w:hAnsi="Times New Roman" w:cs="Times New Roman"/>
          <w:sz w:val="22"/>
          <w:szCs w:val="22"/>
        </w:rPr>
        <w:t xml:space="preserve">  3.  Open the next sentence with ‘This’ or ‘Such’ + the noun.</w:t>
      </w:r>
      <w:r>
        <w:rPr>
          <w:rFonts w:ascii="Times New Roman" w:hAnsi="Times New Roman" w:cs="Times New Roman"/>
          <w:sz w:val="22"/>
          <w:szCs w:val="22"/>
        </w:rPr>
        <w:t xml:space="preserve">  4.  Delete the vague ‘This is because…’ and add your new idea after the noun.</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later sets (4–8)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constant use of social media weakens their concentration.</w:t>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worry about young people’s strong dependence on their smartphones.</w:t>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Owing to the strong appeal of online games, many teenagers neglect their homework.</w:t>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The improvement of online banking security will protect customers.</w:t>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Students’ awareness of online privacy has grown sharply over the past decade.</w:t>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Without stricter regulation of social media companies, online scams will continue to grow.</w:t>
            </w:r>
          </w:p>
        </w:tc>
      </w:tr>
    </w:tbl>
    <w:p>
      <w:pPr>
        <w:pStyle w:val="31"/>
        <w:spacing w:line="360" w:lineRule="auto"/>
      </w:pPr>
      <w:r>
        <w:rPr>
          <w:rFonts w:ascii="Times New Roman" w:hAnsi="Times New Roman" w:cs="Times New Roman"/>
          <w:b/>
          <w:sz w:val="22"/>
          <w:szCs w:val="22"/>
        </w:rPr>
        <w:t xml:space="preserve">Example Set 7 (Linking: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Young people rarely question what they read online. This is because they are too careless.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adjective ‘careless’ into a noun and replace ‘This is because’ with a noun bridge opening ‘This…’ or ‘Such…’.</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Few young people question what they read online. Such carelessness makes them easy prey for scammers.</w:t>
            </w:r>
          </w:p>
        </w:tc>
      </w:tr>
    </w:tbl>
    <w:p>
      <w:pPr>
        <w:pStyle w:val="31"/>
        <w:spacing w:line="360" w:lineRule="auto"/>
      </w:pPr>
      <w:r>
        <w:rPr>
          <w:rFonts w:ascii="Times New Roman" w:hAnsi="Times New Roman" w:cs="Times New Roman"/>
          <w:b/>
          <w:sz w:val="22"/>
          <w:szCs w:val="22"/>
        </w:rPr>
        <w:t xml:space="preserve">Example Set 8 (Linking: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check their children’s phones every night. This is because they worry about online dangers.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‘worry’ into a noun (same form) and replace ‘This is because’ with a noun bridge opening ‘This…’ or ‘Such…’.</w:t>
            </w:r>
          </w:p>
        </w:tc>
      </w:tr>
      <w:tr>
        <w:tc>
          <w:tcPr>
            <w:tcW w:w="2605" w:type="dxa"/>
          </w:tcPr>
          <w:p>
            <w:pPr/>
            <w:r>
              <w:rPr>
                <w:rFonts w:ascii="Times New Roman" w:hAnsi="Times New Roman" w:cs="Times New Roman"/>
                <w:b/>
                <w:sz w:val="22"/>
                <w:szCs w:val="22"/>
              </w:rPr>
              <w:t xml:space="preserve">Teacher’s Answer:</w:t>
            </w:r>
          </w:p>
        </w:tc>
        <w:tc>
          <w:tcPr>
            <w:tcW w:w="6745" w:type="dxa"/>
          </w:tcPr>
          <w:p>
            <w:pPr/>
            <w:r>
              <w:rPr>
                <w:rFonts w:ascii="Times New Roman" w:hAnsi="Times New Roman" w:cs="Times New Roman"/>
                <w:sz w:val="22"/>
                <w:szCs w:val="22"/>
              </w:rPr>
              <w:t xml:space="preserve">Many parents check their children’s phones every night. Such worry about online dangers is understandable, but it can push teenagers away.</w:t>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3. Link your ideas: open at least ONE sentence with a nominalised noun phrase that refers back to the previous sentence (e.g. ‘This + noun’).</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protect → protection   ·   aware → awareness   ·   educate → education   ·   responsible → responsibility   ·   believe → belief</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Bank answers: protect → protection; aware → awareness; educate → education; responsible → responsibility; believe → belief. Note how Sample answer 2 uses ‘awareness’ and Sample answer 3 uses ‘responsibility’.</w:t>
      </w:r>
    </w:p>
    <w:p>
      <w:pPr>
        <w:spacing w:line="360" w:lineRule="auto"/>
      </w:pPr>
      <w:r>
        <w:rPr>
          <w:rFonts w:ascii="Times New Roman" w:hAnsi="Times New Roman" w:cs="Times New Roman"/>
          <w:sz w:val="22"/>
          <w:szCs w:val="22"/>
        </w:rPr>
        <w:t xml:space="preserve"/>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1 (Verbs → nouns) </w:t>
      </w:r>
      <w:r>
        <w:rPr>
          <w:rFonts w:ascii="Times New Roman" w:hAnsi="Times New Roman" w:cs="Times New Roman"/>
          <w:sz w:val="22"/>
          <w:szCs w:val="22"/>
        </w:rPr>
        <w:t xml:space="preserve">Online scams have become a common problem because many young people trust official-looking messages without a second thought. This misplaced trust is easy to exploit: fake websites and phishing links catch even careful users by surprise. Schools, in my view, should teach students the importance of checking every message before clicking, which is a vital skill in the digital world. A short course on online safety could easily be added to existing computer lessons, and it would reach every student equally.</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2 (Adjectives → nouns) </w:t>
      </w:r>
      <w:r>
        <w:rPr>
          <w:rFonts w:ascii="Times New Roman" w:hAnsi="Times New Roman" w:cs="Times New Roman"/>
          <w:sz w:val="22"/>
          <w:szCs w:val="22"/>
        </w:rPr>
        <w:t xml:space="preserve">Many students are unaware of how dangerous online scams are, and they trust strangers’ messages far too easily. This lack of awareness becomes costly only after money or personal data has been stolen, which is usually far too late. Schools should therefore run regular lessons on spotting scams, treating it as a basic life skill rather than an optional topic. Knowing how to pause and double-check before paying is the strongest protection available to any student.</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b/>
          <w:sz w:val="22"/>
          <w:szCs w:val="22"/>
        </w:rPr>
        <w:t xml:space="preserve">Sample answer 3 (Because / if → nouns) </w:t>
      </w:r>
      <w:r>
        <w:rPr>
          <w:rFonts w:ascii="Times New Roman" w:hAnsi="Times New Roman" w:cs="Times New Roman"/>
          <w:sz w:val="22"/>
          <w:szCs w:val="22"/>
        </w:rPr>
        <w:t xml:space="preserve">Owing to the constant flow of scam messages on social media, young people are targeted daily. This constant targeting is hard to escape; the ease of creating fake websites, together with the difficulty of telling them from real ones, leaves victims blind until it is too late. The responsibility for protection must be shared, which means schools, platforms and parents have a part to play. Parents can talk about scams at home, while teachers can make online safety a regular topic.</w:t>
      </w:r>
    </w:p>
    <w:p>
      <w:pPr>
        <w:spacing w:line="360" w:lineRule="auto"/>
        <w:pBdr>
          <w:top w:val="single" w:sz="4" w:space="4" w:color="auto"/>
          <w:left w:val="single" w:sz="4" w:space="4" w:color="auto"/>
          <w:bottom w:val="single" w:sz="4" w:space="4" w:color="auto"/>
          <w:right w:val="single" w:sz="4" w:space="4" w:color="auto"/>
        </w:pBdr>
        <w:shd w:val="clear" w:color="auto" w:fill="F2F2F2"/>
      </w:pPr>
      <w:r>
        <w:rPr>
          <w:rFonts w:ascii="Times New Roman" w:hAnsi="Times New Roman" w:cs="Times New Roman"/>
          <w:sz w:val="22"/>
          <w:szCs w:val="22"/>
        </w:rPr>
        <w:t xml:space="preserve">Each sample opens ONE sentence with a nominalised bridge: “This misplaced trust”, “This lack of awareness”, “This constant targeting” — point these out to students before they write.</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