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r>
        <w:rPr>
          <w:rFonts w:ascii="Trebuchet MS" w:hAnsi="Trebuchet MS"/>
          <w:b/>
          <w:sz w:val="20"/>
        </w:rPr>
        <w:t>St. Joseph's Anglo-Chinese School</w:t>
      </w:r>
    </w:p>
    <w:p>
      <w:pPr>
        <w:spacing w:after="0" w:line="240" w:lineRule="auto"/>
      </w:pPr>
      <w:r>
        <w:rPr>
          <w:rFonts w:ascii="Trebuchet MS" w:hAnsi="Trebuchet MS"/>
          <w:b/>
          <w:sz w:val="20"/>
        </w:rPr>
        <w:t>F.6 English Language</w:t>
      </w:r>
    </w:p>
    <w:p>
      <w:pPr>
        <w:spacing w:after="200" w:line="240" w:lineRule="auto"/>
      </w:pPr>
      <w:r>
        <w:rPr>
          <w:rFonts w:ascii="Trebuchet MS" w:hAnsi="Trebuchet MS"/>
          <w:b/>
          <w:sz w:val="20"/>
        </w:rPr>
        <w:t>Grammar &amp; Writing – Lesson 3: Discussing Solutions</w:t>
      </w:r>
    </w:p>
    <w:p>
      <w:pPr>
        <w:spacing w:after="240"/>
      </w:pPr>
      <w:r>
        <w:rPr>
          <w:b/>
          <w:color w:val="C00000"/>
        </w:rPr>
        <w:t>TEACHER’S VERSION — answers, model answers and teaching notes are printed in red.</w:t>
      </w:r>
    </w:p>
    <w:p>
      <w:pPr>
        <w:spacing w:before="160" w:after="120"/>
      </w:pPr>
      <w:r>
        <w:rPr>
          <w:b/>
        </w:rPr>
        <w:t>PART A: PROOFREADING (10 SENTENCES)</w:t>
      </w:r>
    </w:p>
    <w:p>
      <w:r>
        <w:rPr>
          <w:b w:val="0"/>
        </w:rPr>
        <w:t>Each sentence below contains TWO errors in the sentence patterns you learnt in Lesson 1 (introductions) and Lesson 2 (argument topic sentences). The errors are the common ones: agreement, tense, parts of speech, plurals and articles. Find both errors and write the corrected sentence.</w:t>
      </w: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tcPr>
          <w:p>
            <w:r>
              <w:rPr>
                <w:b/>
              </w:rPr>
              <w:t xml:space="preserve">1. </w:t>
            </w:r>
            <w:r>
              <w:rPr>
                <w:b w:val="0"/>
              </w:rPr>
              <w:t>In recent years, social media has became indispensable part of daily life for young people.</w:t>
            </w:r>
          </w:p>
          <w:p>
            <w:r>
              <w:rPr>
                <w:b/>
              </w:rPr>
              <w:t xml:space="preserve">2. </w:t>
            </w:r>
            <w:r>
              <w:rPr>
                <w:b w:val="0"/>
              </w:rPr>
              <w:t>Living in a fast-paced society, students are constant exposed to academic stresses.</w:t>
            </w:r>
          </w:p>
          <w:p>
            <w:r>
              <w:rPr>
                <w:b/>
              </w:rPr>
              <w:t xml:space="preserve">3. </w:t>
            </w:r>
            <w:r>
              <w:rPr>
                <w:b w:val="0"/>
              </w:rPr>
              <w:t>In recent times, issue of plastic pollution have sparked widespread concern across society.</w:t>
            </w:r>
          </w:p>
          <w:p>
            <w:r>
              <w:rPr>
                <w:b/>
              </w:rPr>
              <w:t xml:space="preserve">4. </w:t>
            </w:r>
            <w:r>
              <w:rPr>
                <w:b w:val="0"/>
              </w:rPr>
              <w:t>It is undeniable that sleep play a pivotal role in shape students’ memory and concentration.</w:t>
            </w:r>
          </w:p>
          <w:p>
            <w:r>
              <w:rPr>
                <w:b/>
              </w:rPr>
              <w:t xml:space="preserve">5. </w:t>
            </w:r>
            <w:r>
              <w:rPr>
                <w:b w:val="0"/>
              </w:rPr>
              <w:t>To begin with, part-time work offer students a golden opportunity to gain real-world experience, paving the way for their future career.</w:t>
            </w:r>
          </w:p>
          <w:p>
            <w:r>
              <w:rPr>
                <w:b/>
              </w:rPr>
              <w:t xml:space="preserve">6. </w:t>
            </w:r>
            <w:r>
              <w:rPr>
                <w:b w:val="0"/>
              </w:rPr>
              <w:t>To begin with, volunteering offers teenagers a golden opportunity to meet new peoples, paved the way for a wider social circle.</w:t>
            </w:r>
          </w:p>
          <w:p>
            <w:r>
              <w:rPr>
                <w:b/>
              </w:rPr>
              <w:t xml:space="preserve">7. </w:t>
            </w:r>
            <w:r>
              <w:rPr>
                <w:b w:val="0"/>
              </w:rPr>
              <w:t>From the perspective of students, a balanced timetable allow them to manage their time wisely, which in turn boosting their academic performance.</w:t>
            </w:r>
          </w:p>
          <w:p>
            <w:r>
              <w:rPr>
                <w:b/>
              </w:rPr>
              <w:t xml:space="preserve">8. </w:t>
            </w:r>
            <w:r>
              <w:rPr>
                <w:b w:val="0"/>
              </w:rPr>
              <w:t>Team sports serves as a powerful means of relieve stress, which enables students to recharge both physically and mentally.</w:t>
            </w:r>
          </w:p>
          <w:p>
            <w:r>
              <w:rPr>
                <w:b/>
              </w:rPr>
              <w:t xml:space="preserve">9. </w:t>
            </w:r>
            <w:r>
              <w:rPr>
                <w:b w:val="0"/>
              </w:rPr>
              <w:t>Admittedly, online lessons offer students greater flexibility, nevertheless, they cannot replace face-to-face interaction, as real-time discussions sparks deeper engagement.</w:t>
            </w:r>
          </w:p>
          <w:p>
            <w:r>
              <w:rPr>
                <w:b/>
              </w:rPr>
              <w:t xml:space="preserve">10. </w:t>
            </w:r>
            <w:r>
              <w:rPr>
                <w:b w:val="0"/>
              </w:rPr>
              <w:t>Reading serve as the powerful means of broadening students’ horizons, which enables them to understand the world beyond the classroom.</w:t>
            </w:r>
          </w:p>
        </w:tc>
      </w:tr>
    </w:tbl>
    <w:p>
      <w:pPr>
        <w:spacing w:after="0"/>
      </w:pPr>
    </w:p>
    <w:p>
      <w:pPr>
        <w:spacing w:before="160" w:after="120"/>
      </w:pPr>
      <w:r>
        <w:rPr>
          <w:b/>
        </w:rPr>
        <w:t>TEACHER’S ANSWERS (LESSON 3, PART A)</w:t>
      </w:r>
    </w:p>
    <w:tbl>
      <w:tblPr>
        <w:tblStyle w:val="TableGrid"/>
        <w:tblW w:type="auto" w:w="0"/>
        <w:jc w:val="left"/>
        <w:tblLayout w:type="fixed"/>
        <w:tblLook w:firstColumn="1" w:firstRow="1" w:lastColumn="0" w:lastRow="0" w:noHBand="0" w:noVBand="1" w:val="04A0"/>
        <w:tblLayout w:type="fixed"/>
      </w:tblPr>
      <w:tblGrid>
        <w:gridCol w:w="3213"/>
        <w:gridCol w:w="3213"/>
        <w:gridCol w:w="3213"/>
      </w:tblGrid>
      <w:tr>
        <w:tc>
          <w:tcPr>
            <w:tcW w:type="dxa" w:w="567"/>
            <w:shd w:val="clear" w:color="auto" w:fill="D9D9D9"/>
          </w:tcPr>
          <w:p>
            <w:r>
              <w:rPr>
                <w:b/>
              </w:rPr>
              <w:t>Item</w:t>
            </w:r>
          </w:p>
        </w:tc>
        <w:tc>
          <w:tcPr>
            <w:tcW w:type="dxa" w:w="4422"/>
            <w:shd w:val="clear" w:color="auto" w:fill="D9D9D9"/>
          </w:tcPr>
          <w:p>
            <w:r>
              <w:rPr>
                <w:b/>
              </w:rPr>
              <w:t>Corrected sentence</w:t>
            </w:r>
          </w:p>
        </w:tc>
        <w:tc>
          <w:tcPr>
            <w:tcW w:type="dxa" w:w="4649"/>
            <w:shd w:val="clear" w:color="auto" w:fill="D9D9D9"/>
          </w:tcPr>
          <w:p>
            <w:r>
              <w:rPr>
                <w:b/>
              </w:rPr>
              <w:t>The TWO errors and why</w:t>
            </w:r>
          </w:p>
        </w:tc>
      </w:tr>
      <w:tr>
        <w:tc>
          <w:tcPr>
            <w:tcW w:type="dxa" w:w="567"/>
          </w:tcPr>
          <w:p>
            <w:r>
              <w:rPr>
                <w:b/>
                <w:color w:val="C00000"/>
              </w:rPr>
              <w:t>1</w:t>
            </w:r>
          </w:p>
        </w:tc>
        <w:tc>
          <w:tcPr>
            <w:tcW w:type="dxa" w:w="4422"/>
          </w:tcPr>
          <w:p>
            <w:r>
              <w:rPr>
                <w:b w:val="0"/>
                <w:color w:val="C00000"/>
              </w:rPr>
              <w:t>In recent years, social media has become an indispensable part of daily life for young people.</w:t>
            </w:r>
          </w:p>
        </w:tc>
        <w:tc>
          <w:tcPr>
            <w:tcW w:type="dxa" w:w="4649"/>
          </w:tcPr>
          <w:p>
            <w:r>
              <w:rPr>
                <w:b w:val="0"/>
                <w:color w:val="C00000"/>
              </w:rPr>
              <w:t>(a) Tense / verb form: “has became” → “has become” (after “has” we need the past participle).</w:t>
            </w:r>
          </w:p>
          <w:p>
            <w:r>
              <w:rPr>
                <w:b w:val="0"/>
                <w:color w:val="C00000"/>
              </w:rPr>
              <w:t>(b) Article: “indispensable part” → “an indispensable part” (singular countable noun). (Lesson 1, Pattern 1)</w:t>
            </w:r>
          </w:p>
        </w:tc>
      </w:tr>
      <w:tr>
        <w:tc>
          <w:tcPr>
            <w:tcW w:type="dxa" w:w="567"/>
          </w:tcPr>
          <w:p>
            <w:r>
              <w:rPr>
                <w:b/>
                <w:color w:val="C00000"/>
              </w:rPr>
              <w:t>2</w:t>
            </w:r>
          </w:p>
        </w:tc>
        <w:tc>
          <w:tcPr>
            <w:tcW w:type="dxa" w:w="4422"/>
          </w:tcPr>
          <w:p>
            <w:r>
              <w:rPr>
                <w:b w:val="0"/>
                <w:color w:val="C00000"/>
              </w:rPr>
              <w:t>Living in a fast-paced society, students are constantly exposed to academic stress.</w:t>
            </w:r>
          </w:p>
        </w:tc>
        <w:tc>
          <w:tcPr>
            <w:tcW w:type="dxa" w:w="4649"/>
          </w:tcPr>
          <w:p>
            <w:r>
              <w:rPr>
                <w:b w:val="0"/>
                <w:color w:val="C00000"/>
              </w:rPr>
              <w:t>(a) Part of speech: “constant” → “constantly” (an adverb is needed to modify “exposed”).</w:t>
            </w:r>
          </w:p>
          <w:p>
            <w:r>
              <w:rPr>
                <w:b w:val="0"/>
                <w:color w:val="C00000"/>
              </w:rPr>
              <w:t>(b) Plural: “academic stresses” → “academic stress” (“stress” is uncountable here). (Lesson 1, Pattern 2)</w:t>
            </w:r>
          </w:p>
        </w:tc>
      </w:tr>
      <w:tr>
        <w:tc>
          <w:tcPr>
            <w:tcW w:type="dxa" w:w="567"/>
          </w:tcPr>
          <w:p>
            <w:r>
              <w:rPr>
                <w:b/>
                <w:color w:val="C00000"/>
              </w:rPr>
              <w:t>3</w:t>
            </w:r>
          </w:p>
        </w:tc>
        <w:tc>
          <w:tcPr>
            <w:tcW w:type="dxa" w:w="4422"/>
          </w:tcPr>
          <w:p>
            <w:r>
              <w:rPr>
                <w:b w:val="0"/>
                <w:color w:val="C00000"/>
              </w:rPr>
              <w:t>In recent times, the issue of plastic pollution has sparked widespread concern across society.</w:t>
            </w:r>
          </w:p>
        </w:tc>
        <w:tc>
          <w:tcPr>
            <w:tcW w:type="dxa" w:w="4649"/>
          </w:tcPr>
          <w:p>
            <w:r>
              <w:rPr>
                <w:b w:val="0"/>
                <w:color w:val="C00000"/>
              </w:rPr>
              <w:t>(a) Article: “issue of plastic pollution” → “the issue of plastic pollution”.</w:t>
            </w:r>
          </w:p>
          <w:p>
            <w:r>
              <w:rPr>
                <w:b w:val="0"/>
                <w:color w:val="C00000"/>
              </w:rPr>
              <w:t>(b) Agreement: “have sparked” → “has sparked” (the subject is the singular “issue”). (Lesson 1, Pattern 3)</w:t>
            </w:r>
          </w:p>
        </w:tc>
      </w:tr>
      <w:tr>
        <w:tc>
          <w:tcPr>
            <w:tcW w:type="dxa" w:w="567"/>
          </w:tcPr>
          <w:p>
            <w:r>
              <w:rPr>
                <w:b/>
                <w:color w:val="C00000"/>
              </w:rPr>
              <w:t>4</w:t>
            </w:r>
          </w:p>
        </w:tc>
        <w:tc>
          <w:tcPr>
            <w:tcW w:type="dxa" w:w="4422"/>
          </w:tcPr>
          <w:p>
            <w:r>
              <w:rPr>
                <w:b w:val="0"/>
                <w:color w:val="C00000"/>
              </w:rPr>
              <w:t>It is undeniable that sleep plays a pivotal role in shaping students’ memory and concentration.</w:t>
            </w:r>
          </w:p>
        </w:tc>
        <w:tc>
          <w:tcPr>
            <w:tcW w:type="dxa" w:w="4649"/>
          </w:tcPr>
          <w:p>
            <w:r>
              <w:rPr>
                <w:b w:val="0"/>
                <w:color w:val="C00000"/>
              </w:rPr>
              <w:t>(a) Agreement: “sleep play” → “sleep plays”.</w:t>
            </w:r>
          </w:p>
          <w:p>
            <w:r>
              <w:rPr>
                <w:b w:val="0"/>
                <w:color w:val="C00000"/>
              </w:rPr>
              <w:t>(b) Part of speech / verb form: “in shape” → “in shaping” (after the preposition “in” we need the –ing form). (Lesson 1, Pattern 4)</w:t>
            </w:r>
          </w:p>
        </w:tc>
      </w:tr>
      <w:tr>
        <w:tc>
          <w:tcPr>
            <w:tcW w:type="dxa" w:w="567"/>
          </w:tcPr>
          <w:p>
            <w:r>
              <w:rPr>
                <w:b/>
                <w:color w:val="C00000"/>
              </w:rPr>
              <w:t>5</w:t>
            </w:r>
          </w:p>
        </w:tc>
        <w:tc>
          <w:tcPr>
            <w:tcW w:type="dxa" w:w="4422"/>
          </w:tcPr>
          <w:p>
            <w:r>
              <w:rPr>
                <w:b w:val="0"/>
                <w:color w:val="C00000"/>
              </w:rPr>
              <w:t>To begin with, part-time work offers students a golden opportunity to gain real-world experience, paving the way for their future careers.</w:t>
            </w:r>
          </w:p>
        </w:tc>
        <w:tc>
          <w:tcPr>
            <w:tcW w:type="dxa" w:w="4649"/>
          </w:tcPr>
          <w:p>
            <w:r>
              <w:rPr>
                <w:b w:val="0"/>
                <w:color w:val="C00000"/>
              </w:rPr>
              <w:t>(a) Agreement: “work offer” → “work offers”.</w:t>
            </w:r>
          </w:p>
          <w:p>
            <w:r>
              <w:rPr>
                <w:b w:val="0"/>
                <w:color w:val="C00000"/>
              </w:rPr>
              <w:t>(b) Plural: “their future career” → “their future careers” (more than one student). (Lesson 2, Pattern 1)</w:t>
            </w:r>
          </w:p>
        </w:tc>
      </w:tr>
      <w:tr>
        <w:tc>
          <w:tcPr>
            <w:tcW w:type="dxa" w:w="567"/>
          </w:tcPr>
          <w:p>
            <w:r>
              <w:rPr>
                <w:b/>
                <w:color w:val="C00000"/>
              </w:rPr>
              <w:t>6</w:t>
            </w:r>
          </w:p>
        </w:tc>
        <w:tc>
          <w:tcPr>
            <w:tcW w:type="dxa" w:w="4422"/>
          </w:tcPr>
          <w:p>
            <w:r>
              <w:rPr>
                <w:b w:val="0"/>
                <w:color w:val="C00000"/>
              </w:rPr>
              <w:t>To begin with, volunteering offers teenagers a golden opportunity to meet new people, paving the way for a wider social circle.</w:t>
            </w:r>
          </w:p>
        </w:tc>
        <w:tc>
          <w:tcPr>
            <w:tcW w:type="dxa" w:w="4649"/>
          </w:tcPr>
          <w:p>
            <w:r>
              <w:rPr>
                <w:b w:val="0"/>
                <w:color w:val="C00000"/>
              </w:rPr>
              <w:t>(a) Plural: “new peoples” → “new people” (“people” is already plural).</w:t>
            </w:r>
          </w:p>
          <w:p>
            <w:r>
              <w:rPr>
                <w:b w:val="0"/>
                <w:color w:val="C00000"/>
              </w:rPr>
              <w:t>(b) Verb form: “paved” → “paving” (the comment after the comma is a participle phrase, not a second main verb). (Lesson 2, Pattern 1)</w:t>
            </w:r>
          </w:p>
        </w:tc>
      </w:tr>
      <w:tr>
        <w:tc>
          <w:tcPr>
            <w:tcW w:type="dxa" w:w="567"/>
          </w:tcPr>
          <w:p>
            <w:r>
              <w:rPr>
                <w:b/>
                <w:color w:val="C00000"/>
              </w:rPr>
              <w:t>7</w:t>
            </w:r>
          </w:p>
        </w:tc>
        <w:tc>
          <w:tcPr>
            <w:tcW w:type="dxa" w:w="4422"/>
          </w:tcPr>
          <w:p>
            <w:r>
              <w:rPr>
                <w:b w:val="0"/>
                <w:color w:val="C00000"/>
              </w:rPr>
              <w:t>From the perspective of students, a balanced timetable allows them to manage their time wisely, which in turn boosts their academic performance.</w:t>
            </w:r>
          </w:p>
        </w:tc>
        <w:tc>
          <w:tcPr>
            <w:tcW w:type="dxa" w:w="4649"/>
          </w:tcPr>
          <w:p>
            <w:r>
              <w:rPr>
                <w:b w:val="0"/>
                <w:color w:val="C00000"/>
              </w:rPr>
              <w:t>(a) Agreement: “timetable allow” → “timetable allows”.</w:t>
            </w:r>
          </w:p>
          <w:p>
            <w:r>
              <w:rPr>
                <w:b w:val="0"/>
                <w:color w:val="C00000"/>
              </w:rPr>
              <w:t>(b) Verb form: “boosting” → “boosts” (the “which in turn” clause needs a finite verb). (Lesson 2, Pattern 2)</w:t>
            </w:r>
          </w:p>
        </w:tc>
      </w:tr>
      <w:tr>
        <w:tc>
          <w:tcPr>
            <w:tcW w:type="dxa" w:w="567"/>
          </w:tcPr>
          <w:p>
            <w:r>
              <w:rPr>
                <w:b/>
                <w:color w:val="C00000"/>
              </w:rPr>
              <w:t>8</w:t>
            </w:r>
          </w:p>
        </w:tc>
        <w:tc>
          <w:tcPr>
            <w:tcW w:type="dxa" w:w="4422"/>
          </w:tcPr>
          <w:p>
            <w:r>
              <w:rPr>
                <w:b w:val="0"/>
                <w:color w:val="C00000"/>
              </w:rPr>
              <w:t>Team sports serve as a powerful means of relieving stress, which enables students to recharge both physically and mentally.</w:t>
            </w:r>
          </w:p>
        </w:tc>
        <w:tc>
          <w:tcPr>
            <w:tcW w:type="dxa" w:w="4649"/>
          </w:tcPr>
          <w:p>
            <w:r>
              <w:rPr>
                <w:b w:val="0"/>
                <w:color w:val="C00000"/>
              </w:rPr>
              <w:t>(a) Agreement: “sports serves” → “sports serve”.</w:t>
            </w:r>
          </w:p>
          <w:p>
            <w:r>
              <w:rPr>
                <w:b w:val="0"/>
                <w:color w:val="C00000"/>
              </w:rPr>
              <w:t>(b) Verb form: “of relieve” → “of relieving” (after the preposition “of” we need the –ing form). (Lesson 2, Pattern 3)</w:t>
            </w:r>
          </w:p>
        </w:tc>
      </w:tr>
      <w:tr>
        <w:tc>
          <w:tcPr>
            <w:tcW w:type="dxa" w:w="567"/>
          </w:tcPr>
          <w:p>
            <w:r>
              <w:rPr>
                <w:b/>
                <w:color w:val="C00000"/>
              </w:rPr>
              <w:t>9</w:t>
            </w:r>
          </w:p>
        </w:tc>
        <w:tc>
          <w:tcPr>
            <w:tcW w:type="dxa" w:w="4422"/>
          </w:tcPr>
          <w:p>
            <w:r>
              <w:rPr>
                <w:b w:val="0"/>
                <w:color w:val="C00000"/>
              </w:rPr>
              <w:t>Admittedly, online lessons offer students greater flexibility. Nevertheless, they cannot replace face-to-face interaction, as real-time discussions spark deeper engagement.</w:t>
            </w:r>
          </w:p>
        </w:tc>
        <w:tc>
          <w:tcPr>
            <w:tcW w:type="dxa" w:w="4649"/>
          </w:tcPr>
          <w:p>
            <w:r>
              <w:rPr>
                <w:b w:val="0"/>
                <w:color w:val="C00000"/>
              </w:rPr>
              <w:t>(a) Punctuation / sentence boundary: the comma before “nevertheless” becomes a full stop and “Nevertheless” takes a capital letter (otherwise it is a comma splice).</w:t>
            </w:r>
          </w:p>
          <w:p>
            <w:r>
              <w:rPr>
                <w:b w:val="0"/>
                <w:color w:val="C00000"/>
              </w:rPr>
              <w:t>(b) Agreement: “discussions sparks” → “discussions spark” (the subject is plural). (Lesson 2, Pattern 4)</w:t>
            </w:r>
          </w:p>
        </w:tc>
      </w:tr>
      <w:tr>
        <w:tc>
          <w:tcPr>
            <w:tcW w:type="dxa" w:w="567"/>
          </w:tcPr>
          <w:p>
            <w:r>
              <w:rPr>
                <w:b/>
                <w:color w:val="C00000"/>
              </w:rPr>
              <w:t>10</w:t>
            </w:r>
          </w:p>
        </w:tc>
        <w:tc>
          <w:tcPr>
            <w:tcW w:type="dxa" w:w="4422"/>
          </w:tcPr>
          <w:p>
            <w:r>
              <w:rPr>
                <w:b w:val="0"/>
                <w:color w:val="C00000"/>
              </w:rPr>
              <w:t>Reading serves as a powerful means of broadening students’ horizons, which enables them to understand the world beyond the classroom.</w:t>
            </w:r>
          </w:p>
        </w:tc>
        <w:tc>
          <w:tcPr>
            <w:tcW w:type="dxa" w:w="4649"/>
          </w:tcPr>
          <w:p>
            <w:r>
              <w:rPr>
                <w:b w:val="0"/>
                <w:color w:val="C00000"/>
              </w:rPr>
              <w:t>(a) Agreement: “Reading serve” → “Reading serves”.</w:t>
            </w:r>
          </w:p>
          <w:p>
            <w:r>
              <w:rPr>
                <w:b w:val="0"/>
                <w:color w:val="C00000"/>
              </w:rPr>
              <w:t>(b) Article: “the powerful means” → “a powerful means” (the indefinite article goes with this fixed pattern). (Lesson 2, Pattern 3)</w:t>
            </w:r>
          </w:p>
        </w:tc>
      </w:tr>
    </w:tbl>
    <w:p>
      <w:pPr>
        <w:spacing w:after="0"/>
      </w:pPr>
    </w:p>
    <w:p>
      <w:pPr>
        <w:spacing w:before="160" w:after="120"/>
      </w:pPr>
      <w:r>
        <w:rPr>
          <w:b/>
        </w:rPr>
        <w:t>PART B: UPGRADING SENTENCES — MAKING SUGGESTIONS</w:t>
      </w:r>
    </w:p>
    <w:p>
      <w:r>
        <w:rPr>
          <w:b w:val="0"/>
        </w:rPr>
        <w:t>In the paragraph that suggests solutions, most students write “Schools can …”, “The government can …” and “Parents can …”. These sentences are correct, but they are plain: they show the marker what you think, not how well you can write. Part B gives you THREE patterns that upgrade exactly these sentences. Each one is only ONE clause, easy to remember, and each one carries one “wow” feature that impresses the marker.</w:t>
      </w:r>
    </w:p>
    <w:p>
      <w:pPr>
        <w:spacing w:after="200"/>
      </w:pPr>
      <w:r>
        <w:rPr>
          <w:b/>
        </w:rPr>
        <w:t xml:space="preserve">Topic for this part: </w:t>
      </w:r>
      <w:r>
        <w:rPr>
          <w:b w:val="0"/>
        </w:rPr>
        <w:t>boost the physical fitness and awareness of citizens</w:t>
      </w: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shd w:val="clear" w:color="auto" w:fill="D9D9D9"/>
          </w:tcPr>
          <w:p>
            <w:r>
              <w:rPr>
                <w:b/>
              </w:rPr>
              <w:t>LEVEL 3 — THE BASIC SENTENCES STUDENTS USUALLY WRITE</w:t>
            </w:r>
          </w:p>
          <w:p>
            <w:r>
              <w:rPr>
                <w:b w:val="0"/>
              </w:rPr>
              <w:t>The government can build more sports facilities.</w:t>
            </w:r>
          </w:p>
          <w:p>
            <w:r>
              <w:rPr>
                <w:b w:val="0"/>
              </w:rPr>
              <w:t>Schools can organise more sports activities and sports days.</w:t>
            </w:r>
          </w:p>
          <w:p>
            <w:r>
              <w:rPr>
                <w:b w:val="0"/>
              </w:rPr>
              <w:t>Parents can exercise with their children at weekends.</w:t>
            </w:r>
          </w:p>
        </w:tc>
      </w:tr>
    </w:tbl>
    <w:p>
      <w:pPr>
        <w:spacing w:after="0"/>
      </w:pP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tcPr>
          <w:p>
            <w:r>
              <w:rPr>
                <w:b/>
              </w:rPr>
              <w:t>Pattern 1 — Calling for Immediate Action</w:t>
            </w:r>
          </w:p>
          <w:p>
            <w:r>
              <w:rPr>
                <w:b/>
              </w:rPr>
              <w:t xml:space="preserve">Target Formula: </w:t>
            </w:r>
            <w:r>
              <w:rPr>
                <w:b w:val="0"/>
              </w:rPr>
              <w:t>It is high time that [doer] [PAST-TENSE verb phrase].</w:t>
            </w:r>
          </w:p>
        </w:tc>
      </w:tr>
    </w:tbl>
    <w:p>
      <w:pPr>
        <w:spacing w:after="0"/>
      </w:pP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Level 3:</w:t>
            </w:r>
          </w:p>
        </w:tc>
        <w:tc>
          <w:tcPr>
            <w:tcW w:type="dxa" w:w="8090"/>
          </w:tcPr>
          <w:p>
            <w:r>
              <w:rPr>
                <w:b w:val="0"/>
              </w:rPr>
              <w:t>The government can build more sports facilities.</w:t>
            </w:r>
          </w:p>
        </w:tc>
      </w:tr>
      <w:tr>
        <w:tc>
          <w:tcPr>
            <w:tcW w:type="dxa" w:w="1548"/>
          </w:tcPr>
          <w:p>
            <w:r>
              <w:rPr>
                <w:b/>
              </w:rPr>
              <w:t>Level 5:</w:t>
            </w:r>
          </w:p>
        </w:tc>
        <w:tc>
          <w:tcPr>
            <w:tcW w:type="dxa" w:w="8090"/>
          </w:tcPr>
          <w:p>
            <w:r>
              <w:rPr>
                <w:b/>
              </w:rPr>
              <w:t>It is high time that</w:t>
            </w:r>
            <w:r>
              <w:rPr>
                <w:b w:val="0"/>
              </w:rPr>
              <w:t xml:space="preserve"> the government </w:t>
            </w:r>
            <w:r>
              <w:rPr>
                <w:b/>
              </w:rPr>
              <w:t>invested</w:t>
            </w:r>
            <w:r>
              <w:rPr>
                <w:b w:val="0"/>
              </w:rPr>
              <w:t xml:space="preserve"> in free, accessible sports facilities in every district.</w:t>
            </w:r>
          </w:p>
        </w:tc>
      </w:tr>
    </w:tbl>
    <w:p>
      <w:r>
        <w:rPr>
          <w:b/>
          <w:color w:val="C00000"/>
        </w:rPr>
        <w:t xml:space="preserve">Teaching note: </w:t>
      </w:r>
      <w:r>
        <w:rPr>
          <w:b w:val="0"/>
          <w:color w:val="C00000"/>
        </w:rPr>
        <w:t>“It is high time that” is followed by the PAST tense — invested / launched / reviewed — never the present tense (“invests”). If students panic, the easy alternative is “It is high time for the government TO invest …”.</w:t>
      </w:r>
    </w:p>
    <w:p>
      <w:pPr>
        <w:spacing w:after="0"/>
      </w:pP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tcPr>
          <w:p>
            <w:r>
              <w:rPr>
                <w:b/>
              </w:rPr>
              <w:t>Pattern 2 — Purpose-First Recommendation</w:t>
            </w:r>
          </w:p>
          <w:p>
            <w:r>
              <w:rPr>
                <w:b/>
              </w:rPr>
              <w:t xml:space="preserve">Target Formula: </w:t>
            </w:r>
            <w:r>
              <w:rPr>
                <w:b w:val="0"/>
              </w:rPr>
              <w:t>To [goal], [doer] should make it a priority to [base verb phrase].</w:t>
            </w:r>
          </w:p>
        </w:tc>
      </w:tr>
    </w:tbl>
    <w:p>
      <w:pPr>
        <w:spacing w:after="0"/>
      </w:pP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Level 3:</w:t>
            </w:r>
          </w:p>
        </w:tc>
        <w:tc>
          <w:tcPr>
            <w:tcW w:type="dxa" w:w="8090"/>
          </w:tcPr>
          <w:p>
            <w:r>
              <w:rPr>
                <w:b w:val="0"/>
              </w:rPr>
              <w:t>Schools can organise more sports activities and sports days.</w:t>
            </w:r>
          </w:p>
        </w:tc>
      </w:tr>
      <w:tr>
        <w:tc>
          <w:tcPr>
            <w:tcW w:type="dxa" w:w="1548"/>
          </w:tcPr>
          <w:p>
            <w:r>
              <w:rPr>
                <w:b/>
              </w:rPr>
              <w:t>Level 5:</w:t>
            </w:r>
          </w:p>
        </w:tc>
        <w:tc>
          <w:tcPr>
            <w:tcW w:type="dxa" w:w="8090"/>
          </w:tcPr>
          <w:p>
            <w:r>
              <w:rPr>
                <w:b/>
              </w:rPr>
              <w:t>To boost students’ physical fitness</w:t>
            </w:r>
            <w:r>
              <w:rPr>
                <w:b w:val="0"/>
              </w:rPr>
              <w:t xml:space="preserve">, schools should </w:t>
            </w:r>
            <w:r>
              <w:rPr>
                <w:b/>
              </w:rPr>
              <w:t>make it a priority to</w:t>
            </w:r>
            <w:r>
              <w:rPr>
                <w:b w:val="0"/>
              </w:rPr>
              <w:t xml:space="preserve"> add a daily exercise break to the timetable.</w:t>
            </w:r>
          </w:p>
        </w:tc>
      </w:tr>
    </w:tbl>
    <w:p>
      <w:r>
        <w:rPr>
          <w:b/>
          <w:color w:val="C00000"/>
        </w:rPr>
        <w:t xml:space="preserve">Teaching note: </w:t>
      </w:r>
      <w:r>
        <w:rPr>
          <w:b w:val="0"/>
          <w:color w:val="C00000"/>
        </w:rPr>
        <w:t>“make it a priority to” takes the BASE verb (“to add”, never “to adding”). Opening with “To + goal” replaces the vague “so that” and shows the marker your purpose in the first three words.</w:t>
      </w:r>
    </w:p>
    <w:p>
      <w:pPr>
        <w:spacing w:after="0"/>
      </w:pP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tcPr>
          <w:p>
            <w:r>
              <w:rPr>
                <w:b/>
              </w:rPr>
              <w:t>Pattern 3 — Shared Responsibility</w:t>
            </w:r>
          </w:p>
          <w:p>
            <w:r>
              <w:rPr>
                <w:b/>
              </w:rPr>
              <w:t xml:space="preserve">Target Formula: </w:t>
            </w:r>
            <w:r>
              <w:rPr>
                <w:b w:val="0"/>
              </w:rPr>
              <w:t>[Doer], in collaboration with [second party], should [verb phrase].</w:t>
            </w:r>
          </w:p>
        </w:tc>
      </w:tr>
    </w:tbl>
    <w:p>
      <w:pPr>
        <w:spacing w:after="0"/>
      </w:pP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Level 3:</w:t>
            </w:r>
          </w:p>
        </w:tc>
        <w:tc>
          <w:tcPr>
            <w:tcW w:type="dxa" w:w="8090"/>
          </w:tcPr>
          <w:p>
            <w:r>
              <w:rPr>
                <w:b w:val="0"/>
              </w:rPr>
              <w:t>Parents can exercise with their children at weekends.</w:t>
            </w:r>
          </w:p>
        </w:tc>
      </w:tr>
      <w:tr>
        <w:tc>
          <w:tcPr>
            <w:tcW w:type="dxa" w:w="1548"/>
          </w:tcPr>
          <w:p>
            <w:r>
              <w:rPr>
                <w:b/>
              </w:rPr>
              <w:t>Level 5:</w:t>
            </w:r>
          </w:p>
        </w:tc>
        <w:tc>
          <w:tcPr>
            <w:tcW w:type="dxa" w:w="8090"/>
          </w:tcPr>
          <w:p>
            <w:r>
              <w:rPr>
                <w:b/>
              </w:rPr>
              <w:t>Parents, in collaboration with schools,</w:t>
            </w:r>
            <w:r>
              <w:rPr>
                <w:b w:val="0"/>
              </w:rPr>
              <w:t xml:space="preserve"> should encourage their children to adopt a more active lifestyle.</w:t>
            </w:r>
          </w:p>
        </w:tc>
      </w:tr>
    </w:tbl>
    <w:p>
      <w:r>
        <w:rPr>
          <w:b/>
          <w:color w:val="C00000"/>
        </w:rPr>
        <w:t xml:space="preserve">Teaching note: </w:t>
      </w:r>
      <w:r>
        <w:rPr>
          <w:b w:val="0"/>
          <w:color w:val="C00000"/>
        </w:rPr>
        <w:t>“in collaboration with” = working together with. It is far stronger than “and” or “also” and shows the marker that you understand shared responsibility. The doer is swappable: “The government, in collaboration with district councils, should …”.</w:t>
      </w:r>
    </w:p>
    <w:p>
      <w:r>
        <w:rPr>
          <w:b/>
          <w:color w:val="C00000"/>
        </w:rPr>
        <w:t xml:space="preserve">Teacher’s note on the design: </w:t>
      </w:r>
      <w:r>
        <w:rPr>
          <w:b w:val="0"/>
          <w:color w:val="C00000"/>
        </w:rPr>
        <w:t>the three patterns are deliberately kept to ONE clause. Endings of the “, so as to …” / “, thereby + –ing” type were left out this time — level 3 students lose control of the main clause as soon as they open a second one. Add the endings back only when the class can hold the short form.</w:t>
      </w:r>
    </w:p>
    <w:p>
      <w:pPr>
        <w:spacing w:after="0"/>
      </w:pPr>
    </w:p>
    <w:p>
      <w:pPr>
        <w:spacing w:before="160" w:after="120"/>
      </w:pPr>
      <w:r>
        <w:rPr>
          <w:b/>
        </w:rPr>
        <w:t>LEVEL 3 → LEVEL 5 VOCABULARY (physical fitness and awareness)</w:t>
      </w:r>
    </w:p>
    <w:tbl>
      <w:tblPr>
        <w:tblStyle w:val="TableGrid"/>
        <w:tblW w:type="auto" w:w="0"/>
        <w:jc w:val="left"/>
        <w:tblLayout w:type="fixed"/>
        <w:tblLook w:firstColumn="1" w:firstRow="1" w:lastColumn="0" w:lastRow="0" w:noHBand="0" w:noVBand="1" w:val="04A0"/>
        <w:tblLayout w:type="fixed"/>
      </w:tblPr>
      <w:tblGrid>
        <w:gridCol w:w="3213"/>
        <w:gridCol w:w="3213"/>
        <w:gridCol w:w="3213"/>
      </w:tblGrid>
      <w:tr>
        <w:tc>
          <w:tcPr>
            <w:tcW w:type="dxa" w:w="454"/>
            <w:shd w:val="clear" w:color="auto" w:fill="D9D9D9"/>
          </w:tcPr>
          <w:p>
            <w:r>
              <w:rPr>
                <w:b/>
              </w:rPr>
              <w:t>#</w:t>
            </w:r>
          </w:p>
        </w:tc>
        <w:tc>
          <w:tcPr>
            <w:tcW w:type="dxa" w:w="3402"/>
            <w:shd w:val="clear" w:color="auto" w:fill="D9D9D9"/>
          </w:tcPr>
          <w:p>
            <w:r>
              <w:rPr>
                <w:b/>
              </w:rPr>
              <w:t>Level 3 (what students write)</w:t>
            </w:r>
          </w:p>
        </w:tc>
        <w:tc>
          <w:tcPr>
            <w:tcW w:type="dxa" w:w="5783"/>
            <w:shd w:val="clear" w:color="auto" w:fill="D9D9D9"/>
          </w:tcPr>
          <w:p>
            <w:r>
              <w:rPr>
                <w:b/>
              </w:rPr>
              <w:t>Level 5 upgrade (key words in bold)</w:t>
            </w:r>
          </w:p>
        </w:tc>
      </w:tr>
      <w:tr>
        <w:tc>
          <w:tcPr>
            <w:tcW w:type="dxa" w:w="454"/>
          </w:tcPr>
          <w:p>
            <w:r>
              <w:rPr>
                <w:b/>
              </w:rPr>
              <w:t>1</w:t>
            </w:r>
          </w:p>
        </w:tc>
        <w:tc>
          <w:tcPr>
            <w:tcW w:type="dxa" w:w="3402"/>
          </w:tcPr>
          <w:p>
            <w:r>
              <w:rPr>
                <w:b w:val="0"/>
              </w:rPr>
              <w:t>make people healthier</w:t>
            </w:r>
          </w:p>
        </w:tc>
        <w:tc>
          <w:tcPr>
            <w:tcW w:type="dxa" w:w="5783"/>
          </w:tcPr>
          <w:p>
            <w:r>
              <w:rPr>
                <w:b/>
              </w:rPr>
              <w:t>enhance citizens’ physical well-being</w:t>
            </w:r>
          </w:p>
          <w:p>
            <w:r>
              <w:rPr>
                <w:i/>
              </w:rPr>
              <w:t>e.g. Regular exercise enhances citizens’ physical well-being.</w:t>
            </w:r>
          </w:p>
        </w:tc>
      </w:tr>
      <w:tr>
        <w:tc>
          <w:tcPr>
            <w:tcW w:type="dxa" w:w="454"/>
          </w:tcPr>
          <w:p>
            <w:r>
              <w:rPr>
                <w:b/>
              </w:rPr>
              <w:t>2</w:t>
            </w:r>
          </w:p>
        </w:tc>
        <w:tc>
          <w:tcPr>
            <w:tcW w:type="dxa" w:w="3402"/>
          </w:tcPr>
          <w:p>
            <w:r>
              <w:rPr>
                <w:b w:val="0"/>
              </w:rPr>
              <w:t>tell people about the importance of exercise</w:t>
            </w:r>
          </w:p>
        </w:tc>
        <w:tc>
          <w:tcPr>
            <w:tcW w:type="dxa" w:w="5783"/>
          </w:tcPr>
          <w:p>
            <w:r>
              <w:rPr>
                <w:b/>
              </w:rPr>
              <w:t>raise public awareness of the importance of regular exercise</w:t>
            </w:r>
          </w:p>
          <w:p>
            <w:r>
              <w:rPr>
                <w:i/>
              </w:rPr>
              <w:t>e.g. A city-wide campaign would raise public awareness of the importance of regular exercise.</w:t>
            </w:r>
          </w:p>
        </w:tc>
      </w:tr>
      <w:tr>
        <w:tc>
          <w:tcPr>
            <w:tcW w:type="dxa" w:w="454"/>
          </w:tcPr>
          <w:p>
            <w:r>
              <w:rPr>
                <w:b/>
              </w:rPr>
              <w:t>3</w:t>
            </w:r>
          </w:p>
        </w:tc>
        <w:tc>
          <w:tcPr>
            <w:tcW w:type="dxa" w:w="3402"/>
          </w:tcPr>
          <w:p>
            <w:r>
              <w:rPr>
                <w:b w:val="0"/>
              </w:rPr>
              <w:t>do exercise</w:t>
            </w:r>
          </w:p>
        </w:tc>
        <w:tc>
          <w:tcPr>
            <w:tcW w:type="dxa" w:w="5783"/>
          </w:tcPr>
          <w:p>
            <w:r>
              <w:rPr>
                <w:b/>
              </w:rPr>
              <w:t>take regular exercise / adopt an active lifestyle</w:t>
            </w:r>
          </w:p>
          <w:p>
            <w:r>
              <w:rPr>
                <w:i/>
              </w:rPr>
              <w:t>e.g. Citizens who take regular exercise are far less likely to fall ill.</w:t>
            </w:r>
          </w:p>
        </w:tc>
      </w:tr>
      <w:tr>
        <w:tc>
          <w:tcPr>
            <w:tcW w:type="dxa" w:w="454"/>
          </w:tcPr>
          <w:p>
            <w:r>
              <w:rPr>
                <w:b/>
              </w:rPr>
              <w:t>4</w:t>
            </w:r>
          </w:p>
        </w:tc>
        <w:tc>
          <w:tcPr>
            <w:tcW w:type="dxa" w:w="3402"/>
          </w:tcPr>
          <w:p>
            <w:r>
              <w:rPr>
                <w:b w:val="0"/>
              </w:rPr>
              <w:t>build more sports places</w:t>
            </w:r>
          </w:p>
        </w:tc>
        <w:tc>
          <w:tcPr>
            <w:tcW w:type="dxa" w:w="5783"/>
          </w:tcPr>
          <w:p>
            <w:r>
              <w:rPr>
                <w:b/>
              </w:rPr>
              <w:t>provide accessible sports facilities</w:t>
            </w:r>
          </w:p>
          <w:p>
            <w:r>
              <w:rPr>
                <w:i/>
              </w:rPr>
              <w:t>e.g. Accessible sports facilities encourage even the busiest workers to exercise.</w:t>
            </w:r>
          </w:p>
        </w:tc>
      </w:tr>
      <w:tr>
        <w:tc>
          <w:tcPr>
            <w:tcW w:type="dxa" w:w="454"/>
          </w:tcPr>
          <w:p>
            <w:r>
              <w:rPr>
                <w:b/>
              </w:rPr>
              <w:t>5</w:t>
            </w:r>
          </w:p>
        </w:tc>
        <w:tc>
          <w:tcPr>
            <w:tcW w:type="dxa" w:w="3402"/>
          </w:tcPr>
          <w:p>
            <w:r>
              <w:rPr>
                <w:b w:val="0"/>
              </w:rPr>
              <w:t>stop people from being lazy</w:t>
            </w:r>
          </w:p>
        </w:tc>
        <w:tc>
          <w:tcPr>
            <w:tcW w:type="dxa" w:w="5783"/>
          </w:tcPr>
          <w:p>
            <w:r>
              <w:rPr>
                <w:b/>
              </w:rPr>
              <w:t>combat sedentary lifestyles</w:t>
            </w:r>
          </w:p>
          <w:p>
            <w:r>
              <w:rPr>
                <w:i/>
              </w:rPr>
              <w:t>e.g. A morning workout scheme can combat sedentary lifestyles among office workers.</w:t>
            </w:r>
          </w:p>
        </w:tc>
      </w:tr>
    </w:tbl>
    <w:p>
      <w:pPr>
        <w:spacing w:after="0"/>
      </w:pPr>
    </w:p>
    <w:p>
      <w:pPr>
        <w:spacing w:before="160" w:after="120"/>
      </w:pPr>
      <w:r>
        <w:rPr>
          <w:b/>
        </w:rPr>
        <w:t>PART C: PRACTICE SETS (6 SETS)</w:t>
      </w:r>
    </w:p>
    <w:p>
      <w:r>
        <w:rPr>
          <w:b w:val="0"/>
        </w:rPr>
        <w:t>Upgrade each simple sentence with the pattern shown, and keep the pattern to ONE clause, as taught in Part B. The topics are different from the fitness topic in Part B. Sets 4–6 are more challenging: you must join the TWO simple sentences into ONE upgraded sentence.</w:t>
      </w:r>
    </w:p>
    <w:p>
      <w:pPr>
        <w:spacing w:before="120" w:after="80"/>
      </w:pPr>
      <w:r>
        <w:rPr>
          <w:b/>
        </w:rPr>
        <w:t>Set 1. Topic: Teenage Sleep Deprivation</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w:t>
            </w:r>
          </w:p>
        </w:tc>
        <w:tc>
          <w:tcPr>
            <w:tcW w:type="dxa" w:w="8090"/>
          </w:tcPr>
          <w:p>
            <w:r>
              <w:rPr>
                <w:b w:val="0"/>
              </w:rPr>
              <w:t>The government can tell teenagers about the importance of sleep.</w:t>
            </w:r>
          </w:p>
        </w:tc>
      </w:tr>
      <w:tr>
        <w:tc>
          <w:tcPr>
            <w:tcW w:type="dxa" w:w="1548"/>
          </w:tcPr>
          <w:p>
            <w:r>
              <w:rPr>
                <w:b/>
              </w:rPr>
              <w:t>Use Pattern 1</w:t>
            </w:r>
          </w:p>
        </w:tc>
        <w:tc>
          <w:tcPr>
            <w:tcW w:type="dxa" w:w="8090"/>
          </w:tcPr>
          <w:p>
            <w:r>
              <w:rPr>
                <w:b/>
                <w:color w:val="C00000"/>
              </w:rPr>
              <w:t>It is high time that the government raised teenagers’ awareness of the importance of sleep.</w:t>
            </w:r>
          </w:p>
        </w:tc>
      </w:tr>
    </w:tbl>
    <w:p>
      <w:pPr>
        <w:spacing w:after="160"/>
      </w:pPr>
      <w:r>
        <w:rPr>
          <w:b/>
          <w:color w:val="C00000"/>
        </w:rPr>
        <w:t xml:space="preserve">Key note: </w:t>
      </w:r>
      <w:r>
        <w:rPr>
          <w:b w:val="0"/>
          <w:color w:val="C00000"/>
        </w:rPr>
        <w:t>Accept any past-tense verb phrase: “launched a campaign on healthy sleeping habits”, “made sleep education part of the junior curriculum”.</w:t>
      </w:r>
    </w:p>
    <w:p>
      <w:pPr>
        <w:spacing w:before="120" w:after="80"/>
      </w:pPr>
      <w:r>
        <w:rPr>
          <w:b/>
        </w:rPr>
        <w:t>Set 2. Topic: Food Waste on Campus</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w:t>
            </w:r>
          </w:p>
        </w:tc>
        <w:tc>
          <w:tcPr>
            <w:tcW w:type="dxa" w:w="8090"/>
          </w:tcPr>
          <w:p>
            <w:r>
              <w:rPr>
                <w:b w:val="0"/>
              </w:rPr>
              <w:t>Schools can ask students not to waste food in the canteen.</w:t>
            </w:r>
          </w:p>
        </w:tc>
      </w:tr>
      <w:tr>
        <w:tc>
          <w:tcPr>
            <w:tcW w:type="dxa" w:w="1548"/>
          </w:tcPr>
          <w:p>
            <w:r>
              <w:rPr>
                <w:b/>
              </w:rPr>
              <w:t>Use Pattern 2</w:t>
            </w:r>
          </w:p>
        </w:tc>
        <w:tc>
          <w:tcPr>
            <w:tcW w:type="dxa" w:w="8090"/>
          </w:tcPr>
          <w:p>
            <w:r>
              <w:rPr>
                <w:b/>
                <w:color w:val="C00000"/>
              </w:rPr>
              <w:t>To cut food waste on campus, schools should make it a priority to offer smaller portions and free second helpings.</w:t>
            </w:r>
          </w:p>
        </w:tc>
      </w:tr>
    </w:tbl>
    <w:p>
      <w:pPr>
        <w:spacing w:after="160"/>
      </w:pPr>
      <w:r>
        <w:rPr>
          <w:b/>
          <w:color w:val="C00000"/>
        </w:rPr>
        <w:t xml:space="preserve">Key note: </w:t>
      </w:r>
      <w:r>
        <w:rPr>
          <w:b w:val="0"/>
          <w:color w:val="C00000"/>
        </w:rPr>
        <w:t>Accept “To reduce food waste …” and any sensible verb phrase after “make it a priority to”.</w:t>
      </w:r>
    </w:p>
    <w:p>
      <w:pPr>
        <w:spacing w:before="120" w:after="80"/>
      </w:pPr>
      <w:r>
        <w:rPr>
          <w:b/>
        </w:rPr>
        <w:t>Set 3. Topic: Cyberbullying</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w:t>
            </w:r>
          </w:p>
        </w:tc>
        <w:tc>
          <w:tcPr>
            <w:tcW w:type="dxa" w:w="8090"/>
          </w:tcPr>
          <w:p>
            <w:r>
              <w:rPr>
                <w:b w:val="0"/>
              </w:rPr>
              <w:t>Parents can talk to their children about cyberbullying.</w:t>
            </w:r>
          </w:p>
        </w:tc>
      </w:tr>
      <w:tr>
        <w:tc>
          <w:tcPr>
            <w:tcW w:type="dxa" w:w="1548"/>
          </w:tcPr>
          <w:p>
            <w:r>
              <w:rPr>
                <w:b/>
              </w:rPr>
              <w:t>Use Pattern 3</w:t>
            </w:r>
          </w:p>
        </w:tc>
        <w:tc>
          <w:tcPr>
            <w:tcW w:type="dxa" w:w="8090"/>
          </w:tcPr>
          <w:p>
            <w:r>
              <w:rPr>
                <w:b/>
                <w:color w:val="C00000"/>
              </w:rPr>
              <w:t>Parents, in collaboration with schools, should discuss online safety openly with their children.</w:t>
            </w:r>
          </w:p>
        </w:tc>
      </w:tr>
    </w:tbl>
    <w:p>
      <w:pPr>
        <w:spacing w:after="160"/>
      </w:pPr>
      <w:r>
        <w:rPr>
          <w:b/>
          <w:color w:val="C00000"/>
        </w:rPr>
        <w:t xml:space="preserve">Key note: </w:t>
      </w:r>
      <w:r>
        <w:rPr>
          <w:b w:val="0"/>
          <w:color w:val="C00000"/>
        </w:rPr>
        <w:t>Accept any sensible second party (the school, social workers) and any formal verb phrase (“set clear rules about online behaviour at home”).</w:t>
      </w:r>
    </w:p>
    <w:p>
      <w:pPr>
        <w:spacing w:before="120" w:after="80"/>
      </w:pPr>
      <w:r>
        <w:rPr>
          <w:b/>
        </w:rPr>
        <w:t>Set 4. Topic: Youth Mental Health (more challenging)</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sentences</w:t>
            </w:r>
          </w:p>
        </w:tc>
        <w:tc>
          <w:tcPr>
            <w:tcW w:type="dxa" w:w="8090"/>
          </w:tcPr>
          <w:p>
            <w:r>
              <w:rPr>
                <w:b w:val="0"/>
              </w:rPr>
              <w:t>The government can spend more money on mental health services.</w:t>
            </w:r>
          </w:p>
        </w:tc>
      </w:tr>
      <w:tr>
        <w:tc>
          <w:tcPr>
            <w:tcW w:type="dxa" w:w="1548"/>
          </w:tcPr>
          <w:p>
            <w:r>
              <w:rPr>
                <w:b/>
              </w:rPr>
            </w:r>
          </w:p>
        </w:tc>
        <w:tc>
          <w:tcPr>
            <w:tcW w:type="dxa" w:w="8090"/>
          </w:tcPr>
          <w:p>
            <w:r>
              <w:rPr>
                <w:b w:val="0"/>
              </w:rPr>
              <w:t>Young people need these services at school.</w:t>
            </w:r>
          </w:p>
        </w:tc>
      </w:tr>
      <w:tr>
        <w:tc>
          <w:tcPr>
            <w:tcW w:type="dxa" w:w="1548"/>
          </w:tcPr>
          <w:p>
            <w:r>
              <w:rPr>
                <w:b/>
              </w:rPr>
              <w:t>Use Pattern 1</w:t>
            </w:r>
          </w:p>
        </w:tc>
        <w:tc>
          <w:tcPr>
            <w:tcW w:type="dxa" w:w="8090"/>
          </w:tcPr>
          <w:p>
            <w:r>
              <w:rPr>
                <w:b/>
                <w:color w:val="C00000"/>
              </w:rPr>
              <w:t>It is high time that the government invested more in school-based mental health services for young people.</w:t>
            </w:r>
          </w:p>
        </w:tc>
      </w:tr>
    </w:tbl>
    <w:p>
      <w:pPr>
        <w:spacing w:after="160"/>
      </w:pPr>
      <w:r>
        <w:rPr>
          <w:b/>
          <w:color w:val="C00000"/>
        </w:rPr>
        <w:t xml:space="preserve">Key note: </w:t>
      </w:r>
      <w:r>
        <w:rPr>
          <w:b w:val="0"/>
          <w:color w:val="C00000"/>
        </w:rPr>
        <w:t>Idea 2 is folded into the modifier “school-based”, so the pattern stays one clean clause. Also accept “… invested more in mental health services in schools.”</w:t>
      </w:r>
    </w:p>
    <w:p>
      <w:pPr>
        <w:spacing w:before="120" w:after="80"/>
      </w:pPr>
      <w:r>
        <w:rPr>
          <w:b/>
        </w:rPr>
        <w:t>Set 5. Topic: Declining Reading Habits (more challenging)</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sentences</w:t>
            </w:r>
          </w:p>
        </w:tc>
        <w:tc>
          <w:tcPr>
            <w:tcW w:type="dxa" w:w="8090"/>
          </w:tcPr>
          <w:p>
            <w:r>
              <w:rPr>
                <w:b w:val="0"/>
              </w:rPr>
              <w:t>Schools can keep the library open after school.</w:t>
            </w:r>
          </w:p>
        </w:tc>
      </w:tr>
      <w:tr>
        <w:tc>
          <w:tcPr>
            <w:tcW w:type="dxa" w:w="1548"/>
          </w:tcPr>
          <w:p>
            <w:r>
              <w:rPr>
                <w:b/>
              </w:rPr>
            </w:r>
          </w:p>
        </w:tc>
        <w:tc>
          <w:tcPr>
            <w:tcW w:type="dxa" w:w="8090"/>
          </w:tcPr>
          <w:p>
            <w:r>
              <w:rPr>
                <w:b w:val="0"/>
              </w:rPr>
              <w:t>Students need a quiet place to read.</w:t>
            </w:r>
          </w:p>
        </w:tc>
      </w:tr>
      <w:tr>
        <w:tc>
          <w:tcPr>
            <w:tcW w:type="dxa" w:w="1548"/>
          </w:tcPr>
          <w:p>
            <w:r>
              <w:rPr>
                <w:b/>
              </w:rPr>
              <w:t>Use Pattern 2</w:t>
            </w:r>
          </w:p>
        </w:tc>
        <w:tc>
          <w:tcPr>
            <w:tcW w:type="dxa" w:w="8090"/>
          </w:tcPr>
          <w:p>
            <w:r>
              <w:rPr>
                <w:b/>
                <w:color w:val="C00000"/>
              </w:rPr>
              <w:t>To give students a quiet place to read, schools should make it a priority to keep the library open after school.</w:t>
            </w:r>
          </w:p>
        </w:tc>
      </w:tr>
    </w:tbl>
    <w:p>
      <w:pPr>
        <w:spacing w:after="160"/>
      </w:pPr>
      <w:r>
        <w:rPr>
          <w:b/>
          <w:color w:val="C00000"/>
        </w:rPr>
        <w:t xml:space="preserve">Key note: </w:t>
      </w:r>
      <w:r>
        <w:rPr>
          <w:b w:val="0"/>
          <w:color w:val="C00000"/>
        </w:rPr>
        <w:t>Idea 2 becomes the fronted goal; the second plain sentence must disappear into the pattern.</w:t>
      </w:r>
    </w:p>
    <w:p>
      <w:pPr>
        <w:spacing w:before="120" w:after="80"/>
      </w:pPr>
      <w:r>
        <w:rPr>
          <w:b/>
        </w:rPr>
        <w:t>Set 6. Topic: Care for the Elderly (more challenging)</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1548"/>
          </w:tcPr>
          <w:p>
            <w:r>
              <w:rPr>
                <w:b/>
              </w:rPr>
              <w:t>Simple sentences</w:t>
            </w:r>
          </w:p>
        </w:tc>
        <w:tc>
          <w:tcPr>
            <w:tcW w:type="dxa" w:w="8090"/>
          </w:tcPr>
          <w:p>
            <w:r>
              <w:rPr>
                <w:b w:val="0"/>
              </w:rPr>
              <w:t>Teenagers can visit elderly neighbours who live alone.</w:t>
            </w:r>
          </w:p>
        </w:tc>
      </w:tr>
      <w:tr>
        <w:tc>
          <w:tcPr>
            <w:tcW w:type="dxa" w:w="1548"/>
          </w:tcPr>
          <w:p>
            <w:r>
              <w:rPr>
                <w:b/>
              </w:rPr>
            </w:r>
          </w:p>
        </w:tc>
        <w:tc>
          <w:tcPr>
            <w:tcW w:type="dxa" w:w="8090"/>
          </w:tcPr>
          <w:p>
            <w:r>
              <w:rPr>
                <w:b w:val="0"/>
              </w:rPr>
              <w:t>Community centres can arrange these visits.</w:t>
            </w:r>
          </w:p>
        </w:tc>
      </w:tr>
      <w:tr>
        <w:tc>
          <w:tcPr>
            <w:tcW w:type="dxa" w:w="1548"/>
          </w:tcPr>
          <w:p>
            <w:r>
              <w:rPr>
                <w:b/>
              </w:rPr>
              <w:t>Use Pattern 3</w:t>
            </w:r>
          </w:p>
        </w:tc>
        <w:tc>
          <w:tcPr>
            <w:tcW w:type="dxa" w:w="8090"/>
          </w:tcPr>
          <w:p>
            <w:r>
              <w:rPr>
                <w:b/>
                <w:color w:val="C00000"/>
              </w:rPr>
              <w:t>Teenagers, in collaboration with community centres, should organise regular visits to elderly neighbours who live alone.</w:t>
            </w:r>
          </w:p>
        </w:tc>
      </w:tr>
    </w:tbl>
    <w:p>
      <w:pPr>
        <w:spacing w:after="160"/>
      </w:pPr>
      <w:r>
        <w:rPr>
          <w:b/>
          <w:color w:val="C00000"/>
        </w:rPr>
        <w:t xml:space="preserve">Key note: </w:t>
      </w:r>
      <w:r>
        <w:rPr>
          <w:b w:val="0"/>
          <w:color w:val="C00000"/>
        </w:rPr>
        <w:t>Idea 2 becomes the second party after “in collaboration with”. Watch the plural: “the elderly” is already plural — never “the elderlies”.</w:t>
      </w:r>
    </w:p>
    <w:p>
      <w:pPr>
        <w:spacing w:before="160" w:after="120"/>
      </w:pPr>
      <w:r>
        <w:rPr>
          <w:b/>
        </w:rPr>
        <w:t>PART D: WRITING PRACTICE</w:t>
      </w:r>
    </w:p>
    <w:tbl>
      <w:tblPr>
        <w:tblStyle w:val="TableGrid"/>
        <w:tblW w:type="auto" w:w="0"/>
        <w:jc w:val="left"/>
        <w:tblLayout w:type="fixed"/>
        <w:tblLook w:firstColumn="1" w:firstRow="1" w:lastColumn="0" w:lastRow="0" w:noHBand="0" w:noVBand="1" w:val="04A0"/>
        <w:tblLayout w:type="fixed"/>
      </w:tblPr>
      <w:tblGrid>
        <w:gridCol w:w="9638"/>
      </w:tblGrid>
      <w:tr>
        <w:tc>
          <w:tcPr>
            <w:tcW w:type="dxa" w:w="9638"/>
            <w:shd w:val="clear" w:color="auto" w:fill="F2F2F2"/>
          </w:tcPr>
          <w:p>
            <w:r>
              <w:rPr>
                <w:b w:val="0"/>
              </w:rPr>
              <w:t>HKDSE Adapted Paper 2 Prompt:</w:t>
            </w:r>
          </w:p>
          <w:p>
            <w:r>
              <w:rPr>
                <w:b w:val="0"/>
              </w:rPr>
              <w:t>You are a Form 6 student. Your school is considering cutting one of the two weekly PE lessons so that F.6 students can have an extra period for examination preparation. Write a letter to the Principal expressing your opinion on this idea.</w:t>
            </w:r>
          </w:p>
        </w:tc>
      </w:tr>
    </w:tbl>
    <w:p>
      <w:pPr>
        <w:spacing w:before="160" w:after="80"/>
      </w:pPr>
      <w:r>
        <w:rPr>
          <w:b/>
        </w:rPr>
        <w:t>Task requirements:</w:t>
      </w:r>
    </w:p>
    <w:p>
      <w:pPr>
        <w:spacing w:after="0"/>
        <w:ind w:left="227"/>
      </w:pPr>
      <w:r>
        <w:rPr>
          <w:b w:val="0"/>
        </w:rPr>
        <w:t>Write ONE body paragraph (about 120 words) for this letter — not the whole letter.</w:t>
      </w:r>
    </w:p>
    <w:p>
      <w:pPr>
        <w:spacing w:after="0"/>
        <w:ind w:left="227"/>
      </w:pPr>
      <w:r>
        <w:rPr>
          <w:b w:val="0"/>
        </w:rPr>
        <w:t>State your view on the proposal, give at least one reason and at least one suggestion.</w:t>
      </w:r>
    </w:p>
    <w:p>
      <w:pPr>
        <w:spacing w:after="0"/>
        <w:ind w:left="227"/>
      </w:pPr>
      <w:r>
        <w:rPr>
          <w:b w:val="0"/>
        </w:rPr>
        <w:t>Use at least TWO of today’s three patterns and underline every target structure you use.</w:t>
      </w:r>
    </w:p>
    <w:p>
      <w:pPr>
        <w:spacing w:after="0"/>
        <w:ind w:left="227"/>
      </w:pPr>
      <w:r>
        <w:rPr>
          <w:b w:val="0"/>
        </w:rPr>
        <w:t>Follow the Lesson 2 chain: [Topic sentence] → [Explain] → [Example] → [Back to main idea].</w:t>
      </w:r>
    </w:p>
    <w:p>
      <w:pPr>
        <w:spacing w:before="200" w:after="80"/>
      </w:pPr>
      <w:r>
        <w:rPr>
          <w:b/>
        </w:rPr>
        <w:t>Teacher’s model answer (one paragraph, 129 words)</w:t>
      </w:r>
    </w:p>
    <w:p>
      <w:pPr>
        <w:spacing w:after="120"/>
      </w:pPr>
      <w:r>
        <w:rPr>
          <w:b w:val="0"/>
        </w:rPr>
        <w:t>Although an extra period for examination preparation sounds attractive, cutting one of our two weekly PE lessons would do F.6 students more harm than good.</w:t>
      </w:r>
      <w:r>
        <w:rPr>
          <w:b w:val="0"/>
          <w:color w:val="C00000"/>
        </w:rPr>
        <w:t xml:space="preserve">  [Topic sentence — states the stance]</w:t>
      </w:r>
    </w:p>
    <w:p>
      <w:pPr>
        <w:spacing w:after="120"/>
      </w:pPr>
      <w:r>
        <w:rPr>
          <w:b w:val="0"/>
        </w:rPr>
        <w:t>To keep us physically fit during the examination year, the school should make it a priority to protect both lessons and to improve what happens in them.</w:t>
      </w:r>
      <w:r>
        <w:rPr>
          <w:b w:val="0"/>
          <w:color w:val="C00000"/>
        </w:rPr>
        <w:t xml:space="preserve">  [Suggestion 1 — today’s Pattern 2]</w:t>
      </w:r>
    </w:p>
    <w:p>
      <w:pPr>
        <w:spacing w:after="120"/>
      </w:pPr>
      <w:r>
        <w:rPr>
          <w:b w:val="0"/>
        </w:rPr>
        <w:t>A single game of badminton or basketball clears the mind far more effectively than another hour of past papers, and the concentration we gain is worth the time we spend.</w:t>
      </w:r>
      <w:r>
        <w:rPr>
          <w:b w:val="0"/>
          <w:color w:val="C00000"/>
        </w:rPr>
        <w:t xml:space="preserve">  [Explain + Example]</w:t>
      </w:r>
    </w:p>
    <w:p>
      <w:pPr>
        <w:spacing w:after="120"/>
      </w:pPr>
      <w:r>
        <w:rPr>
          <w:b w:val="0"/>
        </w:rPr>
        <w:t>It is also high time that the school looked for the extra period somewhere else, such as the morning assembly, rather than taking it from the only lesson that keeps us moving.</w:t>
      </w:r>
      <w:r>
        <w:rPr>
          <w:b w:val="0"/>
          <w:color w:val="C00000"/>
        </w:rPr>
        <w:t xml:space="preserve">  [Suggestion 2 — today’s Pattern 1]</w:t>
      </w:r>
    </w:p>
    <w:p>
      <w:pPr>
        <w:spacing w:after="120"/>
      </w:pPr>
      <w:r>
        <w:rPr>
          <w:b w:val="0"/>
        </w:rPr>
        <w:t>I hope the Principal will reconsider the proposal before our health pays for our grades.</w:t>
      </w:r>
      <w:r>
        <w:rPr>
          <w:b w:val="0"/>
          <w:color w:val="C00000"/>
        </w:rPr>
        <w:t xml:space="preserve">  [Back to main idea — Link]</w:t>
      </w:r>
    </w:p>
    <w:p>
      <w:pPr>
        <w:spacing w:before="200" w:after="80"/>
      </w:pPr>
      <w:r>
        <w:rPr>
          <w:b/>
          <w:color w:val="C00000"/>
        </w:rPr>
        <w:t>What to reward when marking</w:t>
      </w:r>
    </w:p>
    <w:p>
      <w:pPr>
        <w:spacing w:after="0"/>
        <w:ind w:left="227"/>
      </w:pPr>
      <w:r>
        <w:rPr>
          <w:b w:val="0"/>
        </w:rPr>
        <w:t>Content: a clear stance on the cut itself, plus one realistic alternative — not just “PE is good for us”.</w:t>
      </w:r>
    </w:p>
    <w:p>
      <w:pPr>
        <w:spacing w:after="0"/>
        <w:ind w:left="227"/>
      </w:pPr>
      <w:r>
        <w:rPr>
          <w:b w:val="0"/>
        </w:rPr>
        <w:t>Language: the target patterns used accurately; formal verbs (protect, invest in, combat) rather than “help”; no “I think it is good / bad”.</w:t>
      </w:r>
    </w:p>
    <w:p>
      <w:pPr>
        <w:spacing w:after="0"/>
        <w:ind w:left="227"/>
      </w:pPr>
      <w:r>
        <w:rPr>
          <w:b w:val="0"/>
        </w:rPr>
        <w:t>Organisation: topic sentence first, then explain and exemplify, and a closing sentence that returns to the proposal.</w:t>
      </w:r>
    </w:p>
    <w:p>
      <w:pPr>
        <w:spacing w:before="160" w:after="80"/>
      </w:pPr>
      <w:r>
        <w:rPr>
          <w:b/>
          <w:color w:val="C00000"/>
        </w:rPr>
        <w:t>Common errors to watch when marking</w:t>
      </w:r>
    </w:p>
    <w:p>
      <w:pPr>
        <w:spacing w:after="0"/>
        <w:ind w:left="227"/>
      </w:pPr>
      <w:r>
        <w:rPr>
          <w:b w:val="0"/>
        </w:rPr>
        <w:t>“It is high time that the government promote …” → the past tense is needed (“promoted”).</w:t>
      </w:r>
    </w:p>
    <w:p>
      <w:pPr>
        <w:spacing w:after="0"/>
        <w:ind w:left="227"/>
      </w:pPr>
      <w:r>
        <w:rPr>
          <w:b w:val="0"/>
        </w:rPr>
        <w:t>“make it a priority to + –ing” → base verb only (“to add”).</w:t>
      </w:r>
    </w:p>
    <w:p>
      <w:pPr>
        <w:spacing w:after="0"/>
        <w:ind w:left="227"/>
      </w:pPr>
      <w:r>
        <w:rPr>
          <w:b w:val="0"/>
        </w:rPr>
        <w:t>“in collaboration with” used as a verb (“parents collaborate with schools should…”) → keep it as a phrase between the subject and the modal.</w:t>
      </w:r>
    </w:p>
    <w:p>
      <w:pPr>
        <w:spacing w:after="0"/>
        <w:ind w:left="227"/>
      </w:pPr>
      <w:r>
        <w:rPr>
          <w:b w:val="0"/>
        </w:rPr>
        <w:t>Sentence boundaries: a participle phrase after a comma with no matching subject (“Living in a fast-paced society, academic pressure …”), or a new sentence after a comma (“… flexibility, nevertheless, they cannot …”) → full stop and a capital letter.</w:t>
      </w:r>
    </w:p>
    <w:p>
      <w:pPr>
        <w:spacing w:after="0"/>
        <w:ind w:left="227"/>
      </w:pPr>
      <w:r>
        <w:rPr>
          <w:b w:val="0"/>
        </w:rPr>
        <w:t>“the elderly” treated as singular (“the elderlies”, “the elderly feels”).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